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Knowledge, attitudes, and referral behavior of pediatric dentists regarding the early diagnosis of orthodontic anomalies: a cross-sectional survey</w:t>
      </w:r>
    </w:p>
    <w:p>
      <w:r>
        <w:rPr>
          <w:i/>
          <w:sz w:val="20"/>
        </w:rPr>
        <w:t>English-language version of the questionnaire. The instrument was developed de novo for this study and was originally administered in Turkish as an anonymous online questionnaire (Google Forms). This English translation is provided for reference; it was not used for data collection. Required items are marked with an asterisk (*).</w:t>
      </w:r>
    </w:p>
    <w:p>
      <w:r>
        <w:rPr>
          <w:b/>
          <w:sz w:val="24"/>
        </w:rPr>
        <w:t>Informed Consent and Agreement to Participate</w:t>
      </w:r>
    </w:p>
    <w:p>
      <w:r>
        <w:t>Dear participant,</w:t>
      </w:r>
    </w:p>
    <w:p>
      <w:r>
        <w:t>This questionnaire was designed to assess pediatric dentists’ knowledge of the early diagnosis of orthodontic anomalies, their referral behavior, and their level of clinical awareness. Participation is entirely voluntary, and responses are collected anonymously. The data obtained will be used for scientific purposes only, and participants’ personal information will be kept confidential. Completing the questionnaire takes approximately 8–10 minutes.</w:t>
      </w:r>
    </w:p>
    <w:p>
      <w:r>
        <w:t>This study was approved by the Non-Interventional Researches Ethics Committee of Kocaeli Health and Technology University (decision no. 2025/89). Your agreement to participate indicates that you are taking part in the study voluntarily.</w:t>
      </w:r>
    </w:p>
    <w:p>
      <w:pPr>
        <w:ind w:left="480"/>
      </w:pPr>
      <w:r>
        <w:t>○ I agree</w:t>
      </w:r>
    </w:p>
    <w:p>
      <w:r>
        <w:rPr>
          <w:b/>
          <w:sz w:val="24"/>
        </w:rPr>
        <w:t>I. Demographic Information</w:t>
      </w:r>
    </w:p>
    <w:p>
      <w:r>
        <w:rPr>
          <w:b/>
        </w:rPr>
        <w:t>1. Gender:</w:t>
      </w:r>
      <w:r>
        <w:rPr>
          <w:i/>
          <w:sz w:val="20"/>
        </w:rPr>
        <w:t xml:space="preserve">  (select one)</w:t>
      </w:r>
    </w:p>
    <w:p>
      <w:pPr>
        <w:ind w:left="480"/>
      </w:pPr>
      <w:r>
        <w:t>○ Female</w:t>
      </w:r>
    </w:p>
    <w:p>
      <w:pPr>
        <w:ind w:left="480"/>
      </w:pPr>
      <w:r>
        <w:t>○ Male</w:t>
      </w:r>
    </w:p>
    <w:p>
      <w:pPr>
        <w:ind w:left="480"/>
      </w:pPr>
      <w:r>
        <w:t>○ Prefer not to say</w:t>
      </w:r>
    </w:p>
    <w:p>
      <w:r>
        <w:rPr>
          <w:b/>
        </w:rPr>
        <w:t>2. Age:</w:t>
      </w:r>
      <w:r>
        <w:rPr>
          <w:i/>
          <w:sz w:val="20"/>
        </w:rPr>
        <w:t xml:space="preserve">  (select one)</w:t>
      </w:r>
    </w:p>
    <w:p>
      <w:pPr>
        <w:ind w:left="480"/>
      </w:pPr>
      <w:r>
        <w:t>○ 25–30</w:t>
      </w:r>
    </w:p>
    <w:p>
      <w:pPr>
        <w:ind w:left="480"/>
      </w:pPr>
      <w:r>
        <w:t>○ 31–35</w:t>
      </w:r>
    </w:p>
    <w:p>
      <w:pPr>
        <w:ind w:left="480"/>
      </w:pPr>
      <w:r>
        <w:t>○ 36–40</w:t>
      </w:r>
    </w:p>
    <w:p>
      <w:pPr>
        <w:ind w:left="480"/>
      </w:pPr>
      <w:r>
        <w:t>○ 41–45</w:t>
      </w:r>
    </w:p>
    <w:p>
      <w:pPr>
        <w:ind w:left="480"/>
      </w:pPr>
      <w:r>
        <w:t>○ 46–50</w:t>
      </w:r>
    </w:p>
    <w:p>
      <w:pPr>
        <w:ind w:left="480"/>
      </w:pPr>
      <w:r>
        <w:t>○ 51+</w:t>
      </w:r>
    </w:p>
    <w:p>
      <w:r>
        <w:rPr>
          <w:b/>
        </w:rPr>
        <w:t>3. Frequency of collaboration with an orthodontist:</w:t>
      </w:r>
      <w:r>
        <w:rPr>
          <w:i/>
          <w:sz w:val="20"/>
        </w:rPr>
        <w:t xml:space="preserve">  (select one)</w:t>
      </w:r>
    </w:p>
    <w:p>
      <w:pPr>
        <w:ind w:left="480"/>
      </w:pPr>
      <w:r>
        <w:t>○ We work together routinely</w:t>
      </w:r>
    </w:p>
    <w:p>
      <w:pPr>
        <w:ind w:left="480"/>
      </w:pPr>
      <w:r>
        <w:t>○ We communicate as needed</w:t>
      </w:r>
    </w:p>
    <w:p>
      <w:pPr>
        <w:ind w:left="480"/>
      </w:pPr>
      <w:r>
        <w:t>○ Rarely</w:t>
      </w:r>
    </w:p>
    <w:p>
      <w:pPr>
        <w:ind w:left="480"/>
      </w:pPr>
      <w:r>
        <w:t>○ Never</w:t>
      </w:r>
    </w:p>
    <w:p>
      <w:r>
        <w:rPr>
          <w:b/>
        </w:rPr>
        <w:t>4. Workplace:</w:t>
      </w:r>
      <w:r>
        <w:rPr>
          <w:i/>
          <w:sz w:val="20"/>
        </w:rPr>
        <w:t xml:space="preserve">  (select one)</w:t>
      </w:r>
    </w:p>
    <w:p>
      <w:pPr>
        <w:ind w:left="480"/>
      </w:pPr>
      <w:r>
        <w:t>○ University</w:t>
      </w:r>
    </w:p>
    <w:p>
      <w:pPr>
        <w:ind w:left="480"/>
      </w:pPr>
      <w:r>
        <w:t>○ Oral and Dental Health Center (ADSM) / public</w:t>
      </w:r>
    </w:p>
    <w:p>
      <w:pPr>
        <w:ind w:left="480"/>
      </w:pPr>
      <w:r>
        <w:t>○ Private clinic</w:t>
      </w:r>
    </w:p>
    <w:p>
      <w:pPr>
        <w:ind w:left="480"/>
      </w:pPr>
      <w:r>
        <w:t>○ Other: ____________</w:t>
      </w:r>
    </w:p>
    <w:p>
      <w:r>
        <w:rPr>
          <w:b/>
        </w:rPr>
        <w:t>5. Years of postgraduate professional experience:</w:t>
      </w:r>
      <w:r>
        <w:rPr>
          <w:i/>
          <w:sz w:val="20"/>
        </w:rPr>
        <w:t xml:space="preserve">  (select one)</w:t>
      </w:r>
    </w:p>
    <w:p>
      <w:pPr>
        <w:ind w:left="480"/>
      </w:pPr>
      <w:r>
        <w:t>○ 0–5 years</w:t>
      </w:r>
    </w:p>
    <w:p>
      <w:pPr>
        <w:ind w:left="480"/>
      </w:pPr>
      <w:r>
        <w:t>○ 6–10 years</w:t>
      </w:r>
    </w:p>
    <w:p>
      <w:pPr>
        <w:ind w:left="480"/>
      </w:pPr>
      <w:r>
        <w:t>○ 11–15 years</w:t>
      </w:r>
    </w:p>
    <w:p>
      <w:pPr>
        <w:ind w:left="480"/>
      </w:pPr>
      <w:r>
        <w:t>○ 16+ years</w:t>
      </w:r>
    </w:p>
    <w:p>
      <w:r>
        <w:rPr>
          <w:b/>
          <w:sz w:val="24"/>
        </w:rPr>
        <w:t>II. Knowledge</w:t>
      </w:r>
    </w:p>
    <w:p>
      <w:r>
        <w:rPr>
          <w:b/>
        </w:rPr>
        <w:t>6. Which is the most appropriate age range for the first orthodontic evaluation (for the purpose of early diagnosis)?</w:t>
      </w:r>
      <w:r>
        <w:rPr>
          <w:i/>
          <w:sz w:val="20"/>
        </w:rPr>
        <w:t xml:space="preserve">  (select one)</w:t>
      </w:r>
    </w:p>
    <w:p>
      <w:pPr>
        <w:ind w:left="480"/>
      </w:pPr>
      <w:r>
        <w:t>○ ≤5 years</w:t>
      </w:r>
    </w:p>
    <w:p>
      <w:pPr>
        <w:ind w:left="480"/>
      </w:pPr>
      <w:r>
        <w:t>○ 6–8 years</w:t>
      </w:r>
    </w:p>
    <w:p>
      <w:pPr>
        <w:ind w:left="480"/>
      </w:pPr>
      <w:r>
        <w:t>○ 9–11 years</w:t>
      </w:r>
    </w:p>
    <w:p>
      <w:pPr>
        <w:ind w:left="480"/>
      </w:pPr>
      <w:r>
        <w:t>○ 12+ years</w:t>
      </w:r>
    </w:p>
    <w:p>
      <w:pPr>
        <w:ind w:left="480"/>
      </w:pPr>
      <w:r>
        <w:t>○ Not sure</w:t>
      </w:r>
    </w:p>
    <w:p>
      <w:r>
        <w:rPr>
          <w:b/>
        </w:rPr>
        <w:t>7. Untreated posterior crossbite in the early period is most likely to lead to which of the following outcomes?</w:t>
      </w:r>
      <w:r>
        <w:rPr>
          <w:i/>
          <w:sz w:val="20"/>
        </w:rPr>
        <w:t xml:space="preserve">  (select one)</w:t>
      </w:r>
    </w:p>
    <w:p>
      <w:pPr>
        <w:ind w:left="480"/>
      </w:pPr>
      <w:r>
        <w:t>○ Functional shift and skeletal asymmetry</w:t>
      </w:r>
    </w:p>
    <w:p>
      <w:pPr>
        <w:ind w:left="480"/>
      </w:pPr>
      <w:r>
        <w:t>○ Primary tooth mobility</w:t>
      </w:r>
    </w:p>
    <w:p>
      <w:pPr>
        <w:ind w:left="480"/>
      </w:pPr>
      <w:r>
        <w:t>○ Need for lingual retention</w:t>
      </w:r>
    </w:p>
    <w:p>
      <w:pPr>
        <w:ind w:left="480"/>
      </w:pPr>
      <w:r>
        <w:t>○ Tooth discoloration</w:t>
      </w:r>
    </w:p>
    <w:p>
      <w:pPr>
        <w:ind w:left="480"/>
      </w:pPr>
      <w:r>
        <w:t>○ Not sure</w:t>
      </w:r>
    </w:p>
    <w:p>
      <w:r>
        <w:rPr>
          <w:b/>
        </w:rPr>
        <w:t>8. What is the most appropriate timing for the treatment of a unilateral posterior crossbite?</w:t>
      </w:r>
      <w:r>
        <w:rPr>
          <w:i/>
          <w:sz w:val="20"/>
        </w:rPr>
        <w:t xml:space="preserve">  (select one)</w:t>
      </w:r>
    </w:p>
    <w:p>
      <w:pPr>
        <w:ind w:left="480"/>
      </w:pPr>
      <w:r>
        <w:t>○ Beginning of the mixed dentition</w:t>
      </w:r>
    </w:p>
    <w:p>
      <w:pPr>
        <w:ind w:left="480"/>
      </w:pPr>
      <w:r>
        <w:t>○ Early permanent dentition</w:t>
      </w:r>
    </w:p>
    <w:p>
      <w:pPr>
        <w:ind w:left="480"/>
      </w:pPr>
      <w:r>
        <w:t>○ Late permanent dentition</w:t>
      </w:r>
    </w:p>
    <w:p>
      <w:pPr>
        <w:ind w:left="480"/>
      </w:pPr>
      <w:r>
        <w:t>○ No treatment is needed</w:t>
      </w:r>
    </w:p>
    <w:p>
      <w:pPr>
        <w:ind w:left="480"/>
      </w:pPr>
      <w:r>
        <w:t>○ Not sure</w:t>
      </w:r>
    </w:p>
    <w:p>
      <w:r>
        <w:rPr>
          <w:b/>
        </w:rPr>
        <w:t>9. Which is the most useful assessment approach for the early diagnosis of maxillary constriction?</w:t>
      </w:r>
      <w:r>
        <w:rPr>
          <w:i/>
          <w:sz w:val="20"/>
        </w:rPr>
        <w:t xml:space="preserve">  (select one)</w:t>
      </w:r>
    </w:p>
    <w:p>
      <w:pPr>
        <w:ind w:left="480"/>
      </w:pPr>
      <w:r>
        <w:t>○ Clinical examination + arch-width measurement + model/3D-scan assessment</w:t>
      </w:r>
    </w:p>
    <w:p>
      <w:pPr>
        <w:ind w:left="480"/>
      </w:pPr>
      <w:r>
        <w:t>○ Periapical radiography</w:t>
      </w:r>
    </w:p>
    <w:p>
      <w:pPr>
        <w:ind w:left="480"/>
      </w:pPr>
      <w:r>
        <w:t>○ Panoramic radiography alone</w:t>
      </w:r>
    </w:p>
    <w:p>
      <w:pPr>
        <w:ind w:left="480"/>
      </w:pPr>
      <w:r>
        <w:t>○ CBCT (routinely in every case)</w:t>
      </w:r>
    </w:p>
    <w:p>
      <w:pPr>
        <w:ind w:left="480"/>
      </w:pPr>
      <w:r>
        <w:t>○ Not sure</w:t>
      </w:r>
    </w:p>
    <w:p>
      <w:r>
        <w:rPr>
          <w:b/>
        </w:rPr>
        <w:t>10. Which of the following habits are associated with anterior open bite?</w:t>
      </w:r>
      <w:r>
        <w:rPr>
          <w:i/>
          <w:sz w:val="20"/>
        </w:rPr>
        <w:t xml:space="preserve">  (select all that apply)</w:t>
      </w:r>
    </w:p>
    <w:p>
      <w:pPr>
        <w:ind w:left="480"/>
      </w:pPr>
      <w:r>
        <w:t>□ Finger/thumb sucking</w:t>
      </w:r>
    </w:p>
    <w:p>
      <w:pPr>
        <w:ind w:left="480"/>
      </w:pPr>
      <w:r>
        <w:t>□ Tongue thrusting</w:t>
      </w:r>
    </w:p>
    <w:p>
      <w:pPr>
        <w:ind w:left="480"/>
      </w:pPr>
      <w:r>
        <w:t>□ Mouth breathing</w:t>
      </w:r>
    </w:p>
    <w:p>
      <w:pPr>
        <w:ind w:left="480"/>
      </w:pPr>
      <w:r>
        <w:t>□ Bruxism</w:t>
      </w:r>
    </w:p>
    <w:p>
      <w:pPr>
        <w:ind w:left="480"/>
      </w:pPr>
      <w:r>
        <w:t>□ Not sure</w:t>
      </w:r>
    </w:p>
    <w:p>
      <w:r>
        <w:rPr>
          <w:b/>
        </w:rPr>
        <w:t>11. Mouth breathing most frequently predisposes to which orthodontic problem?</w:t>
      </w:r>
      <w:r>
        <w:rPr>
          <w:i/>
          <w:sz w:val="20"/>
        </w:rPr>
        <w:t xml:space="preserve">  (select one)</w:t>
      </w:r>
    </w:p>
    <w:p>
      <w:pPr>
        <w:ind w:left="480"/>
      </w:pPr>
      <w:r>
        <w:t>○ Maxillary constriction and posterior crossbite</w:t>
      </w:r>
    </w:p>
    <w:p>
      <w:pPr>
        <w:ind w:left="480"/>
      </w:pPr>
      <w:r>
        <w:t>○ Maxillary transverse excess</w:t>
      </w:r>
    </w:p>
    <w:p>
      <w:pPr>
        <w:ind w:left="480"/>
      </w:pPr>
      <w:r>
        <w:t>○ Increased deep bite</w:t>
      </w:r>
    </w:p>
    <w:p>
      <w:pPr>
        <w:ind w:left="480"/>
      </w:pPr>
      <w:r>
        <w:t>○ Gingival recession</w:t>
      </w:r>
    </w:p>
    <w:p>
      <w:pPr>
        <w:ind w:left="480"/>
      </w:pPr>
      <w:r>
        <w:t>○ Not sure</w:t>
      </w:r>
    </w:p>
    <w:p>
      <w:r>
        <w:rPr>
          <w:b/>
        </w:rPr>
        <w:t>12. What is the most common etiological origin of Class III malocclusion?</w:t>
      </w:r>
      <w:r>
        <w:rPr>
          <w:i/>
          <w:sz w:val="20"/>
        </w:rPr>
        <w:t xml:space="preserve">  (select one)</w:t>
      </w:r>
    </w:p>
    <w:p>
      <w:pPr>
        <w:ind w:left="480"/>
      </w:pPr>
      <w:r>
        <w:t>○ Skeletal</w:t>
      </w:r>
    </w:p>
    <w:p>
      <w:pPr>
        <w:ind w:left="480"/>
      </w:pPr>
      <w:r>
        <w:t>○ Dental</w:t>
      </w:r>
    </w:p>
    <w:p>
      <w:pPr>
        <w:ind w:left="480"/>
      </w:pPr>
      <w:r>
        <w:t>○ Muscular</w:t>
      </w:r>
    </w:p>
    <w:p>
      <w:pPr>
        <w:ind w:left="480"/>
      </w:pPr>
      <w:r>
        <w:t>○ Habit-related</w:t>
      </w:r>
    </w:p>
    <w:p>
      <w:pPr>
        <w:ind w:left="480"/>
      </w:pPr>
      <w:r>
        <w:t>○ Not sure</w:t>
      </w:r>
    </w:p>
    <w:p>
      <w:r>
        <w:rPr>
          <w:b/>
        </w:rPr>
        <w:t>13. At what age does a physiologic diastema usually close spontaneously?</w:t>
      </w:r>
      <w:r>
        <w:rPr>
          <w:i/>
          <w:sz w:val="20"/>
        </w:rPr>
        <w:t xml:space="preserve">  (select one)</w:t>
      </w:r>
    </w:p>
    <w:p>
      <w:pPr>
        <w:ind w:left="480"/>
      </w:pPr>
      <w:r>
        <w:t>○ 8–9 years</w:t>
      </w:r>
    </w:p>
    <w:p>
      <w:pPr>
        <w:ind w:left="480"/>
      </w:pPr>
      <w:r>
        <w:t>○ 11–13 years</w:t>
      </w:r>
    </w:p>
    <w:p>
      <w:pPr>
        <w:ind w:left="480"/>
      </w:pPr>
      <w:r>
        <w:t>○ 13–14 years</w:t>
      </w:r>
    </w:p>
    <w:p>
      <w:pPr>
        <w:ind w:left="480"/>
      </w:pPr>
      <w:r>
        <w:t>○ It does not close</w:t>
      </w:r>
    </w:p>
    <w:p>
      <w:pPr>
        <w:ind w:left="480"/>
      </w:pPr>
      <w:r>
        <w:t>○ Not sure</w:t>
      </w:r>
    </w:p>
    <w:p>
      <w:r>
        <w:rPr>
          <w:b/>
        </w:rPr>
        <w:t>14. Which parameters should be considered when timing orthopedic treatment?</w:t>
      </w:r>
      <w:r>
        <w:rPr>
          <w:i/>
          <w:sz w:val="20"/>
        </w:rPr>
        <w:t xml:space="preserve">  (select all that apply)</w:t>
      </w:r>
    </w:p>
    <w:p>
      <w:pPr>
        <w:ind w:left="480"/>
      </w:pPr>
      <w:r>
        <w:t>□ Growth and development indicators</w:t>
      </w:r>
    </w:p>
    <w:p>
      <w:pPr>
        <w:ind w:left="480"/>
      </w:pPr>
      <w:r>
        <w:t>□ Hand-wrist radiograph</w:t>
      </w:r>
    </w:p>
    <w:p>
      <w:pPr>
        <w:ind w:left="480"/>
      </w:pPr>
      <w:r>
        <w:t>□ Cephalometric analysis</w:t>
      </w:r>
    </w:p>
    <w:p>
      <w:pPr>
        <w:ind w:left="480"/>
      </w:pPr>
      <w:r>
        <w:t>□ Panoramic radiography only</w:t>
      </w:r>
    </w:p>
    <w:p>
      <w:pPr>
        <w:ind w:left="480"/>
      </w:pPr>
      <w:r>
        <w:t>□ Not sure</w:t>
      </w:r>
    </w:p>
    <w:p>
      <w:r>
        <w:rPr>
          <w:b/>
        </w:rPr>
        <w:t>15. Vignette 1: In an 8-year-old child with a unilateral posterior crossbite, a narrow maxilla, and signs of a functional shift, what is the most appropriate approach?</w:t>
      </w:r>
      <w:r>
        <w:rPr>
          <w:i/>
          <w:sz w:val="20"/>
        </w:rPr>
        <w:t xml:space="preserve">  (select one)</w:t>
      </w:r>
    </w:p>
    <w:p>
      <w:pPr>
        <w:ind w:left="480"/>
      </w:pPr>
      <w:r>
        <w:t>○ Early orthodontic evaluation and maxillary expansion (RME/SME)</w:t>
      </w:r>
    </w:p>
    <w:p>
      <w:pPr>
        <w:ind w:left="480"/>
      </w:pPr>
      <w:r>
        <w:t>○ Observation; waiting for the permanent dentition</w:t>
      </w:r>
    </w:p>
    <w:p>
      <w:pPr>
        <w:ind w:left="480"/>
      </w:pPr>
      <w:r>
        <w:t>○ Oral hygiene education only</w:t>
      </w:r>
    </w:p>
    <w:p>
      <w:pPr>
        <w:ind w:left="480"/>
      </w:pPr>
      <w:r>
        <w:t>○ Fixed orthodontic treatment</w:t>
      </w:r>
    </w:p>
    <w:p>
      <w:pPr>
        <w:ind w:left="480"/>
      </w:pPr>
      <w:r>
        <w:t>○ Not sure</w:t>
      </w:r>
    </w:p>
    <w:p>
      <w:r>
        <w:rPr>
          <w:b/>
        </w:rPr>
        <w:t>16. Vignette 2: In a 9-year-old with an anterior open bite and ongoing finger sucking and tongue thrusting, which is/are the most appropriate option(s)?</w:t>
      </w:r>
      <w:r>
        <w:rPr>
          <w:i/>
          <w:sz w:val="20"/>
        </w:rPr>
        <w:t xml:space="preserve">  (select all that apply)</w:t>
      </w:r>
    </w:p>
    <w:p>
      <w:pPr>
        <w:ind w:left="480"/>
      </w:pPr>
      <w:r>
        <w:t>□ A habit-breaking appliance should be considered</w:t>
      </w:r>
    </w:p>
    <w:p>
      <w:pPr>
        <w:ind w:left="480"/>
      </w:pPr>
      <w:r>
        <w:t>□ Referral for myofunctional exercises</w:t>
      </w:r>
    </w:p>
    <w:p>
      <w:pPr>
        <w:ind w:left="480"/>
      </w:pPr>
      <w:r>
        <w:t>□ Orthodontic evaluation (early)</w:t>
      </w:r>
    </w:p>
    <w:p>
      <w:pPr>
        <w:ind w:left="480"/>
      </w:pPr>
      <w:r>
        <w:t>□ No treatment is needed</w:t>
      </w:r>
    </w:p>
    <w:p>
      <w:pPr>
        <w:ind w:left="480"/>
      </w:pPr>
      <w:r>
        <w:t>□ Not sure</w:t>
      </w:r>
    </w:p>
    <w:p>
      <w:r>
        <w:rPr>
          <w:b/>
          <w:sz w:val="24"/>
        </w:rPr>
        <w:t>III. Attitudes and Awareness</w:t>
      </w:r>
    </w:p>
    <w:p>
      <w:r>
        <w:rPr>
          <w:i/>
          <w:sz w:val="20"/>
        </w:rPr>
        <w:t>Each statement is rated on a five-point Likert scale: 1 = strongly disagree, 2 = disagree, 3 = neutral/undecided, 4 = agree, 5 = strongly agree.</w:t>
      </w:r>
    </w:p>
    <w:p>
      <w:r>
        <w:rPr>
          <w:b/>
        </w:rPr>
        <w:t>17. It is important for pediatric dentists to have adequate knowledge of diagnosing orthodontic anomalies.</w:t>
      </w:r>
    </w:p>
    <w:p>
      <w:r>
        <w:rPr>
          <w:b/>
        </w:rPr>
        <w:t>18. Early referral can reduce the need for advanced treatment.</w:t>
      </w:r>
    </w:p>
    <w:p>
      <w:r>
        <w:rPr>
          <w:b/>
        </w:rPr>
        <w:t>19. I perform a growth and development assessment before orthodontic treatment.</w:t>
      </w:r>
    </w:p>
    <w:p>
      <w:r>
        <w:rPr>
          <w:b/>
        </w:rPr>
        <w:t>20. I ask about oral habits (finger sucking, tongue thrusting, etc.) at every recall.</w:t>
      </w:r>
    </w:p>
    <w:p>
      <w:r>
        <w:rPr>
          <w:b/>
        </w:rPr>
        <w:t>21. Three-dimensional imaging and digital tools (e.g., CBCT, digital models/3D scanning) are useful in early diagnosis.</w:t>
      </w:r>
    </w:p>
    <w:p>
      <w:r>
        <w:rPr>
          <w:b/>
        </w:rPr>
        <w:t>22. Regular communication with orthodontists improves clinical success.</w:t>
      </w:r>
    </w:p>
    <w:p>
      <w:r>
        <w:rPr>
          <w:b/>
        </w:rPr>
        <w:t>23. Undergraduate education devoted adequate time to orthodontic anomalies.</w:t>
      </w:r>
    </w:p>
    <w:p>
      <w:r>
        <w:rPr>
          <w:b/>
          <w:sz w:val="24"/>
        </w:rPr>
        <w:t>IV. Clinical Practice and Referral Behavior</w:t>
      </w:r>
    </w:p>
    <w:p>
      <w:r>
        <w:rPr>
          <w:b/>
        </w:rPr>
        <w:t>24. Total number of patients you referred to an orthodontist in the past 6 months:</w:t>
      </w:r>
      <w:r>
        <w:rPr>
          <w:i/>
          <w:sz w:val="20"/>
        </w:rPr>
        <w:t xml:space="preserve">  (please enter a numerical value)</w:t>
      </w:r>
    </w:p>
    <w:p>
      <w:r>
        <w:rPr>
          <w:b/>
        </w:rPr>
        <w:t>25. In which clinical situations do you make an orthodontic referral?</w:t>
      </w:r>
      <w:r>
        <w:rPr>
          <w:i/>
          <w:sz w:val="20"/>
        </w:rPr>
        <w:t xml:space="preserve">  (select all that apply)</w:t>
      </w:r>
    </w:p>
    <w:p>
      <w:pPr>
        <w:ind w:left="480"/>
      </w:pPr>
      <w:r>
        <w:t>□ Posterior crossbite</w:t>
      </w:r>
    </w:p>
    <w:p>
      <w:pPr>
        <w:ind w:left="480"/>
      </w:pPr>
      <w:r>
        <w:t>□ Anterior crossbite</w:t>
      </w:r>
    </w:p>
    <w:p>
      <w:pPr>
        <w:ind w:left="480"/>
      </w:pPr>
      <w:r>
        <w:t>□ Class II skeletal findings</w:t>
      </w:r>
    </w:p>
    <w:p>
      <w:pPr>
        <w:ind w:left="480"/>
      </w:pPr>
      <w:r>
        <w:t>□ Class III skeletal findings</w:t>
      </w:r>
    </w:p>
    <w:p>
      <w:pPr>
        <w:ind w:left="480"/>
      </w:pPr>
      <w:r>
        <w:t>□ Crowding / lack of space</w:t>
      </w:r>
    </w:p>
    <w:p>
      <w:pPr>
        <w:ind w:left="480"/>
      </w:pPr>
      <w:r>
        <w:t>□ Parafunctional habits (finger sucking, tongue thrusting, etc.)</w:t>
      </w:r>
    </w:p>
    <w:p>
      <w:pPr>
        <w:ind w:left="480"/>
      </w:pPr>
      <w:r>
        <w:t>□ Indication for orthopedic treatment</w:t>
      </w:r>
    </w:p>
    <w:p>
      <w:pPr>
        <w:ind w:left="480"/>
      </w:pPr>
      <w:r>
        <w:t>□ Parental request</w:t>
      </w:r>
    </w:p>
    <w:p>
      <w:pPr>
        <w:ind w:left="480"/>
      </w:pPr>
      <w:r>
        <w:t>□ Other: ____________</w:t>
      </w:r>
    </w:p>
    <w:p>
      <w:r>
        <w:rPr>
          <w:b/>
        </w:rPr>
        <w:t>26. How do you follow up with the patient after referral?</w:t>
      </w:r>
      <w:r>
        <w:rPr>
          <w:i/>
          <w:sz w:val="20"/>
        </w:rPr>
        <w:t xml:space="preserve">  (select all that apply)</w:t>
      </w:r>
    </w:p>
    <w:p>
      <w:pPr>
        <w:ind w:left="480"/>
      </w:pPr>
      <w:r>
        <w:t>□ Through the orthodontist’s report</w:t>
      </w:r>
    </w:p>
    <w:p>
      <w:pPr>
        <w:ind w:left="480"/>
      </w:pPr>
      <w:r>
        <w:t>□ Through family feedback</w:t>
      </w:r>
    </w:p>
    <w:p>
      <w:pPr>
        <w:ind w:left="480"/>
      </w:pPr>
      <w:r>
        <w:t>□ Through scheduled follow-up appointments</w:t>
      </w:r>
    </w:p>
    <w:p>
      <w:pPr>
        <w:ind w:left="480"/>
      </w:pPr>
      <w:r>
        <w:t>□ I do not follow up</w:t>
      </w:r>
    </w:p>
    <w:p>
      <w:pPr>
        <w:ind w:left="480"/>
      </w:pPr>
      <w:r>
        <w:t>□ Other: ____________</w:t>
      </w:r>
    </w:p>
    <w:p>
      <w:r>
        <w:rPr>
          <w:b/>
        </w:rPr>
        <w:t>27. What is/are the most common difficulty/difficulties you encounter when persuading families to accept a referral?</w:t>
      </w:r>
      <w:r>
        <w:rPr>
          <w:i/>
          <w:sz w:val="20"/>
        </w:rPr>
        <w:t xml:space="preserve">  (select all that apply)</w:t>
      </w:r>
    </w:p>
    <w:p>
      <w:pPr>
        <w:ind w:left="480"/>
      </w:pPr>
      <w:r>
        <w:t>□ Cost of treatment</w:t>
      </w:r>
    </w:p>
    <w:p>
      <w:pPr>
        <w:ind w:left="480"/>
      </w:pPr>
      <w:r>
        <w:t>□ The child’s adaptation/behavior management</w:t>
      </w:r>
    </w:p>
    <w:p>
      <w:pPr>
        <w:ind w:left="480"/>
      </w:pPr>
      <w:r>
        <w:t>□ Lack of belief in the necessity of treatment</w:t>
      </w:r>
    </w:p>
    <w:p>
      <w:pPr>
        <w:ind w:left="480"/>
      </w:pPr>
      <w:r>
        <w:t>□ Transportation/access problems</w:t>
      </w:r>
    </w:p>
    <w:p>
      <w:pPr>
        <w:ind w:left="480"/>
      </w:pPr>
      <w:r>
        <w:t>□ Time management / appointment compliance</w:t>
      </w:r>
    </w:p>
    <w:p>
      <w:pPr>
        <w:ind w:left="480"/>
      </w:pPr>
      <w:r>
        <w:t>□ I experience no difficulty (none)</w:t>
      </w:r>
    </w:p>
    <w:p>
      <w:pPr>
        <w:ind w:left="480"/>
      </w:pPr>
      <w:r>
        <w:t>□ Other: ____________</w:t>
      </w:r>
    </w:p>
    <w:p>
      <w:r>
        <w:rPr>
          <w:b/>
        </w:rPr>
        <w:t>28. How often do you check for conditions requiring orthodontic evaluation during your routine examinations?</w:t>
      </w:r>
      <w:r>
        <w:rPr>
          <w:i/>
          <w:sz w:val="20"/>
        </w:rPr>
        <w:t xml:space="preserve">  (select one)</w:t>
      </w:r>
    </w:p>
    <w:p>
      <w:pPr>
        <w:ind w:left="480"/>
      </w:pPr>
      <w:r>
        <w:t>○ At every visit</w:t>
      </w:r>
    </w:p>
    <w:p>
      <w:pPr>
        <w:ind w:left="480"/>
      </w:pPr>
      <w:r>
        <w:t>○ Once a month</w:t>
      </w:r>
    </w:p>
    <w:p>
      <w:pPr>
        <w:ind w:left="480"/>
      </w:pPr>
      <w:r>
        <w:t>○ Every 3 months</w:t>
      </w:r>
    </w:p>
    <w:p>
      <w:pPr>
        <w:ind w:left="480"/>
      </w:pPr>
      <w:r>
        <w:t>○ Every 6 months</w:t>
      </w:r>
    </w:p>
    <w:p>
      <w:pPr>
        <w:ind w:left="480"/>
      </w:pPr>
      <w:r>
        <w:t>○ Once a year</w:t>
      </w:r>
    </w:p>
    <w:p>
      <w:pPr>
        <w:ind w:left="480"/>
      </w:pPr>
      <w:r>
        <w:t>○ Only if symptoms are present / as needed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