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B4F2" w14:textId="209E391A" w:rsidR="00E13845" w:rsidRDefault="00E13845" w:rsidP="00E13845">
      <w:pPr>
        <w:spacing w:after="100" w:line="480" w:lineRule="auto"/>
        <w:rPr>
          <w:b/>
          <w:bCs/>
          <w:color w:val="000000" w:themeColor="text1"/>
        </w:rPr>
      </w:pPr>
      <w:r w:rsidRPr="65721E69">
        <w:rPr>
          <w:b/>
          <w:bCs/>
          <w:color w:val="000000" w:themeColor="text1"/>
        </w:rPr>
        <w:t>Supplementary Figure</w:t>
      </w:r>
      <w:r w:rsidR="0072411F">
        <w:rPr>
          <w:b/>
          <w:bCs/>
          <w:color w:val="000000" w:themeColor="text1"/>
        </w:rPr>
        <w:t>s</w:t>
      </w:r>
    </w:p>
    <w:p w14:paraId="70084F19" w14:textId="77777777" w:rsidR="00E13845" w:rsidRDefault="00E13845" w:rsidP="00E13845">
      <w:pPr>
        <w:spacing w:after="100" w:line="480" w:lineRule="auto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2A6DDCEE" wp14:editId="1B6A07C9">
            <wp:extent cx="5731510" cy="6238240"/>
            <wp:effectExtent l="0" t="0" r="0" b="0"/>
            <wp:docPr id="1304684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84762" name="Picture 130468476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2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3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27A8F" w14:textId="77777777" w:rsidR="0072411F" w:rsidRDefault="00E13845" w:rsidP="00E13845">
      <w:pPr>
        <w:spacing w:after="100" w:line="480" w:lineRule="auto"/>
        <w:rPr>
          <w:color w:val="222222"/>
        </w:rPr>
      </w:pPr>
      <w:r w:rsidRPr="00E74850">
        <w:rPr>
          <w:b/>
          <w:bCs/>
          <w:color w:val="000000" w:themeColor="text1"/>
        </w:rPr>
        <w:t>Fig. S1</w:t>
      </w:r>
      <w:r>
        <w:rPr>
          <w:b/>
          <w:bCs/>
          <w:color w:val="000000" w:themeColor="text1"/>
        </w:rPr>
        <w:t>.</w:t>
      </w:r>
      <w:r w:rsidRPr="00E74850">
        <w:rPr>
          <w:b/>
          <w:bCs/>
          <w:color w:val="000000" w:themeColor="text1"/>
        </w:rPr>
        <w:t xml:space="preserve"> </w:t>
      </w:r>
      <w:r w:rsidR="0072411F">
        <w:rPr>
          <w:b/>
          <w:bCs/>
          <w:color w:val="000000" w:themeColor="text1"/>
        </w:rPr>
        <w:t xml:space="preserve">APJ </w:t>
      </w:r>
      <w:r w:rsidRPr="00E74850">
        <w:rPr>
          <w:b/>
          <w:bCs/>
          <w:color w:val="000000" w:themeColor="text1"/>
        </w:rPr>
        <w:t>is differentially expressed in 5xFAD mice</w:t>
      </w:r>
      <w:r>
        <w:rPr>
          <w:color w:val="000000" w:themeColor="text1"/>
        </w:rPr>
        <w:t>. (A) Western blot analysis of APJ in the hippocampus of wildtype and 5xFAD mice (n = 4). (B)</w:t>
      </w:r>
      <w:r w:rsidRPr="00E74850">
        <w:rPr>
          <w:color w:val="000000" w:themeColor="text1"/>
        </w:rPr>
        <w:t xml:space="preserve"> </w:t>
      </w:r>
      <w:r>
        <w:rPr>
          <w:color w:val="000000" w:themeColor="text1"/>
        </w:rPr>
        <w:t>Densitometric analysis of APJ/</w:t>
      </w:r>
      <w:r w:rsidRPr="00E74850">
        <w:rPr>
          <w:rFonts w:ascii="Symbol" w:hAnsi="Symbol"/>
          <w:color w:val="000000" w:themeColor="text1"/>
        </w:rPr>
        <w:t>b</w:t>
      </w:r>
      <w:r>
        <w:rPr>
          <w:color w:val="000000" w:themeColor="text1"/>
        </w:rPr>
        <w:t>-actin. (C) Immunofluorescent staining of cell-specific APJ expression in neurons (NeuN), astrocytes (</w:t>
      </w:r>
      <w:proofErr w:type="spellStart"/>
      <w:r>
        <w:rPr>
          <w:color w:val="000000" w:themeColor="text1"/>
        </w:rPr>
        <w:t>Gfap</w:t>
      </w:r>
      <w:proofErr w:type="spellEnd"/>
      <w:r>
        <w:rPr>
          <w:color w:val="000000" w:themeColor="text1"/>
        </w:rPr>
        <w:t xml:space="preserve">), and microglia (Iba1) (n = 4). </w:t>
      </w:r>
      <w:r w:rsidRPr="00E4593A">
        <w:rPr>
          <w:color w:val="000000" w:themeColor="text1"/>
        </w:rPr>
        <w:t>Data were presented as the mean ± </w:t>
      </w:r>
      <w:proofErr w:type="spellStart"/>
      <w:r w:rsidRPr="00E4593A">
        <w:rPr>
          <w:color w:val="000000" w:themeColor="text1"/>
        </w:rPr>
        <w:t>s.e.m</w:t>
      </w:r>
      <w:proofErr w:type="spellEnd"/>
      <w:r>
        <w:rPr>
          <w:color w:val="000000" w:themeColor="text1"/>
        </w:rPr>
        <w:t xml:space="preserve"> </w:t>
      </w:r>
      <w:r w:rsidRPr="00652D65">
        <w:rPr>
          <w:color w:val="222222"/>
          <w:lang w:val="en-US"/>
        </w:rPr>
        <w:t>*p&lt;0.05; **p&lt;0.01</w:t>
      </w:r>
      <w:r>
        <w:rPr>
          <w:color w:val="222222"/>
          <w:lang w:val="en-US"/>
        </w:rPr>
        <w:t xml:space="preserve"> and </w:t>
      </w:r>
      <w:proofErr w:type="spellStart"/>
      <w:r>
        <w:rPr>
          <w:color w:val="222222"/>
          <w:lang w:val="en-US"/>
        </w:rPr>
        <w:t>analysed</w:t>
      </w:r>
      <w:proofErr w:type="spellEnd"/>
      <w:r>
        <w:rPr>
          <w:color w:val="222222"/>
          <w:lang w:val="en-US"/>
        </w:rPr>
        <w:t xml:space="preserve"> by unpaired t-test. </w:t>
      </w:r>
      <w:r w:rsidRPr="00DE007D">
        <w:rPr>
          <w:color w:val="222222"/>
          <w:lang w:val="en-US"/>
        </w:rPr>
        <w:t>Scale bar</w:t>
      </w:r>
      <w:r>
        <w:rPr>
          <w:color w:val="222222"/>
          <w:lang w:val="en-US"/>
        </w:rPr>
        <w:t>:</w:t>
      </w:r>
      <w:r w:rsidR="0072411F">
        <w:rPr>
          <w:color w:val="222222"/>
          <w:lang w:val="en-US"/>
        </w:rPr>
        <w:t xml:space="preserve"> </w:t>
      </w:r>
      <w:r w:rsidRPr="00DE007D">
        <w:rPr>
          <w:color w:val="222222"/>
          <w:lang w:val="en-US"/>
        </w:rPr>
        <w:t>100 </w:t>
      </w:r>
      <w:r w:rsidRPr="00DE007D">
        <w:rPr>
          <w:rFonts w:ascii="Symbol" w:hAnsi="Symbol"/>
          <w:color w:val="222222"/>
          <w:lang w:val="en-US"/>
        </w:rPr>
        <w:t>m</w:t>
      </w:r>
      <w:r w:rsidRPr="00DE007D">
        <w:rPr>
          <w:color w:val="222222"/>
          <w:lang w:val="en-US"/>
        </w:rPr>
        <w:t>m</w:t>
      </w:r>
      <w:r w:rsidRPr="00DE007D">
        <w:rPr>
          <w:color w:val="222222"/>
        </w:rPr>
        <w:t> </w:t>
      </w:r>
    </w:p>
    <w:p w14:paraId="09CF7237" w14:textId="271A2378" w:rsidR="00E13845" w:rsidRDefault="00375D4E" w:rsidP="00E13845">
      <w:pPr>
        <w:spacing w:after="100" w:line="480" w:lineRule="auto"/>
        <w:rPr>
          <w:color w:val="222222"/>
          <w:lang w:val="en-US"/>
        </w:rPr>
      </w:pPr>
      <w:r>
        <w:rPr>
          <w:noProof/>
          <w:color w:val="222222"/>
        </w:rPr>
        <w:lastRenderedPageBreak/>
        <w:drawing>
          <wp:inline distT="0" distB="0" distL="0" distR="0" wp14:anchorId="30CF858A" wp14:editId="360DCC52">
            <wp:extent cx="5724525" cy="2457450"/>
            <wp:effectExtent l="0" t="0" r="9525" b="0"/>
            <wp:docPr id="497346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3" b="6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D4C51" w14:textId="3C1A90BF" w:rsidR="00E13845" w:rsidRDefault="00E13845" w:rsidP="00E13845">
      <w:pPr>
        <w:spacing w:after="100" w:line="480" w:lineRule="auto"/>
        <w:rPr>
          <w:color w:val="222222"/>
          <w:lang w:val="en-US"/>
        </w:rPr>
      </w:pPr>
      <w:r w:rsidRPr="00DE007D">
        <w:rPr>
          <w:b/>
          <w:bCs/>
          <w:color w:val="222222"/>
          <w:lang w:val="en-US"/>
        </w:rPr>
        <w:t>Fig. S2</w:t>
      </w:r>
      <w:r>
        <w:rPr>
          <w:b/>
          <w:bCs/>
          <w:color w:val="222222"/>
          <w:lang w:val="en-US"/>
        </w:rPr>
        <w:t>.</w:t>
      </w:r>
      <w:r w:rsidRPr="00DE007D">
        <w:rPr>
          <w:b/>
          <w:bCs/>
          <w:color w:val="222222"/>
          <w:lang w:val="en-US"/>
        </w:rPr>
        <w:t xml:space="preserve"> Apelin-13 and CMF-019 ha</w:t>
      </w:r>
      <w:r>
        <w:rPr>
          <w:b/>
          <w:bCs/>
          <w:color w:val="222222"/>
          <w:lang w:val="en-US"/>
        </w:rPr>
        <w:t>ve</w:t>
      </w:r>
      <w:r w:rsidRPr="00DE007D">
        <w:rPr>
          <w:b/>
          <w:bCs/>
          <w:color w:val="222222"/>
          <w:lang w:val="en-US"/>
        </w:rPr>
        <w:t xml:space="preserve"> no effect on Erk1/2 activation in control and insulin-resistant HT22 neurons.</w:t>
      </w:r>
      <w:r>
        <w:rPr>
          <w:color w:val="222222"/>
          <w:lang w:val="en-US"/>
        </w:rPr>
        <w:t xml:space="preserve"> </w:t>
      </w:r>
      <w:r w:rsidR="00375D4E">
        <w:rPr>
          <w:color w:val="222222"/>
        </w:rPr>
        <w:t>Quantification</w:t>
      </w:r>
      <w:r w:rsidRPr="276E915D">
        <w:rPr>
          <w:color w:val="222222"/>
        </w:rPr>
        <w:t xml:space="preserve"> </w:t>
      </w:r>
      <w:r>
        <w:rPr>
          <w:color w:val="222222"/>
        </w:rPr>
        <w:t xml:space="preserve">of </w:t>
      </w:r>
      <w:r w:rsidR="00375D4E">
        <w:rPr>
          <w:color w:val="222222"/>
        </w:rPr>
        <w:t xml:space="preserve">the densitometric ratio of </w:t>
      </w:r>
      <w:r>
        <w:rPr>
          <w:color w:val="222222"/>
        </w:rPr>
        <w:t>pErk1/2</w:t>
      </w:r>
      <w:r w:rsidR="00375D4E">
        <w:rPr>
          <w:color w:val="222222"/>
        </w:rPr>
        <w:t>/</w:t>
      </w:r>
      <w:r>
        <w:rPr>
          <w:color w:val="222222"/>
        </w:rPr>
        <w:t xml:space="preserve">Erk1/2 in control HT22 and insulin-resistant HT22 neurons with or without </w:t>
      </w:r>
      <w:r w:rsidRPr="276E915D">
        <w:rPr>
          <w:color w:val="222222"/>
        </w:rPr>
        <w:t>CMF-019 and Apelin-13</w:t>
      </w:r>
      <w:r>
        <w:rPr>
          <w:color w:val="222222"/>
        </w:rPr>
        <w:t xml:space="preserve"> pretreatment. </w:t>
      </w:r>
      <w:r w:rsidRPr="00E4593A">
        <w:rPr>
          <w:color w:val="000000" w:themeColor="text1"/>
        </w:rPr>
        <w:t>Data were presented as the mean ± </w:t>
      </w:r>
      <w:proofErr w:type="spellStart"/>
      <w:r w:rsidRPr="00E4593A">
        <w:rPr>
          <w:color w:val="000000" w:themeColor="text1"/>
        </w:rPr>
        <w:t>s.e.m</w:t>
      </w:r>
      <w:proofErr w:type="spellEnd"/>
      <w:r>
        <w:rPr>
          <w:color w:val="000000" w:themeColor="text1"/>
        </w:rPr>
        <w:t xml:space="preserve"> </w:t>
      </w:r>
      <w:r>
        <w:rPr>
          <w:color w:val="222222"/>
          <w:lang w:val="en-US"/>
        </w:rPr>
        <w:t xml:space="preserve">and </w:t>
      </w:r>
      <w:proofErr w:type="spellStart"/>
      <w:r>
        <w:rPr>
          <w:color w:val="222222"/>
          <w:lang w:val="en-US"/>
        </w:rPr>
        <w:t>analysed</w:t>
      </w:r>
      <w:proofErr w:type="spellEnd"/>
      <w:r>
        <w:rPr>
          <w:color w:val="222222"/>
          <w:lang w:val="en-US"/>
        </w:rPr>
        <w:t xml:space="preserve"> by one-way ANOVA.</w:t>
      </w:r>
    </w:p>
    <w:p w14:paraId="1113B7C0" w14:textId="77777777" w:rsidR="0072411F" w:rsidRDefault="0072411F" w:rsidP="00E13845">
      <w:pPr>
        <w:spacing w:after="100" w:line="480" w:lineRule="auto"/>
        <w:rPr>
          <w:color w:val="222222"/>
          <w:lang w:val="en-US"/>
        </w:rPr>
      </w:pPr>
    </w:p>
    <w:p w14:paraId="7445C34C" w14:textId="77777777" w:rsidR="00E13845" w:rsidRDefault="00E13845" w:rsidP="00E13845">
      <w:pPr>
        <w:spacing w:after="100" w:line="480" w:lineRule="auto"/>
        <w:rPr>
          <w:color w:val="222222"/>
          <w:lang w:val="en-US"/>
        </w:rPr>
      </w:pPr>
      <w:r>
        <w:rPr>
          <w:noProof/>
          <w:color w:val="222222"/>
          <w:lang w:val="en-US"/>
          <w14:ligatures w14:val="standardContextual"/>
        </w:rPr>
        <w:drawing>
          <wp:inline distT="0" distB="0" distL="0" distR="0" wp14:anchorId="74B649A7" wp14:editId="1062B6DC">
            <wp:extent cx="5730088" cy="2101605"/>
            <wp:effectExtent l="0" t="0" r="0" b="0"/>
            <wp:docPr id="6424179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17914" name="Picture 64241791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5" b="67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2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22ED3" w14:textId="77777777" w:rsidR="00E13845" w:rsidRDefault="00E13845" w:rsidP="00E13845">
      <w:pPr>
        <w:spacing w:after="100" w:line="480" w:lineRule="auto"/>
        <w:rPr>
          <w:color w:val="222222"/>
          <w:lang w:val="en-US"/>
        </w:rPr>
      </w:pPr>
      <w:r w:rsidRPr="00DE007D">
        <w:rPr>
          <w:b/>
          <w:bCs/>
          <w:color w:val="222222"/>
          <w:lang w:val="en-US"/>
        </w:rPr>
        <w:t xml:space="preserve">Fig. S3. Mice under </w:t>
      </w:r>
      <w:proofErr w:type="spellStart"/>
      <w:r w:rsidRPr="00DE007D">
        <w:rPr>
          <w:b/>
          <w:bCs/>
          <w:color w:val="222222"/>
          <w:lang w:val="en-US"/>
        </w:rPr>
        <w:t>behavioural</w:t>
      </w:r>
      <w:proofErr w:type="spellEnd"/>
      <w:r w:rsidRPr="00DE007D">
        <w:rPr>
          <w:b/>
          <w:bCs/>
          <w:color w:val="222222"/>
          <w:lang w:val="en-US"/>
        </w:rPr>
        <w:t xml:space="preserve"> assessment exhibit normal motor activity.</w:t>
      </w:r>
      <w:r>
        <w:rPr>
          <w:color w:val="222222"/>
          <w:lang w:val="en-US"/>
        </w:rPr>
        <w:t xml:space="preserve"> (A) Swimming speed measured in the MWM test. (B) Distance travelled and (C) movement velocity measured in the open field test. </w:t>
      </w:r>
      <w:r w:rsidRPr="00E4593A">
        <w:rPr>
          <w:color w:val="000000" w:themeColor="text1"/>
        </w:rPr>
        <w:t>Data were presented as the mean ± </w:t>
      </w:r>
      <w:proofErr w:type="spellStart"/>
      <w:r w:rsidRPr="00E4593A">
        <w:rPr>
          <w:color w:val="000000" w:themeColor="text1"/>
        </w:rPr>
        <w:t>s.e.m</w:t>
      </w:r>
      <w:proofErr w:type="spellEnd"/>
      <w:r>
        <w:rPr>
          <w:color w:val="000000" w:themeColor="text1"/>
        </w:rPr>
        <w:t xml:space="preserve"> </w:t>
      </w:r>
      <w:r>
        <w:rPr>
          <w:color w:val="222222"/>
          <w:lang w:val="en-US"/>
        </w:rPr>
        <w:t xml:space="preserve">and </w:t>
      </w:r>
      <w:proofErr w:type="spellStart"/>
      <w:r>
        <w:rPr>
          <w:color w:val="222222"/>
          <w:lang w:val="en-US"/>
        </w:rPr>
        <w:t>analysed</w:t>
      </w:r>
      <w:proofErr w:type="spellEnd"/>
      <w:r>
        <w:rPr>
          <w:color w:val="222222"/>
          <w:lang w:val="en-US"/>
        </w:rPr>
        <w:t xml:space="preserve"> by one-way ANOVA followed by Tukey’s multiple comparison test.</w:t>
      </w:r>
    </w:p>
    <w:p w14:paraId="7B3B578C" w14:textId="77777777" w:rsidR="0072411F" w:rsidRDefault="0072411F" w:rsidP="00E13845">
      <w:pPr>
        <w:spacing w:after="100" w:line="480" w:lineRule="auto"/>
        <w:rPr>
          <w:color w:val="222222"/>
          <w:lang w:val="en-US"/>
        </w:rPr>
      </w:pPr>
    </w:p>
    <w:p w14:paraId="58AB2400" w14:textId="77777777" w:rsidR="00E13845" w:rsidRDefault="00E13845" w:rsidP="00E13845">
      <w:pPr>
        <w:spacing w:after="100" w:line="480" w:lineRule="auto"/>
        <w:rPr>
          <w:color w:val="222222"/>
          <w:lang w:val="en-US"/>
        </w:rPr>
      </w:pPr>
      <w:r>
        <w:rPr>
          <w:noProof/>
          <w:color w:val="222222"/>
          <w:lang w:val="en-US"/>
          <w14:ligatures w14:val="standardContextual"/>
        </w:rPr>
        <w:lastRenderedPageBreak/>
        <w:drawing>
          <wp:inline distT="0" distB="0" distL="0" distR="0" wp14:anchorId="4B1A796E" wp14:editId="4BBC42FD">
            <wp:extent cx="5731510" cy="7703210"/>
            <wp:effectExtent l="0" t="0" r="0" b="5715"/>
            <wp:docPr id="2116241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41209" name="Picture 211624120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0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0FB8D" w14:textId="77777777" w:rsidR="00E13845" w:rsidRDefault="00E13845" w:rsidP="00E13845">
      <w:pPr>
        <w:spacing w:after="100" w:line="480" w:lineRule="auto"/>
        <w:rPr>
          <w:color w:val="222222"/>
        </w:rPr>
      </w:pPr>
      <w:r w:rsidRPr="00DE007D">
        <w:rPr>
          <w:b/>
          <w:bCs/>
          <w:color w:val="222222"/>
          <w:lang w:val="en-US"/>
        </w:rPr>
        <w:t>Fig. S4.</w:t>
      </w:r>
      <w:r>
        <w:rPr>
          <w:color w:val="222222"/>
          <w:lang w:val="en-US"/>
        </w:rPr>
        <w:t xml:space="preserve"> </w:t>
      </w:r>
      <w:r w:rsidRPr="00DE007D">
        <w:rPr>
          <w:b/>
          <w:bCs/>
          <w:color w:val="222222"/>
        </w:rPr>
        <w:t>2</w:t>
      </w:r>
      <w:r>
        <w:rPr>
          <w:b/>
          <w:bCs/>
          <w:color w:val="222222"/>
        </w:rPr>
        <w:t>-</w:t>
      </w:r>
      <w:r w:rsidRPr="00DE007D">
        <w:rPr>
          <w:b/>
          <w:bCs/>
          <w:color w:val="222222"/>
        </w:rPr>
        <w:t>NBDG uptake by microglia, neurons and astrocytes</w:t>
      </w:r>
      <w:r>
        <w:rPr>
          <w:b/>
          <w:bCs/>
          <w:color w:val="222222"/>
        </w:rPr>
        <w:t xml:space="preserve"> in </w:t>
      </w:r>
      <w:proofErr w:type="spellStart"/>
      <w:r>
        <w:rPr>
          <w:b/>
          <w:bCs/>
          <w:color w:val="222222"/>
        </w:rPr>
        <w:t>NBDGcyto</w:t>
      </w:r>
      <w:proofErr w:type="spellEnd"/>
      <w:r>
        <w:rPr>
          <w:b/>
          <w:bCs/>
          <w:color w:val="222222"/>
        </w:rPr>
        <w:t xml:space="preserve"> experiment</w:t>
      </w:r>
      <w:r w:rsidRPr="00DE007D">
        <w:rPr>
          <w:color w:val="222222"/>
        </w:rPr>
        <w:t xml:space="preserve">. (A) Schematic illustration of </w:t>
      </w:r>
      <w:proofErr w:type="spellStart"/>
      <w:r>
        <w:rPr>
          <w:color w:val="222222"/>
        </w:rPr>
        <w:t>NBDGcyto</w:t>
      </w:r>
      <w:proofErr w:type="spellEnd"/>
      <w:r>
        <w:rPr>
          <w:color w:val="222222"/>
        </w:rPr>
        <w:t xml:space="preserve"> to assess the cell-specific </w:t>
      </w:r>
      <w:r w:rsidRPr="00DE007D">
        <w:rPr>
          <w:color w:val="222222"/>
        </w:rPr>
        <w:t xml:space="preserve">cerebral glucose </w:t>
      </w:r>
      <w:r>
        <w:rPr>
          <w:color w:val="222222"/>
        </w:rPr>
        <w:t xml:space="preserve">analogue </w:t>
      </w:r>
      <w:r w:rsidRPr="00DE007D">
        <w:rPr>
          <w:color w:val="222222"/>
        </w:rPr>
        <w:t xml:space="preserve">uptake. </w:t>
      </w:r>
      <w:r>
        <w:rPr>
          <w:color w:val="222222"/>
        </w:rPr>
        <w:t xml:space="preserve">2-NBDG was </w:t>
      </w:r>
      <w:proofErr w:type="spellStart"/>
      <w:r>
        <w:rPr>
          <w:color w:val="222222"/>
        </w:rPr>
        <w:t>stereotaxically</w:t>
      </w:r>
      <w:proofErr w:type="spellEnd"/>
      <w:r>
        <w:rPr>
          <w:color w:val="222222"/>
        </w:rPr>
        <w:t xml:space="preserve"> injected into the right hippocampus. </w:t>
      </w:r>
      <w:r>
        <w:rPr>
          <w:color w:val="222222"/>
        </w:rPr>
        <w:lastRenderedPageBreak/>
        <w:t>The m</w:t>
      </w:r>
      <w:r w:rsidRPr="00DE007D">
        <w:rPr>
          <w:color w:val="222222"/>
        </w:rPr>
        <w:t>ouse hippocampus was harvested 30 min after 2</w:t>
      </w:r>
      <w:r>
        <w:rPr>
          <w:color w:val="222222"/>
        </w:rPr>
        <w:t>-</w:t>
      </w:r>
      <w:r w:rsidRPr="00DE007D">
        <w:rPr>
          <w:color w:val="222222"/>
        </w:rPr>
        <w:t>NBDG injection. Neurons were obtained after trypsin dissociation, myelin removal and magnetic cell sorting.</w:t>
      </w:r>
      <w:r>
        <w:rPr>
          <w:color w:val="222222"/>
          <w:lang w:val="en-US"/>
        </w:rPr>
        <w:t xml:space="preserve"> </w:t>
      </w:r>
      <w:r w:rsidRPr="00C37F3C">
        <w:rPr>
          <w:color w:val="222222"/>
          <w:lang w:val="en-US"/>
        </w:rPr>
        <w:t xml:space="preserve">The </w:t>
      </w:r>
      <w:r>
        <w:rPr>
          <w:color w:val="222222"/>
          <w:lang w:val="en-US"/>
        </w:rPr>
        <w:t xml:space="preserve">2-NBDG </w:t>
      </w:r>
      <w:r w:rsidRPr="00C37F3C">
        <w:rPr>
          <w:color w:val="222222"/>
          <w:lang w:val="en-US"/>
        </w:rPr>
        <w:t xml:space="preserve">glucose </w:t>
      </w:r>
      <w:r>
        <w:rPr>
          <w:color w:val="222222"/>
          <w:lang w:val="en-US"/>
        </w:rPr>
        <w:t xml:space="preserve">analogue </w:t>
      </w:r>
      <w:r w:rsidRPr="00C37F3C">
        <w:rPr>
          <w:color w:val="222222"/>
          <w:lang w:val="en-US"/>
        </w:rPr>
        <w:t>uptake level was determined by the frequency of 2</w:t>
      </w:r>
      <w:r>
        <w:rPr>
          <w:color w:val="222222"/>
          <w:lang w:val="en-US"/>
        </w:rPr>
        <w:t>-</w:t>
      </w:r>
      <w:r w:rsidRPr="00C37F3C">
        <w:rPr>
          <w:color w:val="222222"/>
          <w:lang w:val="en-US"/>
        </w:rPr>
        <w:t>NBDG</w:t>
      </w:r>
      <w:r w:rsidRPr="00C37F3C">
        <w:rPr>
          <w:color w:val="222222"/>
          <w:vertAlign w:val="superscript"/>
          <w:lang w:val="en-US"/>
        </w:rPr>
        <w:t>+</w:t>
      </w:r>
      <w:r w:rsidRPr="00C37F3C">
        <w:rPr>
          <w:color w:val="222222"/>
          <w:lang w:val="en-US"/>
        </w:rPr>
        <w:t> cell</w:t>
      </w:r>
      <w:r>
        <w:rPr>
          <w:color w:val="222222"/>
          <w:lang w:val="en-US"/>
        </w:rPr>
        <w:t>s</w:t>
      </w:r>
      <w:r w:rsidRPr="00C37F3C">
        <w:rPr>
          <w:color w:val="222222"/>
          <w:lang w:val="en-US"/>
        </w:rPr>
        <w:t xml:space="preserve"> via flow cytometry. </w:t>
      </w:r>
      <w:r>
        <w:rPr>
          <w:color w:val="222222"/>
          <w:lang w:val="en-US"/>
        </w:rPr>
        <w:t xml:space="preserve">(B) </w:t>
      </w:r>
      <w:r w:rsidRPr="00C37F3C">
        <w:rPr>
          <w:color w:val="222222"/>
          <w:lang w:val="en-US"/>
        </w:rPr>
        <w:t>Mouse hippocampus </w:t>
      </w:r>
      <w:proofErr w:type="spellStart"/>
      <w:r w:rsidRPr="00C37F3C">
        <w:rPr>
          <w:color w:val="222222"/>
          <w:lang w:val="en-US"/>
        </w:rPr>
        <w:t>stereotaxically</w:t>
      </w:r>
      <w:proofErr w:type="spellEnd"/>
      <w:r w:rsidRPr="00C37F3C">
        <w:rPr>
          <w:color w:val="222222"/>
          <w:lang w:val="en-US"/>
        </w:rPr>
        <w:t xml:space="preserve"> injected (AP -2.5 mm, L -2.0 mm and DV -2.5 mm) with 1 ml of 0.01% trypan blue solution. </w:t>
      </w:r>
      <w:r>
        <w:rPr>
          <w:color w:val="222222"/>
          <w:lang w:val="en-US"/>
        </w:rPr>
        <w:t xml:space="preserve">(C) </w:t>
      </w:r>
      <w:r w:rsidRPr="00DE007D">
        <w:rPr>
          <w:color w:val="222222"/>
          <w:lang w:val="en-US"/>
        </w:rPr>
        <w:t>Immunofluorescen</w:t>
      </w:r>
      <w:r>
        <w:rPr>
          <w:color w:val="222222"/>
          <w:lang w:val="en-US"/>
        </w:rPr>
        <w:t>t</w:t>
      </w:r>
      <w:r w:rsidRPr="00DE007D">
        <w:rPr>
          <w:color w:val="222222"/>
          <w:lang w:val="en-US"/>
        </w:rPr>
        <w:t xml:space="preserve"> staining was performed on the sections of a 2</w:t>
      </w:r>
      <w:r>
        <w:rPr>
          <w:color w:val="222222"/>
          <w:lang w:val="en-US"/>
        </w:rPr>
        <w:t>-</w:t>
      </w:r>
      <w:r w:rsidRPr="00DE007D">
        <w:rPr>
          <w:color w:val="222222"/>
          <w:lang w:val="en-US"/>
        </w:rPr>
        <w:t>NBDG-injected WT mouse hippocampus. Representative images of 2</w:t>
      </w:r>
      <w:r>
        <w:rPr>
          <w:color w:val="222222"/>
          <w:lang w:val="en-US"/>
        </w:rPr>
        <w:t>-</w:t>
      </w:r>
      <w:r w:rsidRPr="00DE007D">
        <w:rPr>
          <w:color w:val="222222"/>
          <w:lang w:val="en-US"/>
        </w:rPr>
        <w:t>NBDG uptake by microglia (A-D), astrocytes (E-H), and neuron</w:t>
      </w:r>
      <w:r>
        <w:rPr>
          <w:color w:val="222222"/>
          <w:lang w:val="en-US"/>
        </w:rPr>
        <w:t>s</w:t>
      </w:r>
      <w:r w:rsidRPr="00DE007D">
        <w:rPr>
          <w:color w:val="222222"/>
          <w:lang w:val="en-US"/>
        </w:rPr>
        <w:t xml:space="preserve"> (I-L) labelled with anti-iba1, anti-GFAP, and anti-NeuN antibodies, respectively. Arrows indicated the 2</w:t>
      </w:r>
      <w:r>
        <w:rPr>
          <w:color w:val="222222"/>
          <w:lang w:val="en-US"/>
        </w:rPr>
        <w:t>-</w:t>
      </w:r>
      <w:r w:rsidRPr="00DE007D">
        <w:rPr>
          <w:color w:val="222222"/>
          <w:lang w:val="en-US"/>
        </w:rPr>
        <w:t>NBDG</w:t>
      </w:r>
      <w:r w:rsidRPr="00DE007D">
        <w:rPr>
          <w:color w:val="222222"/>
          <w:vertAlign w:val="superscript"/>
          <w:lang w:val="en-US"/>
        </w:rPr>
        <w:t>+</w:t>
      </w:r>
      <w:r w:rsidRPr="00DE007D">
        <w:rPr>
          <w:color w:val="222222"/>
          <w:lang w:val="en-US"/>
        </w:rPr>
        <w:t> cells. Scale bar</w:t>
      </w:r>
      <w:r>
        <w:rPr>
          <w:color w:val="222222"/>
          <w:lang w:val="en-US"/>
        </w:rPr>
        <w:t>:</w:t>
      </w:r>
      <w:r w:rsidRPr="00DE007D">
        <w:rPr>
          <w:color w:val="222222"/>
          <w:lang w:val="en-US"/>
        </w:rPr>
        <w:t xml:space="preserve"> 100 </w:t>
      </w:r>
      <w:r w:rsidRPr="00DE007D">
        <w:rPr>
          <w:rFonts w:ascii="Symbol" w:hAnsi="Symbol"/>
          <w:color w:val="222222"/>
          <w:lang w:val="en-US"/>
        </w:rPr>
        <w:t>m</w:t>
      </w:r>
      <w:r w:rsidRPr="00DE007D">
        <w:rPr>
          <w:color w:val="222222"/>
          <w:lang w:val="en-US"/>
        </w:rPr>
        <w:t>m</w:t>
      </w:r>
      <w:r w:rsidRPr="00DE007D">
        <w:rPr>
          <w:color w:val="222222"/>
        </w:rPr>
        <w:t> </w:t>
      </w:r>
    </w:p>
    <w:p w14:paraId="42F05EFA" w14:textId="77777777" w:rsidR="0072411F" w:rsidRDefault="0072411F" w:rsidP="00E13845">
      <w:pPr>
        <w:spacing w:after="100" w:line="480" w:lineRule="auto"/>
        <w:rPr>
          <w:color w:val="222222"/>
        </w:rPr>
      </w:pPr>
    </w:p>
    <w:p w14:paraId="2D0F2B1D" w14:textId="77777777" w:rsidR="00E13845" w:rsidRDefault="00E13845" w:rsidP="00E13845">
      <w:pPr>
        <w:spacing w:after="100" w:line="480" w:lineRule="auto"/>
        <w:rPr>
          <w:color w:val="222222"/>
        </w:rPr>
      </w:pPr>
      <w:r>
        <w:rPr>
          <w:noProof/>
          <w:color w:val="222222"/>
          <w14:ligatures w14:val="standardContextual"/>
        </w:rPr>
        <w:drawing>
          <wp:inline distT="0" distB="0" distL="0" distR="0" wp14:anchorId="1AEB3C80" wp14:editId="4D7CAD9A">
            <wp:extent cx="5731510" cy="3505200"/>
            <wp:effectExtent l="0" t="0" r="0" b="0"/>
            <wp:docPr id="21043359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35904" name="Picture 21043359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5" b="5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5B7AD" w14:textId="77777777" w:rsidR="00E13845" w:rsidRDefault="00E13845" w:rsidP="00E13845">
      <w:pPr>
        <w:spacing w:after="100" w:line="480" w:lineRule="auto"/>
        <w:rPr>
          <w:color w:val="222222"/>
        </w:rPr>
      </w:pPr>
      <w:r w:rsidRPr="00C37F3C">
        <w:rPr>
          <w:b/>
          <w:bCs/>
          <w:color w:val="222222"/>
        </w:rPr>
        <w:t>Fig. S5.</w:t>
      </w:r>
      <w:r>
        <w:rPr>
          <w:color w:val="222222"/>
        </w:rPr>
        <w:t xml:space="preserve"> </w:t>
      </w:r>
      <w:r w:rsidRPr="00C37F3C">
        <w:rPr>
          <w:b/>
          <w:bCs/>
          <w:color w:val="222222"/>
          <w:lang w:val="en-US"/>
        </w:rPr>
        <w:t xml:space="preserve">Glucose Transporter 4 (GLUT4) </w:t>
      </w:r>
      <w:r>
        <w:rPr>
          <w:b/>
          <w:bCs/>
          <w:color w:val="222222"/>
          <w:lang w:val="en-US"/>
        </w:rPr>
        <w:t xml:space="preserve">expression </w:t>
      </w:r>
      <w:r w:rsidRPr="00C37F3C">
        <w:rPr>
          <w:b/>
          <w:bCs/>
          <w:color w:val="222222"/>
          <w:lang w:val="en-US"/>
        </w:rPr>
        <w:t>is deregulated in the brain of 5xFAD mice.</w:t>
      </w:r>
      <w:r w:rsidRPr="00C37F3C">
        <w:rPr>
          <w:color w:val="222222"/>
        </w:rPr>
        <w:t> </w:t>
      </w:r>
      <w:r>
        <w:rPr>
          <w:color w:val="222222"/>
        </w:rPr>
        <w:t xml:space="preserve">(A) </w:t>
      </w:r>
      <w:r w:rsidRPr="00C37F3C">
        <w:rPr>
          <w:color w:val="222222"/>
          <w:lang w:val="en-US"/>
        </w:rPr>
        <w:t>Representative images of double immunofluorescent staining of GLUT4 and MAP2 in the cortex of WT, Veh-5xFAD and CMF-5xFAD mice.</w:t>
      </w:r>
      <w:r w:rsidRPr="00C37F3C">
        <w:rPr>
          <w:color w:val="222222"/>
          <w:u w:val="single"/>
          <w:lang w:val="en-US"/>
        </w:rPr>
        <w:t> </w:t>
      </w:r>
      <w:r w:rsidRPr="00C37F3C">
        <w:rPr>
          <w:color w:val="222222"/>
          <w:lang w:val="en-US"/>
        </w:rPr>
        <w:t> (</w:t>
      </w:r>
      <w:r>
        <w:rPr>
          <w:color w:val="222222"/>
          <w:lang w:val="en-US"/>
        </w:rPr>
        <w:t>B</w:t>
      </w:r>
      <w:r w:rsidRPr="00C37F3C">
        <w:rPr>
          <w:color w:val="222222"/>
          <w:lang w:val="en-US"/>
        </w:rPr>
        <w:t xml:space="preserve">) Representative </w:t>
      </w:r>
      <w:r w:rsidRPr="00C37F3C">
        <w:rPr>
          <w:color w:val="222222"/>
          <w:lang w:val="en-US"/>
        </w:rPr>
        <w:lastRenderedPageBreak/>
        <w:t>images of double immunofluorescent staining of GLUT4 and Iba1 in WT, Veh-5xFAD and CMF-5xFAD mice. </w:t>
      </w:r>
      <w:r w:rsidRPr="00DE007D">
        <w:rPr>
          <w:color w:val="222222"/>
          <w:lang w:val="en-US"/>
        </w:rPr>
        <w:t>Scale bar</w:t>
      </w:r>
      <w:r>
        <w:rPr>
          <w:color w:val="222222"/>
          <w:lang w:val="en-US"/>
        </w:rPr>
        <w:t>:</w:t>
      </w:r>
      <w:r w:rsidRPr="00DE007D">
        <w:rPr>
          <w:color w:val="222222"/>
          <w:lang w:val="en-US"/>
        </w:rPr>
        <w:t xml:space="preserve"> 100 </w:t>
      </w:r>
      <w:r w:rsidRPr="00DE007D">
        <w:rPr>
          <w:rFonts w:ascii="Symbol" w:hAnsi="Symbol"/>
          <w:color w:val="222222"/>
          <w:lang w:val="en-US"/>
        </w:rPr>
        <w:t>m</w:t>
      </w:r>
      <w:r w:rsidRPr="00DE007D">
        <w:rPr>
          <w:color w:val="222222"/>
          <w:lang w:val="en-US"/>
        </w:rPr>
        <w:t>m</w:t>
      </w:r>
      <w:r w:rsidRPr="00DE007D">
        <w:rPr>
          <w:color w:val="222222"/>
        </w:rPr>
        <w:t> </w:t>
      </w:r>
    </w:p>
    <w:p w14:paraId="793A2B4A" w14:textId="77777777" w:rsidR="0072411F" w:rsidRDefault="0072411F" w:rsidP="00E13845">
      <w:pPr>
        <w:spacing w:after="100" w:line="480" w:lineRule="auto"/>
        <w:rPr>
          <w:color w:val="222222"/>
        </w:rPr>
      </w:pPr>
    </w:p>
    <w:p w14:paraId="22942DE8" w14:textId="77777777" w:rsidR="00E13845" w:rsidRDefault="00E13845" w:rsidP="00E13845">
      <w:pPr>
        <w:spacing w:after="100" w:line="480" w:lineRule="auto"/>
        <w:rPr>
          <w:color w:val="222222"/>
        </w:rPr>
      </w:pPr>
      <w:r>
        <w:rPr>
          <w:noProof/>
          <w:color w:val="222222"/>
          <w14:ligatures w14:val="standardContextual"/>
        </w:rPr>
        <w:drawing>
          <wp:inline distT="0" distB="0" distL="0" distR="0" wp14:anchorId="431CC224" wp14:editId="74AA7E4D">
            <wp:extent cx="5731510" cy="5262880"/>
            <wp:effectExtent l="0" t="0" r="0" b="0"/>
            <wp:docPr id="6882068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06813" name="Picture 68820681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8" b="3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1F0C1" w14:textId="77777777" w:rsidR="00E13845" w:rsidRDefault="00E13845" w:rsidP="00E13845">
      <w:pPr>
        <w:spacing w:after="100" w:line="480" w:lineRule="auto"/>
        <w:rPr>
          <w:color w:val="222222"/>
          <w:lang w:val="en-US"/>
        </w:rPr>
      </w:pPr>
      <w:r w:rsidRPr="00C37F3C">
        <w:rPr>
          <w:b/>
          <w:bCs/>
          <w:color w:val="222222"/>
        </w:rPr>
        <w:t>Fig. S</w:t>
      </w:r>
      <w:r>
        <w:rPr>
          <w:b/>
          <w:bCs/>
          <w:color w:val="222222"/>
        </w:rPr>
        <w:t>6</w:t>
      </w:r>
      <w:r w:rsidRPr="00C37F3C">
        <w:rPr>
          <w:b/>
          <w:bCs/>
          <w:color w:val="222222"/>
        </w:rPr>
        <w:t>.</w:t>
      </w:r>
      <w:r>
        <w:rPr>
          <w:b/>
          <w:bCs/>
          <w:color w:val="222222"/>
        </w:rPr>
        <w:t xml:space="preserve"> CMF-019 rescues BV2 microglia glucose uptake and enhances Akt-mTOR activation. </w:t>
      </w:r>
      <w:r w:rsidRPr="00C37F3C">
        <w:rPr>
          <w:color w:val="222222"/>
        </w:rPr>
        <w:t xml:space="preserve">(A) Proportion of 2-NBDG cell counts in the control and LPS incubation with or without CMF-019 pretreatment. (B) Western blot analysis of </w:t>
      </w:r>
      <w:proofErr w:type="spellStart"/>
      <w:r w:rsidRPr="00C37F3C">
        <w:rPr>
          <w:color w:val="222222"/>
        </w:rPr>
        <w:t>pAkt</w:t>
      </w:r>
      <w:proofErr w:type="spellEnd"/>
      <w:r w:rsidRPr="00C37F3C">
        <w:rPr>
          <w:color w:val="222222"/>
        </w:rPr>
        <w:t xml:space="preserve">, Akt, pErk1/2, Erk1/2, </w:t>
      </w:r>
      <w:proofErr w:type="spellStart"/>
      <w:r w:rsidRPr="00C37F3C">
        <w:rPr>
          <w:color w:val="222222"/>
        </w:rPr>
        <w:t>pmTOR</w:t>
      </w:r>
      <w:proofErr w:type="spellEnd"/>
      <w:r w:rsidRPr="00C37F3C">
        <w:rPr>
          <w:color w:val="222222"/>
        </w:rPr>
        <w:t xml:space="preserve">, and mTOR in each treatment group. Densitometric analysis of (C) </w:t>
      </w:r>
      <w:proofErr w:type="spellStart"/>
      <w:r w:rsidRPr="00C37F3C">
        <w:rPr>
          <w:color w:val="222222"/>
        </w:rPr>
        <w:t>pAkt</w:t>
      </w:r>
      <w:proofErr w:type="spellEnd"/>
      <w:r w:rsidRPr="00C37F3C">
        <w:rPr>
          <w:color w:val="222222"/>
        </w:rPr>
        <w:t xml:space="preserve">/Akt, (D) pErk1/2/Erk1/2, and (E) </w:t>
      </w:r>
      <w:proofErr w:type="spellStart"/>
      <w:r w:rsidRPr="00C37F3C">
        <w:rPr>
          <w:color w:val="222222"/>
        </w:rPr>
        <w:t>pmTOR</w:t>
      </w:r>
      <w:proofErr w:type="spellEnd"/>
      <w:r w:rsidRPr="00C37F3C">
        <w:rPr>
          <w:color w:val="222222"/>
        </w:rPr>
        <w:t>/mTOR (n = 4).</w:t>
      </w:r>
      <w:r w:rsidRPr="00F856EA">
        <w:rPr>
          <w:color w:val="000000" w:themeColor="text1"/>
        </w:rPr>
        <w:t xml:space="preserve"> </w:t>
      </w:r>
      <w:r w:rsidRPr="00E4593A">
        <w:rPr>
          <w:color w:val="000000" w:themeColor="text1"/>
        </w:rPr>
        <w:t>Data were presented as the mean ± </w:t>
      </w:r>
      <w:proofErr w:type="spellStart"/>
      <w:r w:rsidRPr="00E4593A">
        <w:rPr>
          <w:color w:val="000000" w:themeColor="text1"/>
        </w:rPr>
        <w:t>s.e.m</w:t>
      </w:r>
      <w:proofErr w:type="spellEnd"/>
      <w:r>
        <w:rPr>
          <w:color w:val="000000" w:themeColor="text1"/>
        </w:rPr>
        <w:t xml:space="preserve"> </w:t>
      </w:r>
      <w:r w:rsidRPr="00652D65">
        <w:rPr>
          <w:color w:val="222222"/>
          <w:lang w:val="en-US"/>
        </w:rPr>
        <w:lastRenderedPageBreak/>
        <w:t>*p&lt;0.05; **p&lt;0.01; ***p&lt;0.001</w:t>
      </w:r>
      <w:r>
        <w:rPr>
          <w:color w:val="222222"/>
          <w:lang w:val="en-US"/>
        </w:rPr>
        <w:t>; ****p&lt;</w:t>
      </w:r>
      <w:proofErr w:type="gramStart"/>
      <w:r>
        <w:rPr>
          <w:color w:val="222222"/>
          <w:lang w:val="en-US"/>
        </w:rPr>
        <w:t>0.0001, and</w:t>
      </w:r>
      <w:proofErr w:type="gramEnd"/>
      <w:r>
        <w:rPr>
          <w:color w:val="222222"/>
          <w:lang w:val="en-US"/>
        </w:rPr>
        <w:t xml:space="preserve"> </w:t>
      </w:r>
      <w:proofErr w:type="spellStart"/>
      <w:r>
        <w:rPr>
          <w:color w:val="222222"/>
          <w:lang w:val="en-US"/>
        </w:rPr>
        <w:t>analysed</w:t>
      </w:r>
      <w:proofErr w:type="spellEnd"/>
      <w:r>
        <w:rPr>
          <w:color w:val="222222"/>
          <w:lang w:val="en-US"/>
        </w:rPr>
        <w:t xml:space="preserve"> by one-way ANOVA followed by Tukey’s multiple comparison test.</w:t>
      </w:r>
    </w:p>
    <w:p w14:paraId="53B490E8" w14:textId="77777777" w:rsidR="00305244" w:rsidRPr="00E13845" w:rsidRDefault="00305244" w:rsidP="00E13845"/>
    <w:sectPr w:rsidR="00305244" w:rsidRPr="00E13845" w:rsidSect="0072411F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FC"/>
    <w:rsid w:val="001A7837"/>
    <w:rsid w:val="00305244"/>
    <w:rsid w:val="00375D4E"/>
    <w:rsid w:val="003D3B73"/>
    <w:rsid w:val="0054376B"/>
    <w:rsid w:val="0072411F"/>
    <w:rsid w:val="008A0EFC"/>
    <w:rsid w:val="00B36BA5"/>
    <w:rsid w:val="00D22CBB"/>
    <w:rsid w:val="00E13845"/>
    <w:rsid w:val="00EC28E1"/>
    <w:rsid w:val="00FF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DEF47"/>
  <w15:chartTrackingRefBased/>
  <w15:docId w15:val="{58E6116D-5934-DA45-8BA2-5ED3E8A6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84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E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E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E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E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E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E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E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E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E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0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E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0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E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0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E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0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EFC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2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443</Words>
  <Characters>2571</Characters>
  <Application>Microsoft Office Word</Application>
  <DocSecurity>0</DocSecurity>
  <Lines>49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Ng</dc:creator>
  <cp:keywords/>
  <dc:description/>
  <cp:lastModifiedBy>Roy Ng</cp:lastModifiedBy>
  <cp:revision>4</cp:revision>
  <dcterms:created xsi:type="dcterms:W3CDTF">2026-06-14T21:01:00Z</dcterms:created>
  <dcterms:modified xsi:type="dcterms:W3CDTF">2026-06-23T15:27:00Z</dcterms:modified>
</cp:coreProperties>
</file>