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D0C7E3">
      <w:pPr>
        <w:rPr>
          <w:rFonts w:ascii="Arial" w:hAnsi="Arial" w:cs="Arial"/>
          <w:b/>
          <w:bCs/>
        </w:rPr>
      </w:pPr>
      <w:r>
        <w:rPr>
          <w:rFonts w:ascii="Arial" w:hAnsi="Arial" w:cs="Arial"/>
          <w:b/>
          <w:bCs/>
        </w:rPr>
        <w:t>Supplementary Information</w:t>
      </w:r>
    </w:p>
    <w:p w14:paraId="1F6E8DAE">
      <w:pPr>
        <w:rPr>
          <w:rFonts w:ascii="Arial" w:hAnsi="Arial" w:cs="Arial"/>
        </w:rPr>
      </w:pPr>
      <w:r>
        <w:rPr>
          <w:rFonts w:ascii="Arial" w:hAnsi="Arial" w:cs="Arial"/>
          <w:b/>
          <w:bCs/>
        </w:rPr>
        <w:t xml:space="preserve">Table S1 </w:t>
      </w:r>
      <w:r>
        <w:rPr>
          <w:rFonts w:ascii="Arial" w:hAnsi="Arial" w:cs="Arial"/>
        </w:rPr>
        <w:t>Source, catalog number, and purity of the materials used in this study.</w:t>
      </w:r>
    </w:p>
    <w:p w14:paraId="6F3E1437">
      <w:pPr>
        <w:rPr>
          <w:rFonts w:ascii="Arial" w:hAnsi="Arial" w:cs="Arial"/>
        </w:rPr>
      </w:pPr>
    </w:p>
    <w:tbl>
      <w:tblPr>
        <w:tblStyle w:val="7"/>
        <w:tblW w:w="5000" w:type="pct"/>
        <w:tblInd w:w="0" w:type="dxa"/>
        <w:tblLayout w:type="autofit"/>
        <w:tblCellMar>
          <w:top w:w="0" w:type="dxa"/>
          <w:left w:w="108" w:type="dxa"/>
          <w:bottom w:w="0" w:type="dxa"/>
          <w:right w:w="108" w:type="dxa"/>
        </w:tblCellMar>
      </w:tblPr>
      <w:tblGrid>
        <w:gridCol w:w="5432"/>
        <w:gridCol w:w="2166"/>
        <w:gridCol w:w="924"/>
      </w:tblGrid>
      <w:tr w14:paraId="49F8607D">
        <w:tblPrEx>
          <w:tblCellMar>
            <w:top w:w="0" w:type="dxa"/>
            <w:left w:w="108" w:type="dxa"/>
            <w:bottom w:w="0" w:type="dxa"/>
            <w:right w:w="108" w:type="dxa"/>
          </w:tblCellMar>
        </w:tblPrEx>
        <w:trPr>
          <w:trHeight w:val="290" w:hRule="atLeast"/>
          <w:tblHeader/>
        </w:trPr>
        <w:tc>
          <w:tcPr>
            <w:tcW w:w="3187" w:type="pct"/>
            <w:tcBorders>
              <w:top w:val="single" w:color="000000" w:sz="12" w:space="0"/>
              <w:left w:val="nil"/>
              <w:bottom w:val="single" w:color="000000" w:sz="12" w:space="0"/>
              <w:right w:val="nil"/>
            </w:tcBorders>
          </w:tcPr>
          <w:p w14:paraId="3B9A712D">
            <w:pPr>
              <w:rPr>
                <w:rFonts w:ascii="Arial" w:hAnsi="Arial" w:cs="Arial"/>
                <w:sz w:val="20"/>
                <w:szCs w:val="20"/>
              </w:rPr>
            </w:pPr>
            <w:r>
              <w:rPr>
                <w:rFonts w:ascii="Arial" w:hAnsi="Arial" w:cs="Arial"/>
                <w:sz w:val="20"/>
                <w:szCs w:val="20"/>
              </w:rPr>
              <w:t>Material</w:t>
            </w:r>
          </w:p>
        </w:tc>
        <w:tc>
          <w:tcPr>
            <w:tcW w:w="1270" w:type="pct"/>
            <w:tcBorders>
              <w:top w:val="single" w:color="000000" w:sz="12" w:space="0"/>
              <w:left w:val="nil"/>
              <w:bottom w:val="single" w:color="000000" w:sz="12" w:space="0"/>
              <w:right w:val="nil"/>
            </w:tcBorders>
          </w:tcPr>
          <w:p w14:paraId="2EF4941B">
            <w:pPr>
              <w:rPr>
                <w:rFonts w:ascii="Arial" w:hAnsi="Arial" w:cs="Arial"/>
                <w:sz w:val="20"/>
                <w:szCs w:val="20"/>
              </w:rPr>
            </w:pPr>
            <w:r>
              <w:rPr>
                <w:rFonts w:ascii="Arial" w:hAnsi="Arial" w:cs="Arial"/>
                <w:sz w:val="20"/>
                <w:szCs w:val="20"/>
              </w:rPr>
              <w:t>Source</w:t>
            </w:r>
          </w:p>
        </w:tc>
        <w:tc>
          <w:tcPr>
            <w:tcW w:w="542" w:type="pct"/>
            <w:tcBorders>
              <w:top w:val="single" w:color="000000" w:sz="12" w:space="0"/>
              <w:left w:val="nil"/>
              <w:bottom w:val="single" w:color="000000" w:sz="12" w:space="0"/>
              <w:right w:val="nil"/>
            </w:tcBorders>
          </w:tcPr>
          <w:p w14:paraId="77E29198">
            <w:pPr>
              <w:rPr>
                <w:rFonts w:ascii="Arial" w:hAnsi="Arial" w:cs="Arial"/>
                <w:sz w:val="20"/>
                <w:szCs w:val="20"/>
              </w:rPr>
            </w:pPr>
            <w:r>
              <w:rPr>
                <w:rFonts w:ascii="Arial" w:hAnsi="Arial" w:cs="Arial"/>
                <w:sz w:val="20"/>
                <w:szCs w:val="20"/>
              </w:rPr>
              <w:t>Cat No.</w:t>
            </w:r>
          </w:p>
        </w:tc>
      </w:tr>
      <w:tr w14:paraId="7EAF56EB">
        <w:tblPrEx>
          <w:tblCellMar>
            <w:top w:w="0" w:type="dxa"/>
            <w:left w:w="108" w:type="dxa"/>
            <w:bottom w:w="0" w:type="dxa"/>
            <w:right w:w="108" w:type="dxa"/>
          </w:tblCellMar>
        </w:tblPrEx>
        <w:trPr>
          <w:trHeight w:val="285" w:hRule="atLeast"/>
        </w:trPr>
        <w:tc>
          <w:tcPr>
            <w:tcW w:w="3187" w:type="pct"/>
            <w:tcBorders>
              <w:top w:val="nil"/>
              <w:left w:val="nil"/>
              <w:bottom w:val="nil"/>
              <w:right w:val="nil"/>
            </w:tcBorders>
            <w:noWrap/>
            <w:vAlign w:val="center"/>
          </w:tcPr>
          <w:p w14:paraId="589A8761">
            <w:pPr>
              <w:rPr>
                <w:rFonts w:ascii="Arial" w:hAnsi="Arial" w:cs="Arial"/>
                <w:sz w:val="20"/>
                <w:szCs w:val="20"/>
              </w:rPr>
            </w:pPr>
            <w:r>
              <w:rPr>
                <w:rFonts w:ascii="Arial" w:hAnsi="Arial" w:cs="Arial"/>
                <w:sz w:val="20"/>
                <w:szCs w:val="20"/>
              </w:rPr>
              <w:t>Hematoxylin and Eosin Staining Kit</w:t>
            </w:r>
          </w:p>
        </w:tc>
        <w:tc>
          <w:tcPr>
            <w:tcW w:w="1270" w:type="pct"/>
            <w:tcBorders>
              <w:top w:val="nil"/>
              <w:left w:val="nil"/>
              <w:bottom w:val="nil"/>
              <w:right w:val="nil"/>
            </w:tcBorders>
            <w:noWrap/>
            <w:vAlign w:val="center"/>
          </w:tcPr>
          <w:p w14:paraId="3B488AA0">
            <w:pPr>
              <w:rPr>
                <w:rFonts w:ascii="Arial" w:hAnsi="Arial" w:cs="Arial"/>
                <w:sz w:val="20"/>
                <w:szCs w:val="20"/>
              </w:rPr>
            </w:pPr>
            <w:r>
              <w:rPr>
                <w:rFonts w:ascii="Arial" w:hAnsi="Arial" w:cs="Arial"/>
                <w:sz w:val="20"/>
                <w:szCs w:val="20"/>
              </w:rPr>
              <w:t>HaoKebio, Hangzhou, China</w:t>
            </w:r>
          </w:p>
        </w:tc>
        <w:tc>
          <w:tcPr>
            <w:tcW w:w="542" w:type="pct"/>
            <w:tcBorders>
              <w:top w:val="nil"/>
              <w:left w:val="nil"/>
              <w:bottom w:val="nil"/>
              <w:right w:val="nil"/>
            </w:tcBorders>
            <w:noWrap/>
            <w:vAlign w:val="center"/>
          </w:tcPr>
          <w:p w14:paraId="68FAF5AA">
            <w:pPr>
              <w:rPr>
                <w:rFonts w:ascii="Arial" w:hAnsi="Arial" w:cs="Arial"/>
                <w:sz w:val="20"/>
                <w:szCs w:val="20"/>
              </w:rPr>
            </w:pPr>
            <w:r>
              <w:rPr>
                <w:rFonts w:ascii="Arial" w:hAnsi="Arial" w:cs="Arial"/>
                <w:sz w:val="20"/>
                <w:szCs w:val="20"/>
              </w:rPr>
              <w:t>HK2019</w:t>
            </w:r>
          </w:p>
        </w:tc>
      </w:tr>
      <w:tr w14:paraId="0BE26CF1">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27A65F3F">
            <w:pPr>
              <w:rPr>
                <w:rFonts w:ascii="Arial" w:hAnsi="Arial" w:cs="Arial"/>
                <w:sz w:val="20"/>
                <w:szCs w:val="20"/>
              </w:rPr>
            </w:pPr>
            <w:r>
              <w:rPr>
                <w:rFonts w:ascii="Arial" w:hAnsi="Arial" w:cs="Arial"/>
                <w:sz w:val="20"/>
                <w:szCs w:val="20"/>
              </w:rPr>
              <w:t>Sirius Red Staining Kit</w:t>
            </w:r>
          </w:p>
        </w:tc>
        <w:tc>
          <w:tcPr>
            <w:tcW w:w="1270" w:type="pct"/>
            <w:tcBorders>
              <w:top w:val="nil"/>
              <w:left w:val="nil"/>
              <w:bottom w:val="nil"/>
              <w:right w:val="nil"/>
            </w:tcBorders>
            <w:noWrap/>
            <w:vAlign w:val="center"/>
          </w:tcPr>
          <w:p w14:paraId="34A0C0B0">
            <w:pPr>
              <w:rPr>
                <w:rFonts w:ascii="Arial" w:hAnsi="Arial" w:cs="Arial"/>
                <w:sz w:val="20"/>
                <w:szCs w:val="20"/>
              </w:rPr>
            </w:pPr>
            <w:r>
              <w:rPr>
                <w:rFonts w:ascii="Arial" w:hAnsi="Arial" w:cs="Arial"/>
                <w:sz w:val="20"/>
                <w:szCs w:val="20"/>
              </w:rPr>
              <w:t>HaoKebio, Hangzhou, China</w:t>
            </w:r>
          </w:p>
        </w:tc>
        <w:tc>
          <w:tcPr>
            <w:tcW w:w="542" w:type="pct"/>
            <w:tcBorders>
              <w:top w:val="nil"/>
              <w:left w:val="nil"/>
              <w:bottom w:val="nil"/>
              <w:right w:val="nil"/>
            </w:tcBorders>
            <w:noWrap/>
            <w:vAlign w:val="center"/>
          </w:tcPr>
          <w:p w14:paraId="160D00BF">
            <w:pPr>
              <w:rPr>
                <w:rFonts w:ascii="Arial" w:hAnsi="Arial" w:cs="Arial"/>
                <w:sz w:val="20"/>
                <w:szCs w:val="20"/>
              </w:rPr>
            </w:pPr>
            <w:r>
              <w:rPr>
                <w:rFonts w:ascii="Arial" w:hAnsi="Arial" w:cs="Arial"/>
                <w:sz w:val="20"/>
                <w:szCs w:val="20"/>
              </w:rPr>
              <w:t>HK2021</w:t>
            </w:r>
          </w:p>
        </w:tc>
      </w:tr>
      <w:tr w14:paraId="6835A488">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087A0CF5">
            <w:pPr>
              <w:rPr>
                <w:rFonts w:ascii="Arial" w:hAnsi="Arial" w:cs="Arial"/>
                <w:sz w:val="20"/>
                <w:szCs w:val="20"/>
              </w:rPr>
            </w:pPr>
            <w:r>
              <w:rPr>
                <w:rFonts w:hint="default" w:ascii="Arial" w:hAnsi="Arial" w:cs="Arial"/>
                <w:sz w:val="20"/>
                <w:szCs w:val="20"/>
              </w:rPr>
              <w:t>Cytokeratin 19 Monoclonal antibody</w:t>
            </w:r>
          </w:p>
        </w:tc>
        <w:tc>
          <w:tcPr>
            <w:tcW w:w="1270" w:type="pct"/>
            <w:tcBorders>
              <w:top w:val="nil"/>
              <w:left w:val="nil"/>
              <w:bottom w:val="nil"/>
              <w:right w:val="nil"/>
            </w:tcBorders>
            <w:noWrap/>
            <w:vAlign w:val="center"/>
          </w:tcPr>
          <w:p w14:paraId="4D4FB758">
            <w:pPr>
              <w:rPr>
                <w:rFonts w:ascii="Arial" w:hAnsi="Arial" w:cs="Arial"/>
                <w:sz w:val="20"/>
                <w:szCs w:val="20"/>
              </w:rPr>
            </w:pPr>
            <w:r>
              <w:rPr>
                <w:rFonts w:ascii="Arial" w:hAnsi="Arial" w:cs="Arial"/>
                <w:sz w:val="20"/>
                <w:szCs w:val="20"/>
              </w:rPr>
              <w:t>Proteintech, Wuhan, China</w:t>
            </w:r>
          </w:p>
        </w:tc>
        <w:tc>
          <w:tcPr>
            <w:tcW w:w="542" w:type="pct"/>
            <w:tcBorders>
              <w:top w:val="nil"/>
              <w:left w:val="nil"/>
              <w:bottom w:val="nil"/>
              <w:right w:val="nil"/>
            </w:tcBorders>
            <w:noWrap/>
            <w:vAlign w:val="center"/>
          </w:tcPr>
          <w:p w14:paraId="0639887C">
            <w:pPr>
              <w:rPr>
                <w:rFonts w:ascii="Arial" w:hAnsi="Arial" w:cs="Arial"/>
                <w:sz w:val="20"/>
                <w:szCs w:val="20"/>
              </w:rPr>
            </w:pPr>
            <w:r>
              <w:rPr>
                <w:rFonts w:ascii="Arial" w:hAnsi="Arial" w:cs="Arial"/>
                <w:sz w:val="20"/>
                <w:szCs w:val="20"/>
              </w:rPr>
              <w:t>60187-1-Ig</w:t>
            </w:r>
          </w:p>
        </w:tc>
      </w:tr>
      <w:tr w14:paraId="0D6B9AEE">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6CF5EB0B">
            <w:pPr>
              <w:rPr>
                <w:rFonts w:ascii="Arial" w:hAnsi="Arial" w:cs="Arial"/>
                <w:sz w:val="20"/>
                <w:szCs w:val="20"/>
              </w:rPr>
            </w:pPr>
            <w:r>
              <w:rPr>
                <w:rFonts w:ascii="Arial" w:hAnsi="Arial" w:cs="Arial"/>
                <w:sz w:val="20"/>
                <w:szCs w:val="20"/>
              </w:rPr>
              <w:t>IL-6 Recombinant monoclonal antibody</w:t>
            </w:r>
          </w:p>
        </w:tc>
        <w:tc>
          <w:tcPr>
            <w:tcW w:w="1270" w:type="pct"/>
            <w:tcBorders>
              <w:top w:val="nil"/>
              <w:left w:val="nil"/>
              <w:bottom w:val="nil"/>
              <w:right w:val="nil"/>
            </w:tcBorders>
            <w:noWrap/>
            <w:vAlign w:val="center"/>
          </w:tcPr>
          <w:p w14:paraId="3146E594">
            <w:pPr>
              <w:rPr>
                <w:rFonts w:ascii="Arial" w:hAnsi="Arial" w:cs="Arial"/>
                <w:sz w:val="20"/>
                <w:szCs w:val="20"/>
              </w:rPr>
            </w:pPr>
            <w:r>
              <w:rPr>
                <w:rFonts w:ascii="Arial" w:hAnsi="Arial" w:cs="Arial"/>
                <w:sz w:val="20"/>
                <w:szCs w:val="20"/>
              </w:rPr>
              <w:t>Proteintech, Wuhan, China</w:t>
            </w:r>
          </w:p>
        </w:tc>
        <w:tc>
          <w:tcPr>
            <w:tcW w:w="542" w:type="pct"/>
            <w:tcBorders>
              <w:top w:val="nil"/>
              <w:left w:val="nil"/>
              <w:bottom w:val="nil"/>
              <w:right w:val="nil"/>
            </w:tcBorders>
            <w:noWrap/>
            <w:vAlign w:val="center"/>
          </w:tcPr>
          <w:p w14:paraId="07E23DDA">
            <w:pPr>
              <w:rPr>
                <w:rFonts w:ascii="Arial" w:hAnsi="Arial" w:cs="Arial"/>
                <w:sz w:val="20"/>
                <w:szCs w:val="20"/>
              </w:rPr>
            </w:pPr>
            <w:r>
              <w:rPr>
                <w:rFonts w:ascii="Arial" w:hAnsi="Arial" w:cs="Arial"/>
                <w:sz w:val="20"/>
                <w:szCs w:val="20"/>
              </w:rPr>
              <w:t>83795-7-RR</w:t>
            </w:r>
          </w:p>
        </w:tc>
      </w:tr>
      <w:tr w14:paraId="6BB23BB1">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742361EB">
            <w:pPr>
              <w:rPr>
                <w:rFonts w:ascii="Arial" w:hAnsi="Arial" w:cs="Arial"/>
                <w:sz w:val="20"/>
                <w:szCs w:val="20"/>
              </w:rPr>
            </w:pPr>
            <w:r>
              <w:rPr>
                <w:rFonts w:ascii="Arial" w:hAnsi="Arial" w:cs="Arial"/>
                <w:sz w:val="20"/>
                <w:szCs w:val="20"/>
              </w:rPr>
              <w:t>p21 Polyclonal antibody</w:t>
            </w:r>
          </w:p>
        </w:tc>
        <w:tc>
          <w:tcPr>
            <w:tcW w:w="1270" w:type="pct"/>
            <w:tcBorders>
              <w:top w:val="nil"/>
              <w:left w:val="nil"/>
              <w:bottom w:val="nil"/>
              <w:right w:val="nil"/>
            </w:tcBorders>
            <w:noWrap/>
            <w:vAlign w:val="center"/>
          </w:tcPr>
          <w:p w14:paraId="0C705CD3">
            <w:pPr>
              <w:rPr>
                <w:rFonts w:ascii="Arial" w:hAnsi="Arial" w:cs="Arial"/>
                <w:sz w:val="20"/>
                <w:szCs w:val="20"/>
              </w:rPr>
            </w:pPr>
            <w:r>
              <w:rPr>
                <w:rFonts w:ascii="Arial" w:hAnsi="Arial" w:cs="Arial"/>
                <w:sz w:val="20"/>
                <w:szCs w:val="20"/>
              </w:rPr>
              <w:t>Proteintech, Wuhan, China</w:t>
            </w:r>
          </w:p>
        </w:tc>
        <w:tc>
          <w:tcPr>
            <w:tcW w:w="542" w:type="pct"/>
            <w:tcBorders>
              <w:top w:val="nil"/>
              <w:left w:val="nil"/>
              <w:bottom w:val="nil"/>
              <w:right w:val="nil"/>
            </w:tcBorders>
            <w:noWrap/>
            <w:vAlign w:val="center"/>
          </w:tcPr>
          <w:p w14:paraId="4DA5C638">
            <w:pPr>
              <w:rPr>
                <w:rFonts w:ascii="Arial" w:hAnsi="Arial" w:cs="Arial"/>
                <w:sz w:val="20"/>
                <w:szCs w:val="20"/>
              </w:rPr>
            </w:pPr>
            <w:r>
              <w:rPr>
                <w:rFonts w:ascii="Arial" w:hAnsi="Arial" w:cs="Arial"/>
                <w:sz w:val="20"/>
                <w:szCs w:val="20"/>
              </w:rPr>
              <w:t>28248-1-AP</w:t>
            </w:r>
          </w:p>
        </w:tc>
      </w:tr>
      <w:tr w14:paraId="41D5A6F2">
        <w:tblPrEx>
          <w:tblCellMar>
            <w:top w:w="0" w:type="dxa"/>
            <w:left w:w="108" w:type="dxa"/>
            <w:bottom w:w="0" w:type="dxa"/>
            <w:right w:w="108" w:type="dxa"/>
          </w:tblCellMar>
        </w:tblPrEx>
        <w:trPr>
          <w:trHeight w:val="90" w:hRule="atLeast"/>
        </w:trPr>
        <w:tc>
          <w:tcPr>
            <w:tcW w:w="3187" w:type="pct"/>
            <w:tcBorders>
              <w:top w:val="nil"/>
              <w:left w:val="nil"/>
              <w:bottom w:val="nil"/>
              <w:right w:val="nil"/>
            </w:tcBorders>
            <w:shd w:val="clear" w:color="auto" w:fill="auto"/>
            <w:noWrap/>
            <w:vAlign w:val="center"/>
          </w:tcPr>
          <w:p w14:paraId="7B7282E0">
            <w:pPr>
              <w:rPr>
                <w:rFonts w:hint="default" w:ascii="Arial" w:hAnsi="Arial" w:cs="Arial" w:eastAsiaTheme="minorEastAsia"/>
                <w:kern w:val="2"/>
                <w:sz w:val="20"/>
                <w:szCs w:val="20"/>
                <w:lang w:val="en-US" w:eastAsia="zh-CN" w:bidi="ar-SA"/>
              </w:rPr>
            </w:pPr>
            <w:r>
              <w:rPr>
                <w:rFonts w:ascii="Arial" w:hAnsi="Arial" w:cs="Arial"/>
                <w:sz w:val="20"/>
                <w:szCs w:val="20"/>
              </w:rPr>
              <w:t>EPCAM/CD326 Polyclonal antibody</w:t>
            </w:r>
          </w:p>
        </w:tc>
        <w:tc>
          <w:tcPr>
            <w:tcW w:w="1270" w:type="pct"/>
            <w:tcBorders>
              <w:top w:val="nil"/>
              <w:left w:val="nil"/>
              <w:bottom w:val="nil"/>
              <w:right w:val="nil"/>
            </w:tcBorders>
            <w:shd w:val="clear" w:color="auto" w:fill="auto"/>
            <w:noWrap/>
            <w:vAlign w:val="center"/>
          </w:tcPr>
          <w:p w14:paraId="2D9BD2DB">
            <w:pPr>
              <w:rPr>
                <w:rFonts w:ascii="Arial" w:hAnsi="Arial" w:cs="Arial" w:eastAsiaTheme="minorEastAsia"/>
                <w:kern w:val="2"/>
                <w:sz w:val="20"/>
                <w:szCs w:val="20"/>
                <w:lang w:val="en-US" w:eastAsia="zh-CN" w:bidi="ar-SA"/>
              </w:rPr>
            </w:pPr>
            <w:r>
              <w:rPr>
                <w:rFonts w:ascii="Arial" w:hAnsi="Arial" w:cs="Arial"/>
                <w:sz w:val="20"/>
                <w:szCs w:val="20"/>
              </w:rPr>
              <w:t>Proteintech, Wuhan, China</w:t>
            </w:r>
          </w:p>
        </w:tc>
        <w:tc>
          <w:tcPr>
            <w:tcW w:w="542" w:type="pct"/>
            <w:tcBorders>
              <w:top w:val="nil"/>
              <w:left w:val="nil"/>
              <w:bottom w:val="nil"/>
              <w:right w:val="nil"/>
            </w:tcBorders>
            <w:shd w:val="clear" w:color="auto" w:fill="auto"/>
            <w:noWrap/>
            <w:vAlign w:val="center"/>
          </w:tcPr>
          <w:p w14:paraId="38C13E33">
            <w:pPr>
              <w:rPr>
                <w:rFonts w:hint="eastAsia" w:ascii="Arial" w:hAnsi="Arial" w:cs="Arial" w:eastAsiaTheme="minorEastAsia"/>
                <w:kern w:val="2"/>
                <w:sz w:val="20"/>
                <w:szCs w:val="20"/>
                <w:lang w:val="en-US" w:eastAsia="zh-CN" w:bidi="ar-SA"/>
              </w:rPr>
            </w:pPr>
            <w:r>
              <w:rPr>
                <w:rFonts w:ascii="Arial" w:hAnsi="Arial" w:cs="Arial"/>
                <w:sz w:val="20"/>
                <w:szCs w:val="20"/>
              </w:rPr>
              <w:t>21050-1-AP</w:t>
            </w:r>
          </w:p>
        </w:tc>
      </w:tr>
      <w:tr w14:paraId="6FD2D430">
        <w:tblPrEx>
          <w:tblCellMar>
            <w:top w:w="0" w:type="dxa"/>
            <w:left w:w="108" w:type="dxa"/>
            <w:bottom w:w="0" w:type="dxa"/>
            <w:right w:w="108" w:type="dxa"/>
          </w:tblCellMar>
        </w:tblPrEx>
        <w:trPr>
          <w:trHeight w:val="90" w:hRule="atLeast"/>
        </w:trPr>
        <w:tc>
          <w:tcPr>
            <w:tcW w:w="3187" w:type="pct"/>
            <w:tcBorders>
              <w:top w:val="nil"/>
              <w:left w:val="nil"/>
              <w:bottom w:val="nil"/>
              <w:right w:val="nil"/>
            </w:tcBorders>
            <w:shd w:val="clear" w:color="auto" w:fill="auto"/>
            <w:noWrap/>
            <w:vAlign w:val="center"/>
          </w:tcPr>
          <w:p w14:paraId="27B35B29">
            <w:pPr>
              <w:rPr>
                <w:rFonts w:hint="default" w:ascii="Arial" w:hAnsi="Arial" w:cs="Arial" w:eastAsiaTheme="minorEastAsia"/>
                <w:kern w:val="2"/>
                <w:sz w:val="20"/>
                <w:szCs w:val="20"/>
                <w:lang w:val="en-US" w:eastAsia="zh-CN" w:bidi="ar-SA"/>
              </w:rPr>
            </w:pPr>
            <w:r>
              <w:rPr>
                <w:rFonts w:ascii="Arial" w:hAnsi="Arial" w:cs="Arial"/>
                <w:sz w:val="20"/>
                <w:szCs w:val="20"/>
              </w:rPr>
              <w:t>SOX9 Monoclonal antibody</w:t>
            </w:r>
          </w:p>
        </w:tc>
        <w:tc>
          <w:tcPr>
            <w:tcW w:w="1270" w:type="pct"/>
            <w:tcBorders>
              <w:top w:val="nil"/>
              <w:left w:val="nil"/>
              <w:bottom w:val="nil"/>
              <w:right w:val="nil"/>
            </w:tcBorders>
            <w:shd w:val="clear" w:color="auto" w:fill="auto"/>
            <w:noWrap/>
            <w:vAlign w:val="center"/>
          </w:tcPr>
          <w:p w14:paraId="0EC89A3E">
            <w:pPr>
              <w:rPr>
                <w:rFonts w:ascii="Arial" w:hAnsi="Arial" w:cs="Arial" w:eastAsiaTheme="minorEastAsia"/>
                <w:kern w:val="2"/>
                <w:sz w:val="20"/>
                <w:szCs w:val="20"/>
                <w:lang w:val="en-US" w:eastAsia="zh-CN" w:bidi="ar-SA"/>
              </w:rPr>
            </w:pPr>
            <w:r>
              <w:rPr>
                <w:rFonts w:ascii="Arial" w:hAnsi="Arial" w:cs="Arial"/>
                <w:sz w:val="20"/>
                <w:szCs w:val="20"/>
              </w:rPr>
              <w:t>Proteintech, Wuhan, China</w:t>
            </w:r>
          </w:p>
        </w:tc>
        <w:tc>
          <w:tcPr>
            <w:tcW w:w="542" w:type="pct"/>
            <w:tcBorders>
              <w:top w:val="nil"/>
              <w:left w:val="nil"/>
              <w:bottom w:val="nil"/>
              <w:right w:val="nil"/>
            </w:tcBorders>
            <w:shd w:val="clear" w:color="auto" w:fill="auto"/>
            <w:noWrap/>
            <w:vAlign w:val="center"/>
          </w:tcPr>
          <w:p w14:paraId="21AF5335">
            <w:pPr>
              <w:rPr>
                <w:rFonts w:hint="eastAsia" w:ascii="Arial" w:hAnsi="Arial" w:cs="Arial" w:eastAsiaTheme="minorEastAsia"/>
                <w:kern w:val="2"/>
                <w:sz w:val="20"/>
                <w:szCs w:val="20"/>
                <w:lang w:val="en-US" w:eastAsia="zh-CN" w:bidi="ar-SA"/>
              </w:rPr>
            </w:pPr>
            <w:r>
              <w:rPr>
                <w:rFonts w:ascii="Arial" w:hAnsi="Arial" w:cs="Arial"/>
                <w:sz w:val="20"/>
                <w:szCs w:val="20"/>
              </w:rPr>
              <w:t>67439-1-Ig</w:t>
            </w:r>
          </w:p>
        </w:tc>
      </w:tr>
      <w:tr w14:paraId="0C45D958">
        <w:tblPrEx>
          <w:tblCellMar>
            <w:top w:w="0" w:type="dxa"/>
            <w:left w:w="108" w:type="dxa"/>
            <w:bottom w:w="0" w:type="dxa"/>
            <w:right w:w="108" w:type="dxa"/>
          </w:tblCellMar>
        </w:tblPrEx>
        <w:trPr>
          <w:trHeight w:val="90" w:hRule="atLeast"/>
        </w:trPr>
        <w:tc>
          <w:tcPr>
            <w:tcW w:w="3187" w:type="pct"/>
            <w:tcBorders>
              <w:top w:val="nil"/>
              <w:left w:val="nil"/>
              <w:bottom w:val="nil"/>
              <w:right w:val="nil"/>
            </w:tcBorders>
            <w:noWrap/>
            <w:vAlign w:val="center"/>
          </w:tcPr>
          <w:p w14:paraId="2FA8DDFA">
            <w:pPr>
              <w:rPr>
                <w:rFonts w:ascii="Arial" w:hAnsi="Arial" w:cs="Arial"/>
                <w:sz w:val="20"/>
                <w:szCs w:val="20"/>
              </w:rPr>
            </w:pPr>
            <w:r>
              <w:rPr>
                <w:rFonts w:hint="default" w:ascii="Arial" w:hAnsi="Arial" w:cs="Arial"/>
                <w:sz w:val="20"/>
                <w:szCs w:val="20"/>
              </w:rPr>
              <w:t>Anti-CDKN2A/p16INK4a antibody - N-terminal</w:t>
            </w:r>
          </w:p>
        </w:tc>
        <w:tc>
          <w:tcPr>
            <w:tcW w:w="1270" w:type="pct"/>
            <w:tcBorders>
              <w:top w:val="nil"/>
              <w:left w:val="nil"/>
              <w:bottom w:val="nil"/>
              <w:right w:val="nil"/>
            </w:tcBorders>
            <w:noWrap/>
            <w:vAlign w:val="center"/>
          </w:tcPr>
          <w:p w14:paraId="7C589037">
            <w:pPr>
              <w:rPr>
                <w:rFonts w:ascii="Arial" w:hAnsi="Arial" w:cs="Arial"/>
                <w:sz w:val="20"/>
                <w:szCs w:val="20"/>
              </w:rPr>
            </w:pPr>
            <w:r>
              <w:rPr>
                <w:rFonts w:ascii="Arial" w:hAnsi="Arial" w:cs="Arial"/>
                <w:sz w:val="20"/>
                <w:szCs w:val="20"/>
              </w:rPr>
              <w:t>Abcam, Cambridge, UK</w:t>
            </w:r>
          </w:p>
        </w:tc>
        <w:tc>
          <w:tcPr>
            <w:tcW w:w="542" w:type="pct"/>
            <w:tcBorders>
              <w:top w:val="nil"/>
              <w:left w:val="nil"/>
              <w:bottom w:val="nil"/>
              <w:right w:val="nil"/>
            </w:tcBorders>
            <w:noWrap/>
            <w:vAlign w:val="center"/>
          </w:tcPr>
          <w:p w14:paraId="6CA18A5C">
            <w:pPr>
              <w:rPr>
                <w:rFonts w:ascii="Arial" w:hAnsi="Arial" w:cs="Arial"/>
                <w:sz w:val="20"/>
                <w:szCs w:val="20"/>
              </w:rPr>
            </w:pPr>
            <w:r>
              <w:rPr>
                <w:rFonts w:hint="eastAsia" w:ascii="Arial" w:hAnsi="Arial" w:cs="Arial"/>
                <w:sz w:val="20"/>
                <w:szCs w:val="20"/>
                <w:lang w:val="en-US" w:eastAsia="zh-CN"/>
              </w:rPr>
              <w:t>ab189034</w:t>
            </w:r>
          </w:p>
        </w:tc>
      </w:tr>
      <w:tr w14:paraId="3FAD1E7E">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top"/>
          </w:tcPr>
          <w:p w14:paraId="58B655B2">
            <w:pPr>
              <w:rPr>
                <w:rFonts w:hint="eastAsia" w:ascii="Arial" w:hAnsi="Arial" w:cs="Arial" w:eastAsiaTheme="minorEastAsia"/>
                <w:kern w:val="2"/>
                <w:sz w:val="20"/>
                <w:szCs w:val="20"/>
                <w:highlight w:val="none"/>
                <w:lang w:val="en-US" w:eastAsia="zh-CN" w:bidi="ar-SA"/>
              </w:rPr>
            </w:pPr>
            <w:r>
              <w:rPr>
                <w:rFonts w:ascii="Arial" w:hAnsi="Arial" w:cs="Arial"/>
                <w:sz w:val="20"/>
                <w:szCs w:val="20"/>
                <w:highlight w:val="none"/>
              </w:rPr>
              <w:t>Albumin Polyclonal antibody</w:t>
            </w:r>
          </w:p>
        </w:tc>
        <w:tc>
          <w:tcPr>
            <w:tcW w:w="1270" w:type="pct"/>
            <w:tcBorders>
              <w:top w:val="nil"/>
              <w:left w:val="nil"/>
              <w:bottom w:val="nil"/>
              <w:right w:val="nil"/>
            </w:tcBorders>
            <w:shd w:val="clear" w:color="auto" w:fill="auto"/>
            <w:noWrap/>
            <w:vAlign w:val="top"/>
          </w:tcPr>
          <w:p w14:paraId="70EAC03E">
            <w:pPr>
              <w:rPr>
                <w:rFonts w:ascii="Arial" w:hAnsi="Arial" w:cs="Arial" w:eastAsiaTheme="minorEastAsia"/>
                <w:kern w:val="2"/>
                <w:sz w:val="20"/>
                <w:szCs w:val="20"/>
                <w:highlight w:val="none"/>
                <w:lang w:val="en-US" w:eastAsia="zh-CN" w:bidi="ar-SA"/>
              </w:rPr>
            </w:pPr>
            <w:r>
              <w:rPr>
                <w:rFonts w:ascii="Arial" w:hAnsi="Arial" w:cs="Arial"/>
                <w:sz w:val="20"/>
                <w:szCs w:val="20"/>
                <w:highlight w:val="none"/>
              </w:rPr>
              <w:t>Proteintech, Wuhan, China</w:t>
            </w:r>
          </w:p>
        </w:tc>
        <w:tc>
          <w:tcPr>
            <w:tcW w:w="542" w:type="pct"/>
            <w:tcBorders>
              <w:top w:val="nil"/>
              <w:left w:val="nil"/>
              <w:bottom w:val="nil"/>
              <w:right w:val="nil"/>
            </w:tcBorders>
            <w:shd w:val="clear" w:color="auto" w:fill="auto"/>
            <w:noWrap/>
            <w:vAlign w:val="top"/>
          </w:tcPr>
          <w:p w14:paraId="1D779FD2">
            <w:pPr>
              <w:rPr>
                <w:rFonts w:hint="eastAsia" w:ascii="Arial" w:hAnsi="Arial" w:cs="Arial" w:eastAsiaTheme="minorEastAsia"/>
                <w:kern w:val="2"/>
                <w:sz w:val="20"/>
                <w:szCs w:val="20"/>
                <w:highlight w:val="none"/>
                <w:lang w:val="en-US" w:eastAsia="zh-CN" w:bidi="ar-SA"/>
              </w:rPr>
            </w:pPr>
            <w:r>
              <w:rPr>
                <w:rFonts w:ascii="Arial" w:hAnsi="Arial" w:cs="Arial"/>
                <w:sz w:val="20"/>
                <w:szCs w:val="20"/>
                <w:highlight w:val="none"/>
              </w:rPr>
              <w:t>16475-1-AP</w:t>
            </w:r>
          </w:p>
        </w:tc>
      </w:tr>
      <w:tr w14:paraId="0AAAC958">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0C1FD726">
            <w:pPr>
              <w:rPr>
                <w:rFonts w:ascii="Arial" w:hAnsi="Arial" w:cs="Arial"/>
                <w:sz w:val="20"/>
                <w:szCs w:val="20"/>
              </w:rPr>
            </w:pPr>
            <w:r>
              <w:rPr>
                <w:rFonts w:hint="eastAsia" w:ascii="Arial" w:hAnsi="Arial" w:cs="Arial"/>
                <w:sz w:val="20"/>
                <w:szCs w:val="20"/>
              </w:rPr>
              <w:t>Goat Anti-Mouse IgG H&amp;L (HRP)</w:t>
            </w:r>
          </w:p>
        </w:tc>
        <w:tc>
          <w:tcPr>
            <w:tcW w:w="1270" w:type="pct"/>
            <w:tcBorders>
              <w:top w:val="nil"/>
              <w:left w:val="nil"/>
              <w:bottom w:val="nil"/>
              <w:right w:val="nil"/>
            </w:tcBorders>
            <w:noWrap/>
            <w:vAlign w:val="center"/>
          </w:tcPr>
          <w:p w14:paraId="7F02EF09">
            <w:pPr>
              <w:rPr>
                <w:rFonts w:ascii="Arial" w:hAnsi="Arial" w:cs="Arial"/>
                <w:sz w:val="20"/>
                <w:szCs w:val="20"/>
              </w:rPr>
            </w:pPr>
            <w:r>
              <w:rPr>
                <w:rFonts w:ascii="Arial" w:hAnsi="Arial" w:cs="Arial"/>
                <w:sz w:val="20"/>
                <w:szCs w:val="20"/>
              </w:rPr>
              <w:t>Abcam, Cambridge, UK</w:t>
            </w:r>
          </w:p>
        </w:tc>
        <w:tc>
          <w:tcPr>
            <w:tcW w:w="542" w:type="pct"/>
            <w:tcBorders>
              <w:top w:val="nil"/>
              <w:left w:val="nil"/>
              <w:bottom w:val="nil"/>
              <w:right w:val="nil"/>
            </w:tcBorders>
            <w:noWrap/>
            <w:vAlign w:val="center"/>
          </w:tcPr>
          <w:p w14:paraId="4C5EC6F9">
            <w:pPr>
              <w:rPr>
                <w:rFonts w:ascii="Arial" w:hAnsi="Arial" w:cs="Arial"/>
                <w:sz w:val="20"/>
                <w:szCs w:val="20"/>
              </w:rPr>
            </w:pPr>
            <w:r>
              <w:rPr>
                <w:rFonts w:hint="eastAsia" w:ascii="Arial" w:hAnsi="Arial" w:cs="Arial"/>
                <w:sz w:val="20"/>
                <w:szCs w:val="20"/>
              </w:rPr>
              <w:t>ab205719</w:t>
            </w:r>
          </w:p>
        </w:tc>
      </w:tr>
      <w:tr w14:paraId="3D3BD63C">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6EAFCA6D">
            <w:pPr>
              <w:rPr>
                <w:rFonts w:ascii="Arial" w:hAnsi="Arial" w:cs="Arial"/>
                <w:sz w:val="20"/>
                <w:szCs w:val="20"/>
              </w:rPr>
            </w:pPr>
            <w:r>
              <w:rPr>
                <w:rFonts w:hint="eastAsia" w:ascii="Arial" w:hAnsi="Arial" w:cs="Arial"/>
                <w:sz w:val="20"/>
                <w:szCs w:val="20"/>
              </w:rPr>
              <w:t>Goat Anti-Rabbit IgG H&amp;L (HRP)</w:t>
            </w:r>
          </w:p>
        </w:tc>
        <w:tc>
          <w:tcPr>
            <w:tcW w:w="1270" w:type="pct"/>
            <w:tcBorders>
              <w:top w:val="nil"/>
              <w:left w:val="nil"/>
              <w:bottom w:val="nil"/>
              <w:right w:val="nil"/>
            </w:tcBorders>
            <w:noWrap/>
            <w:vAlign w:val="center"/>
          </w:tcPr>
          <w:p w14:paraId="68F5A00C">
            <w:pPr>
              <w:rPr>
                <w:rFonts w:ascii="Arial" w:hAnsi="Arial" w:cs="Arial"/>
                <w:sz w:val="20"/>
                <w:szCs w:val="20"/>
              </w:rPr>
            </w:pPr>
            <w:r>
              <w:rPr>
                <w:rFonts w:ascii="Arial" w:hAnsi="Arial" w:cs="Arial"/>
                <w:sz w:val="20"/>
                <w:szCs w:val="20"/>
              </w:rPr>
              <w:t>Abcam, Cambridge, UK</w:t>
            </w:r>
          </w:p>
        </w:tc>
        <w:tc>
          <w:tcPr>
            <w:tcW w:w="542" w:type="pct"/>
            <w:tcBorders>
              <w:top w:val="nil"/>
              <w:left w:val="nil"/>
              <w:bottom w:val="nil"/>
              <w:right w:val="nil"/>
            </w:tcBorders>
            <w:noWrap/>
            <w:vAlign w:val="center"/>
          </w:tcPr>
          <w:p w14:paraId="3209CE4B">
            <w:pPr>
              <w:rPr>
                <w:rFonts w:ascii="Arial" w:hAnsi="Arial" w:cs="Arial"/>
                <w:sz w:val="20"/>
                <w:szCs w:val="20"/>
              </w:rPr>
            </w:pPr>
            <w:r>
              <w:rPr>
                <w:rFonts w:hint="eastAsia" w:ascii="Arial" w:hAnsi="Arial" w:cs="Arial"/>
                <w:sz w:val="20"/>
                <w:szCs w:val="20"/>
              </w:rPr>
              <w:t>ab205718</w:t>
            </w:r>
          </w:p>
        </w:tc>
      </w:tr>
      <w:tr w14:paraId="5AFA3B36">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0044FFFF">
            <w:pPr>
              <w:rPr>
                <w:rFonts w:hint="eastAsia" w:ascii="Arial" w:hAnsi="Arial" w:cs="Arial"/>
                <w:sz w:val="20"/>
                <w:szCs w:val="20"/>
              </w:rPr>
            </w:pPr>
            <w:r>
              <w:rPr>
                <w:rFonts w:hint="eastAsia" w:ascii="Arial" w:hAnsi="Arial" w:cs="Arial"/>
                <w:sz w:val="20"/>
                <w:szCs w:val="20"/>
                <w:lang w:val="en-US" w:eastAsia="zh-CN"/>
              </w:rPr>
              <w:t>Donkey anti-Mouse IgG (H+L) Highly Cross-Adsorbed Secondary Antibody, Alexa Fluor™ Plus 647</w:t>
            </w:r>
          </w:p>
        </w:tc>
        <w:tc>
          <w:tcPr>
            <w:tcW w:w="1270" w:type="pct"/>
            <w:tcBorders>
              <w:top w:val="nil"/>
              <w:left w:val="nil"/>
              <w:bottom w:val="nil"/>
              <w:right w:val="nil"/>
            </w:tcBorders>
            <w:noWrap/>
            <w:vAlign w:val="center"/>
          </w:tcPr>
          <w:p w14:paraId="210E5F04">
            <w:pPr>
              <w:rPr>
                <w:rFonts w:hint="eastAsia" w:ascii="Arial" w:hAnsi="Arial" w:cs="Arial"/>
                <w:sz w:val="20"/>
                <w:szCs w:val="20"/>
              </w:rPr>
            </w:pPr>
            <w:r>
              <w:rPr>
                <w:rFonts w:hint="eastAsia" w:ascii="Arial" w:hAnsi="Arial" w:cs="Arial"/>
                <w:sz w:val="20"/>
                <w:szCs w:val="20"/>
              </w:rPr>
              <w:t>Thermo Fisher Scientific, MA, USA</w:t>
            </w:r>
          </w:p>
        </w:tc>
        <w:tc>
          <w:tcPr>
            <w:tcW w:w="542" w:type="pct"/>
            <w:tcBorders>
              <w:top w:val="nil"/>
              <w:left w:val="nil"/>
              <w:bottom w:val="nil"/>
              <w:right w:val="nil"/>
            </w:tcBorders>
            <w:noWrap/>
            <w:vAlign w:val="center"/>
          </w:tcPr>
          <w:p w14:paraId="5D51D106">
            <w:pPr>
              <w:rPr>
                <w:rFonts w:hint="eastAsia" w:ascii="Arial" w:hAnsi="Arial" w:cs="Arial"/>
                <w:sz w:val="20"/>
                <w:szCs w:val="20"/>
              </w:rPr>
            </w:pPr>
            <w:r>
              <w:rPr>
                <w:rFonts w:hint="default" w:ascii="Arial" w:hAnsi="Arial" w:cs="Arial"/>
                <w:sz w:val="20"/>
                <w:szCs w:val="20"/>
                <w:lang w:val="en-US" w:eastAsia="zh-CN"/>
              </w:rPr>
              <w:t>A</w:t>
            </w:r>
            <w:r>
              <w:rPr>
                <w:rFonts w:hint="eastAsia" w:ascii="Arial" w:hAnsi="Arial" w:cs="Arial"/>
                <w:sz w:val="20"/>
                <w:szCs w:val="20"/>
                <w:lang w:val="en-US" w:eastAsia="zh-CN"/>
              </w:rPr>
              <w:t>32787</w:t>
            </w:r>
          </w:p>
        </w:tc>
      </w:tr>
      <w:tr w14:paraId="12C4201E">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center"/>
          </w:tcPr>
          <w:p w14:paraId="3B967E1C">
            <w:pPr>
              <w:rPr>
                <w:rFonts w:hint="eastAsia" w:ascii="Arial" w:hAnsi="Arial" w:cs="Arial" w:eastAsiaTheme="minorEastAsia"/>
                <w:kern w:val="2"/>
                <w:sz w:val="20"/>
                <w:szCs w:val="20"/>
                <w:lang w:val="en-US" w:eastAsia="zh-CN" w:bidi="ar-SA"/>
              </w:rPr>
            </w:pPr>
            <w:r>
              <w:rPr>
                <w:rFonts w:ascii="Arial" w:hAnsi="Arial" w:cs="Arial"/>
                <w:sz w:val="20"/>
                <w:szCs w:val="20"/>
              </w:rPr>
              <w:t>DAPI Staining Solution</w:t>
            </w:r>
          </w:p>
        </w:tc>
        <w:tc>
          <w:tcPr>
            <w:tcW w:w="1270" w:type="pct"/>
            <w:tcBorders>
              <w:top w:val="nil"/>
              <w:left w:val="nil"/>
              <w:bottom w:val="nil"/>
              <w:right w:val="nil"/>
            </w:tcBorders>
            <w:shd w:val="clear" w:color="auto" w:fill="auto"/>
            <w:noWrap/>
            <w:vAlign w:val="center"/>
          </w:tcPr>
          <w:p w14:paraId="1770C87F">
            <w:pPr>
              <w:rPr>
                <w:rFonts w:hint="eastAsia" w:ascii="Arial" w:hAnsi="Arial" w:cs="Arial" w:eastAsiaTheme="minorEastAsia"/>
                <w:kern w:val="2"/>
                <w:sz w:val="20"/>
                <w:szCs w:val="20"/>
                <w:lang w:val="en-US" w:eastAsia="zh-CN" w:bidi="ar-SA"/>
              </w:rPr>
            </w:pPr>
            <w:r>
              <w:rPr>
                <w:rFonts w:hint="eastAsia" w:ascii="Arial" w:hAnsi="Arial" w:cs="Arial"/>
                <w:sz w:val="20"/>
                <w:szCs w:val="20"/>
                <w:lang w:val="en-US" w:eastAsia="zh-CN"/>
              </w:rPr>
              <w:t>Solarbio</w:t>
            </w:r>
            <w:r>
              <w:rPr>
                <w:rFonts w:hint="eastAsia" w:ascii="Arial" w:hAnsi="Arial" w:cs="Arial"/>
                <w:sz w:val="20"/>
                <w:szCs w:val="20"/>
              </w:rPr>
              <w:t xml:space="preserve">, </w:t>
            </w:r>
            <w:r>
              <w:rPr>
                <w:rFonts w:hint="eastAsia" w:ascii="Arial" w:hAnsi="Arial" w:cs="Arial"/>
                <w:sz w:val="20"/>
                <w:szCs w:val="20"/>
                <w:lang w:val="en-US" w:eastAsia="zh-CN"/>
              </w:rPr>
              <w:t>Beijing</w:t>
            </w:r>
            <w:r>
              <w:rPr>
                <w:rFonts w:hint="eastAsia" w:ascii="Arial" w:hAnsi="Arial" w:cs="Arial"/>
                <w:sz w:val="20"/>
                <w:szCs w:val="20"/>
              </w:rPr>
              <w:t>, China</w:t>
            </w:r>
          </w:p>
        </w:tc>
        <w:tc>
          <w:tcPr>
            <w:tcW w:w="542" w:type="pct"/>
            <w:tcBorders>
              <w:top w:val="nil"/>
              <w:left w:val="nil"/>
              <w:bottom w:val="nil"/>
              <w:right w:val="nil"/>
            </w:tcBorders>
            <w:shd w:val="clear" w:color="auto" w:fill="auto"/>
            <w:noWrap/>
            <w:vAlign w:val="center"/>
          </w:tcPr>
          <w:p w14:paraId="5CC87F2F">
            <w:pPr>
              <w:rPr>
                <w:rFonts w:hint="eastAsia" w:ascii="Arial" w:hAnsi="Arial" w:cs="Arial" w:eastAsiaTheme="minorEastAsia"/>
                <w:kern w:val="2"/>
                <w:sz w:val="20"/>
                <w:szCs w:val="20"/>
                <w:lang w:val="en-US" w:eastAsia="zh-CN" w:bidi="ar-SA"/>
              </w:rPr>
            </w:pPr>
            <w:r>
              <w:rPr>
                <w:rFonts w:ascii="Arial" w:hAnsi="Arial" w:cs="Arial"/>
                <w:sz w:val="20"/>
                <w:szCs w:val="20"/>
              </w:rPr>
              <w:t>C</w:t>
            </w:r>
            <w:r>
              <w:rPr>
                <w:rFonts w:hint="eastAsia" w:ascii="Arial" w:hAnsi="Arial" w:cs="Arial"/>
                <w:sz w:val="20"/>
                <w:szCs w:val="20"/>
                <w:lang w:val="en-US" w:eastAsia="zh-CN"/>
              </w:rPr>
              <w:t>0</w:t>
            </w:r>
            <w:r>
              <w:rPr>
                <w:rFonts w:ascii="Arial" w:hAnsi="Arial" w:cs="Arial"/>
                <w:sz w:val="20"/>
                <w:szCs w:val="20"/>
              </w:rPr>
              <w:t>0</w:t>
            </w:r>
            <w:r>
              <w:rPr>
                <w:rFonts w:hint="eastAsia" w:ascii="Arial" w:hAnsi="Arial" w:cs="Arial"/>
                <w:sz w:val="20"/>
                <w:szCs w:val="20"/>
                <w:lang w:val="en-US" w:eastAsia="zh-CN"/>
              </w:rPr>
              <w:t>60</w:t>
            </w:r>
          </w:p>
        </w:tc>
      </w:tr>
      <w:tr w14:paraId="13C4E2D1">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center"/>
          </w:tcPr>
          <w:p w14:paraId="758A01CB">
            <w:pPr>
              <w:rPr>
                <w:rFonts w:hint="eastAsia" w:ascii="Arial" w:hAnsi="Arial" w:cs="Arial"/>
                <w:sz w:val="20"/>
                <w:szCs w:val="20"/>
                <w:lang w:val="en-US" w:eastAsia="zh-CN"/>
              </w:rPr>
            </w:pPr>
            <w:r>
              <w:rPr>
                <w:rFonts w:hint="eastAsia" w:ascii="Arial" w:hAnsi="Arial" w:cs="Arial"/>
                <w:sz w:val="20"/>
                <w:szCs w:val="20"/>
                <w:lang w:val="en-US" w:eastAsia="zh-CN"/>
              </w:rPr>
              <w:t xml:space="preserve">iFluor® 488 tyramide </w:t>
            </w:r>
          </w:p>
        </w:tc>
        <w:tc>
          <w:tcPr>
            <w:tcW w:w="1270" w:type="pct"/>
            <w:tcBorders>
              <w:top w:val="nil"/>
              <w:left w:val="nil"/>
              <w:bottom w:val="nil"/>
              <w:right w:val="nil"/>
            </w:tcBorders>
            <w:shd w:val="clear" w:color="auto" w:fill="auto"/>
            <w:noWrap/>
            <w:vAlign w:val="center"/>
          </w:tcPr>
          <w:p w14:paraId="327B8391">
            <w:pPr>
              <w:rPr>
                <w:rFonts w:hint="eastAsia" w:ascii="Arial" w:hAnsi="Arial" w:cs="Arial"/>
                <w:sz w:val="20"/>
                <w:szCs w:val="20"/>
                <w:lang w:val="en-US" w:eastAsia="zh-CN"/>
              </w:rPr>
            </w:pPr>
            <w:r>
              <w:rPr>
                <w:rFonts w:hint="eastAsia" w:ascii="Arial" w:hAnsi="Arial" w:cs="Arial"/>
                <w:sz w:val="20"/>
                <w:szCs w:val="20"/>
                <w:lang w:val="en-US" w:eastAsia="zh-CN"/>
              </w:rPr>
              <w:t>AAT Bioquest, CA, USA</w:t>
            </w:r>
          </w:p>
        </w:tc>
        <w:tc>
          <w:tcPr>
            <w:tcW w:w="542" w:type="pct"/>
            <w:tcBorders>
              <w:top w:val="nil"/>
              <w:left w:val="nil"/>
              <w:bottom w:val="nil"/>
              <w:right w:val="nil"/>
            </w:tcBorders>
            <w:shd w:val="clear" w:color="auto" w:fill="auto"/>
            <w:noWrap/>
            <w:vAlign w:val="center"/>
          </w:tcPr>
          <w:p w14:paraId="624A8CA7">
            <w:pPr>
              <w:rPr>
                <w:rFonts w:hint="eastAsia" w:ascii="Arial" w:hAnsi="Arial" w:cs="Arial"/>
                <w:sz w:val="20"/>
                <w:szCs w:val="20"/>
                <w:lang w:val="en-US" w:eastAsia="zh-CN"/>
              </w:rPr>
            </w:pPr>
            <w:r>
              <w:rPr>
                <w:rFonts w:hint="eastAsia" w:ascii="Arial" w:hAnsi="Arial" w:cs="Arial"/>
                <w:sz w:val="20"/>
                <w:szCs w:val="20"/>
                <w:lang w:val="en-US" w:eastAsia="zh-CN"/>
              </w:rPr>
              <w:t>11060</w:t>
            </w:r>
          </w:p>
        </w:tc>
      </w:tr>
      <w:tr w14:paraId="697F2499">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center"/>
          </w:tcPr>
          <w:p w14:paraId="550D554D">
            <w:pPr>
              <w:rPr>
                <w:rFonts w:hint="eastAsia" w:ascii="Arial" w:hAnsi="Arial" w:cs="Arial"/>
                <w:sz w:val="20"/>
                <w:szCs w:val="20"/>
                <w:lang w:val="en-US" w:eastAsia="zh-CN"/>
              </w:rPr>
            </w:pPr>
            <w:r>
              <w:rPr>
                <w:rFonts w:hint="default" w:ascii="Arial" w:hAnsi="Arial" w:cs="Arial"/>
                <w:sz w:val="20"/>
                <w:szCs w:val="20"/>
                <w:lang w:val="en-US" w:eastAsia="zh-CN"/>
              </w:rPr>
              <w:t>CY5 tyramide</w:t>
            </w:r>
          </w:p>
        </w:tc>
        <w:tc>
          <w:tcPr>
            <w:tcW w:w="1270" w:type="pct"/>
            <w:tcBorders>
              <w:top w:val="nil"/>
              <w:left w:val="nil"/>
              <w:bottom w:val="nil"/>
              <w:right w:val="nil"/>
            </w:tcBorders>
            <w:shd w:val="clear" w:color="auto" w:fill="auto"/>
            <w:noWrap/>
            <w:vAlign w:val="center"/>
          </w:tcPr>
          <w:p w14:paraId="1010C77F">
            <w:pPr>
              <w:rPr>
                <w:rFonts w:hint="eastAsia" w:ascii="Arial" w:hAnsi="Arial" w:cs="Arial"/>
                <w:sz w:val="20"/>
                <w:szCs w:val="20"/>
                <w:lang w:val="en-US" w:eastAsia="zh-CN"/>
              </w:rPr>
            </w:pPr>
            <w:r>
              <w:rPr>
                <w:rFonts w:hint="eastAsia" w:ascii="Arial" w:hAnsi="Arial" w:cs="Arial"/>
                <w:sz w:val="20"/>
                <w:szCs w:val="20"/>
                <w:lang w:val="en-US" w:eastAsia="zh-CN"/>
              </w:rPr>
              <w:t>AAT Bioquest, CA, USA</w:t>
            </w:r>
          </w:p>
        </w:tc>
        <w:tc>
          <w:tcPr>
            <w:tcW w:w="542" w:type="pct"/>
            <w:tcBorders>
              <w:top w:val="nil"/>
              <w:left w:val="nil"/>
              <w:bottom w:val="nil"/>
              <w:right w:val="nil"/>
            </w:tcBorders>
            <w:shd w:val="clear" w:color="auto" w:fill="auto"/>
            <w:noWrap/>
            <w:vAlign w:val="center"/>
          </w:tcPr>
          <w:p w14:paraId="5DD07685">
            <w:pPr>
              <w:rPr>
                <w:rFonts w:hint="eastAsia" w:ascii="Arial" w:hAnsi="Arial" w:cs="Arial"/>
                <w:sz w:val="20"/>
                <w:szCs w:val="20"/>
                <w:lang w:val="en-US" w:eastAsia="zh-CN"/>
              </w:rPr>
            </w:pPr>
            <w:r>
              <w:rPr>
                <w:rFonts w:hint="default" w:ascii="Arial" w:hAnsi="Arial" w:cs="Arial"/>
                <w:sz w:val="20"/>
                <w:szCs w:val="20"/>
                <w:lang w:val="en-US" w:eastAsia="zh-CN"/>
              </w:rPr>
              <w:t>11066</w:t>
            </w:r>
          </w:p>
        </w:tc>
      </w:tr>
      <w:tr w14:paraId="32FBF418">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center"/>
          </w:tcPr>
          <w:p w14:paraId="4042D636">
            <w:pPr>
              <w:rPr>
                <w:rFonts w:hint="eastAsia" w:ascii="Arial" w:hAnsi="Arial" w:cs="Arial"/>
                <w:sz w:val="20"/>
                <w:szCs w:val="20"/>
                <w:lang w:val="en-US" w:eastAsia="zh-CN"/>
              </w:rPr>
            </w:pPr>
            <w:r>
              <w:rPr>
                <w:rFonts w:hint="eastAsia" w:ascii="Arial" w:hAnsi="Arial" w:cs="Arial"/>
                <w:sz w:val="20"/>
                <w:szCs w:val="20"/>
                <w:lang w:val="en-US" w:eastAsia="zh-CN"/>
              </w:rPr>
              <w:t>iFluor® 430 Tyramide</w:t>
            </w:r>
          </w:p>
        </w:tc>
        <w:tc>
          <w:tcPr>
            <w:tcW w:w="1270" w:type="pct"/>
            <w:tcBorders>
              <w:top w:val="nil"/>
              <w:left w:val="nil"/>
              <w:bottom w:val="nil"/>
              <w:right w:val="nil"/>
            </w:tcBorders>
            <w:shd w:val="clear" w:color="auto" w:fill="auto"/>
            <w:noWrap/>
            <w:vAlign w:val="center"/>
          </w:tcPr>
          <w:p w14:paraId="174C667D">
            <w:pPr>
              <w:rPr>
                <w:rFonts w:hint="eastAsia" w:ascii="Arial" w:hAnsi="Arial" w:cs="Arial"/>
                <w:sz w:val="20"/>
                <w:szCs w:val="20"/>
                <w:lang w:val="en-US" w:eastAsia="zh-CN"/>
              </w:rPr>
            </w:pPr>
            <w:r>
              <w:rPr>
                <w:rFonts w:hint="eastAsia" w:ascii="Arial" w:hAnsi="Arial" w:cs="Arial"/>
                <w:sz w:val="20"/>
                <w:szCs w:val="20"/>
                <w:lang w:val="en-US" w:eastAsia="zh-CN"/>
              </w:rPr>
              <w:t>AAT Bioquest, CA, USA</w:t>
            </w:r>
          </w:p>
        </w:tc>
        <w:tc>
          <w:tcPr>
            <w:tcW w:w="542" w:type="pct"/>
            <w:tcBorders>
              <w:top w:val="nil"/>
              <w:left w:val="nil"/>
              <w:bottom w:val="nil"/>
              <w:right w:val="nil"/>
            </w:tcBorders>
            <w:shd w:val="clear" w:color="auto" w:fill="auto"/>
            <w:noWrap/>
            <w:vAlign w:val="center"/>
          </w:tcPr>
          <w:p w14:paraId="16FA0ADC">
            <w:pPr>
              <w:rPr>
                <w:rFonts w:hint="eastAsia" w:ascii="Arial" w:hAnsi="Arial" w:cs="Arial"/>
                <w:sz w:val="20"/>
                <w:szCs w:val="20"/>
                <w:lang w:val="en-US" w:eastAsia="zh-CN"/>
              </w:rPr>
            </w:pPr>
            <w:r>
              <w:rPr>
                <w:rFonts w:hint="eastAsia" w:ascii="Arial" w:hAnsi="Arial" w:cs="Arial"/>
                <w:sz w:val="20"/>
                <w:szCs w:val="20"/>
                <w:lang w:val="en-US" w:eastAsia="zh-CN"/>
              </w:rPr>
              <w:t>45096</w:t>
            </w:r>
          </w:p>
        </w:tc>
      </w:tr>
      <w:tr w14:paraId="45846A79">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center"/>
          </w:tcPr>
          <w:p w14:paraId="78942AB4">
            <w:pPr>
              <w:rPr>
                <w:rFonts w:ascii="Arial" w:hAnsi="Arial" w:cs="Arial"/>
                <w:sz w:val="20"/>
                <w:szCs w:val="20"/>
              </w:rPr>
            </w:pPr>
            <w:r>
              <w:rPr>
                <w:rFonts w:ascii="Arial" w:hAnsi="Arial" w:cs="Arial"/>
                <w:sz w:val="20"/>
                <w:szCs w:val="20"/>
              </w:rPr>
              <w:t>iFluor® 680 Tyramide</w:t>
            </w:r>
          </w:p>
        </w:tc>
        <w:tc>
          <w:tcPr>
            <w:tcW w:w="1270" w:type="pct"/>
            <w:tcBorders>
              <w:top w:val="nil"/>
              <w:left w:val="nil"/>
              <w:bottom w:val="nil"/>
              <w:right w:val="nil"/>
            </w:tcBorders>
            <w:shd w:val="clear" w:color="auto" w:fill="auto"/>
            <w:noWrap/>
            <w:vAlign w:val="center"/>
          </w:tcPr>
          <w:p w14:paraId="44C990A1">
            <w:pPr>
              <w:rPr>
                <w:rFonts w:ascii="Arial" w:hAnsi="Arial" w:cs="Arial"/>
                <w:sz w:val="20"/>
                <w:szCs w:val="20"/>
              </w:rPr>
            </w:pPr>
            <w:r>
              <w:rPr>
                <w:rFonts w:hint="eastAsia" w:ascii="Arial" w:hAnsi="Arial" w:cs="Arial"/>
                <w:sz w:val="20"/>
                <w:szCs w:val="20"/>
                <w:lang w:val="en-US" w:eastAsia="zh-CN"/>
              </w:rPr>
              <w:t>AAT Bioquest, CA, USA</w:t>
            </w:r>
          </w:p>
        </w:tc>
        <w:tc>
          <w:tcPr>
            <w:tcW w:w="542" w:type="pct"/>
            <w:tcBorders>
              <w:top w:val="nil"/>
              <w:left w:val="nil"/>
              <w:bottom w:val="nil"/>
              <w:right w:val="nil"/>
            </w:tcBorders>
            <w:shd w:val="clear" w:color="auto" w:fill="auto"/>
            <w:noWrap/>
            <w:vAlign w:val="center"/>
          </w:tcPr>
          <w:p w14:paraId="72A29B9C">
            <w:pPr>
              <w:rPr>
                <w:rFonts w:ascii="Arial" w:hAnsi="Arial" w:cs="Arial"/>
                <w:sz w:val="20"/>
                <w:szCs w:val="20"/>
              </w:rPr>
            </w:pPr>
            <w:r>
              <w:rPr>
                <w:rFonts w:ascii="Arial" w:hAnsi="Arial" w:cs="Arial"/>
                <w:sz w:val="20"/>
                <w:szCs w:val="20"/>
              </w:rPr>
              <w:t>45113</w:t>
            </w:r>
          </w:p>
        </w:tc>
      </w:tr>
      <w:tr w14:paraId="6DF46137">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center"/>
          </w:tcPr>
          <w:p w14:paraId="0CE26DEC">
            <w:pPr>
              <w:rPr>
                <w:rFonts w:ascii="Arial" w:hAnsi="Arial" w:cs="Arial"/>
                <w:sz w:val="20"/>
                <w:szCs w:val="20"/>
              </w:rPr>
            </w:pPr>
            <w:r>
              <w:rPr>
                <w:rFonts w:hint="default" w:ascii="Arial" w:hAnsi="Arial" w:cs="Arial"/>
                <w:sz w:val="20"/>
                <w:szCs w:val="20"/>
              </w:rPr>
              <w:t>Fluoromount-G®</w:t>
            </w:r>
          </w:p>
        </w:tc>
        <w:tc>
          <w:tcPr>
            <w:tcW w:w="1270" w:type="pct"/>
            <w:tcBorders>
              <w:top w:val="nil"/>
              <w:left w:val="nil"/>
              <w:bottom w:val="nil"/>
              <w:right w:val="nil"/>
            </w:tcBorders>
            <w:shd w:val="clear" w:color="auto" w:fill="auto"/>
            <w:noWrap/>
            <w:vAlign w:val="center"/>
          </w:tcPr>
          <w:p w14:paraId="16B9A0EA">
            <w:pPr>
              <w:rPr>
                <w:rFonts w:ascii="Arial" w:hAnsi="Arial" w:cs="Arial"/>
                <w:sz w:val="20"/>
                <w:szCs w:val="20"/>
              </w:rPr>
            </w:pPr>
            <w:r>
              <w:rPr>
                <w:rFonts w:ascii="Arial" w:hAnsi="Arial" w:cs="Arial"/>
                <w:sz w:val="20"/>
                <w:szCs w:val="20"/>
              </w:rPr>
              <w:t>SouthernBiotech, AL, USA</w:t>
            </w:r>
          </w:p>
        </w:tc>
        <w:tc>
          <w:tcPr>
            <w:tcW w:w="542" w:type="pct"/>
            <w:tcBorders>
              <w:top w:val="nil"/>
              <w:left w:val="nil"/>
              <w:bottom w:val="nil"/>
              <w:right w:val="nil"/>
            </w:tcBorders>
            <w:shd w:val="clear" w:color="auto" w:fill="auto"/>
            <w:noWrap/>
            <w:vAlign w:val="center"/>
          </w:tcPr>
          <w:p w14:paraId="7A82C830">
            <w:pPr>
              <w:rPr>
                <w:rFonts w:ascii="Arial" w:hAnsi="Arial" w:cs="Arial"/>
                <w:sz w:val="20"/>
                <w:szCs w:val="20"/>
              </w:rPr>
            </w:pPr>
            <w:r>
              <w:rPr>
                <w:rFonts w:hint="eastAsia" w:ascii="Arial" w:hAnsi="Arial" w:cs="Arial"/>
                <w:sz w:val="20"/>
                <w:szCs w:val="20"/>
              </w:rPr>
              <w:t>0100-01</w:t>
            </w:r>
          </w:p>
        </w:tc>
      </w:tr>
      <w:tr w14:paraId="7C3470D3">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shd w:val="clear" w:color="auto" w:fill="auto"/>
            <w:noWrap/>
            <w:vAlign w:val="center"/>
          </w:tcPr>
          <w:p w14:paraId="215D20A8">
            <w:pPr>
              <w:rPr>
                <w:rFonts w:ascii="Arial" w:hAnsi="Arial" w:cs="Arial" w:eastAsiaTheme="minorEastAsia"/>
                <w:kern w:val="2"/>
                <w:sz w:val="20"/>
                <w:szCs w:val="20"/>
                <w:lang w:val="en-US" w:eastAsia="zh-CN" w:bidi="ar-SA"/>
              </w:rPr>
            </w:pPr>
            <w:r>
              <w:rPr>
                <w:rFonts w:ascii="Arial" w:hAnsi="Arial" w:cs="Arial"/>
                <w:sz w:val="20"/>
                <w:szCs w:val="20"/>
              </w:rPr>
              <w:t>2-octynoic acid-BSA</w:t>
            </w:r>
          </w:p>
        </w:tc>
        <w:tc>
          <w:tcPr>
            <w:tcW w:w="1270" w:type="pct"/>
            <w:tcBorders>
              <w:top w:val="nil"/>
              <w:left w:val="nil"/>
              <w:bottom w:val="nil"/>
              <w:right w:val="nil"/>
            </w:tcBorders>
            <w:shd w:val="clear" w:color="auto" w:fill="auto"/>
            <w:noWrap/>
            <w:vAlign w:val="center"/>
          </w:tcPr>
          <w:p w14:paraId="1E10894F">
            <w:pPr>
              <w:rPr>
                <w:rFonts w:ascii="Arial" w:hAnsi="Arial" w:cs="Arial" w:eastAsiaTheme="minorEastAsia"/>
                <w:kern w:val="2"/>
                <w:sz w:val="20"/>
                <w:szCs w:val="20"/>
                <w:lang w:val="en-US" w:eastAsia="zh-CN" w:bidi="ar-SA"/>
              </w:rPr>
            </w:pPr>
            <w:r>
              <w:rPr>
                <w:rFonts w:ascii="Arial" w:hAnsi="Arial" w:cs="Arial"/>
                <w:sz w:val="20"/>
                <w:szCs w:val="20"/>
              </w:rPr>
              <w:t>Ruixibio, Xi'an, China</w:t>
            </w:r>
          </w:p>
        </w:tc>
        <w:tc>
          <w:tcPr>
            <w:tcW w:w="542" w:type="pct"/>
            <w:tcBorders>
              <w:top w:val="nil"/>
              <w:left w:val="nil"/>
              <w:bottom w:val="nil"/>
              <w:right w:val="nil"/>
            </w:tcBorders>
            <w:shd w:val="clear" w:color="auto" w:fill="auto"/>
            <w:noWrap/>
            <w:vAlign w:val="center"/>
          </w:tcPr>
          <w:p w14:paraId="7C74BA6D">
            <w:pPr>
              <w:rPr>
                <w:rFonts w:ascii="Arial" w:hAnsi="Arial" w:cs="Arial" w:eastAsiaTheme="minorEastAsia"/>
                <w:kern w:val="2"/>
                <w:sz w:val="20"/>
                <w:szCs w:val="20"/>
                <w:lang w:val="en-US" w:eastAsia="zh-CN" w:bidi="ar-SA"/>
              </w:rPr>
            </w:pPr>
            <w:r>
              <w:rPr>
                <w:rFonts w:ascii="Arial" w:hAnsi="Arial" w:cs="Arial"/>
                <w:sz w:val="20"/>
                <w:szCs w:val="20"/>
              </w:rPr>
              <w:t>R-C-1206</w:t>
            </w:r>
          </w:p>
        </w:tc>
      </w:tr>
      <w:tr w14:paraId="10BDA6ED">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0910E3E9">
            <w:pPr>
              <w:rPr>
                <w:rFonts w:ascii="Arial" w:hAnsi="Arial" w:cs="Arial"/>
                <w:sz w:val="20"/>
                <w:szCs w:val="20"/>
              </w:rPr>
            </w:pPr>
            <w:r>
              <w:rPr>
                <w:rFonts w:ascii="Arial" w:hAnsi="Arial" w:cs="Arial"/>
                <w:sz w:val="20"/>
                <w:szCs w:val="20"/>
              </w:rPr>
              <w:t>Pertussis toxin</w:t>
            </w:r>
          </w:p>
        </w:tc>
        <w:tc>
          <w:tcPr>
            <w:tcW w:w="1270" w:type="pct"/>
            <w:tcBorders>
              <w:top w:val="nil"/>
              <w:left w:val="nil"/>
              <w:bottom w:val="nil"/>
              <w:right w:val="nil"/>
            </w:tcBorders>
            <w:noWrap/>
            <w:vAlign w:val="center"/>
          </w:tcPr>
          <w:p w14:paraId="68042048">
            <w:pPr>
              <w:rPr>
                <w:rFonts w:ascii="Arial" w:hAnsi="Arial" w:cs="Arial"/>
                <w:sz w:val="20"/>
                <w:szCs w:val="20"/>
              </w:rPr>
            </w:pPr>
            <w:r>
              <w:rPr>
                <w:rFonts w:ascii="Arial" w:hAnsi="Arial" w:cs="Arial"/>
                <w:sz w:val="20"/>
                <w:szCs w:val="20"/>
              </w:rPr>
              <w:t>Sigma-Aldrich, St. Louis, USA</w:t>
            </w:r>
          </w:p>
        </w:tc>
        <w:tc>
          <w:tcPr>
            <w:tcW w:w="542" w:type="pct"/>
            <w:tcBorders>
              <w:top w:val="nil"/>
              <w:left w:val="nil"/>
              <w:bottom w:val="nil"/>
              <w:right w:val="nil"/>
            </w:tcBorders>
            <w:noWrap/>
            <w:vAlign w:val="center"/>
          </w:tcPr>
          <w:p w14:paraId="015764AB">
            <w:pPr>
              <w:rPr>
                <w:rFonts w:ascii="Arial" w:hAnsi="Arial" w:cs="Arial"/>
                <w:sz w:val="20"/>
                <w:szCs w:val="20"/>
              </w:rPr>
            </w:pPr>
            <w:r>
              <w:rPr>
                <w:rFonts w:ascii="Arial" w:hAnsi="Arial" w:cs="Arial"/>
                <w:sz w:val="20"/>
                <w:szCs w:val="20"/>
              </w:rPr>
              <w:t>516562-M</w:t>
            </w:r>
          </w:p>
        </w:tc>
      </w:tr>
      <w:tr w14:paraId="14C82D92">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56B98B6B">
            <w:pPr>
              <w:rPr>
                <w:rFonts w:ascii="Arial" w:hAnsi="Arial" w:cs="Arial"/>
                <w:sz w:val="20"/>
                <w:szCs w:val="20"/>
              </w:rPr>
            </w:pPr>
            <w:r>
              <w:rPr>
                <w:rFonts w:ascii="Arial" w:hAnsi="Arial" w:cs="Arial"/>
                <w:sz w:val="20"/>
                <w:szCs w:val="20"/>
              </w:rPr>
              <w:t>Incomplete Freund's adjuvant</w:t>
            </w:r>
          </w:p>
        </w:tc>
        <w:tc>
          <w:tcPr>
            <w:tcW w:w="1270" w:type="pct"/>
            <w:tcBorders>
              <w:top w:val="nil"/>
              <w:left w:val="nil"/>
              <w:bottom w:val="nil"/>
              <w:right w:val="nil"/>
            </w:tcBorders>
            <w:noWrap/>
            <w:vAlign w:val="center"/>
          </w:tcPr>
          <w:p w14:paraId="27266B7D">
            <w:pPr>
              <w:rPr>
                <w:rFonts w:ascii="Arial" w:hAnsi="Arial" w:cs="Arial"/>
                <w:sz w:val="20"/>
                <w:szCs w:val="20"/>
              </w:rPr>
            </w:pPr>
            <w:r>
              <w:rPr>
                <w:rFonts w:ascii="Arial" w:hAnsi="Arial" w:cs="Arial"/>
                <w:sz w:val="20"/>
                <w:szCs w:val="20"/>
              </w:rPr>
              <w:t>Sigma-Aldrich, St. Louis, USA</w:t>
            </w:r>
          </w:p>
        </w:tc>
        <w:tc>
          <w:tcPr>
            <w:tcW w:w="542" w:type="pct"/>
            <w:tcBorders>
              <w:top w:val="nil"/>
              <w:left w:val="nil"/>
              <w:bottom w:val="nil"/>
              <w:right w:val="nil"/>
            </w:tcBorders>
            <w:noWrap/>
            <w:vAlign w:val="center"/>
          </w:tcPr>
          <w:p w14:paraId="07F673E1">
            <w:pPr>
              <w:rPr>
                <w:rFonts w:ascii="Arial" w:hAnsi="Arial" w:cs="Arial"/>
                <w:sz w:val="20"/>
                <w:szCs w:val="20"/>
              </w:rPr>
            </w:pPr>
            <w:r>
              <w:fldChar w:fldCharType="begin"/>
            </w:r>
            <w:r>
              <w:instrText xml:space="preserve"> HYPERLINK "https://www.sigmaaldrich.cn/CN/zh/product/sigma/f5506" \o "https://www.sigmaaldrich.cn/CN/zh/product/sigma/f5506" </w:instrText>
            </w:r>
            <w:r>
              <w:fldChar w:fldCharType="separate"/>
            </w:r>
            <w:r>
              <w:rPr>
                <w:rFonts w:ascii="Arial" w:hAnsi="Arial" w:cs="Arial"/>
                <w:sz w:val="20"/>
                <w:szCs w:val="20"/>
              </w:rPr>
              <w:t>F5506</w:t>
            </w:r>
            <w:r>
              <w:rPr>
                <w:rFonts w:ascii="Arial" w:hAnsi="Arial" w:cs="Arial"/>
                <w:sz w:val="20"/>
                <w:szCs w:val="20"/>
              </w:rPr>
              <w:fldChar w:fldCharType="end"/>
            </w:r>
          </w:p>
        </w:tc>
      </w:tr>
      <w:tr w14:paraId="136545BA">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5E8901AB">
            <w:pPr>
              <w:rPr>
                <w:rFonts w:ascii="Arial" w:hAnsi="Arial" w:cs="Arial"/>
                <w:sz w:val="20"/>
                <w:szCs w:val="20"/>
              </w:rPr>
            </w:pPr>
            <w:r>
              <w:rPr>
                <w:rFonts w:ascii="Arial" w:hAnsi="Arial" w:cs="Arial"/>
                <w:sz w:val="20"/>
                <w:szCs w:val="20"/>
              </w:rPr>
              <w:t>Complete Freund's adjuvant</w:t>
            </w:r>
          </w:p>
        </w:tc>
        <w:tc>
          <w:tcPr>
            <w:tcW w:w="1270" w:type="pct"/>
            <w:tcBorders>
              <w:top w:val="nil"/>
              <w:left w:val="nil"/>
              <w:bottom w:val="nil"/>
              <w:right w:val="nil"/>
            </w:tcBorders>
            <w:noWrap/>
            <w:vAlign w:val="center"/>
          </w:tcPr>
          <w:p w14:paraId="4911EFD6">
            <w:pPr>
              <w:rPr>
                <w:rFonts w:ascii="Arial" w:hAnsi="Arial" w:cs="Arial"/>
                <w:sz w:val="20"/>
                <w:szCs w:val="20"/>
              </w:rPr>
            </w:pPr>
            <w:r>
              <w:rPr>
                <w:rFonts w:ascii="Arial" w:hAnsi="Arial" w:cs="Arial"/>
                <w:sz w:val="20"/>
                <w:szCs w:val="20"/>
              </w:rPr>
              <w:t>Sigma-Aldrich, St. Louis, USA</w:t>
            </w:r>
          </w:p>
        </w:tc>
        <w:tc>
          <w:tcPr>
            <w:tcW w:w="542" w:type="pct"/>
            <w:tcBorders>
              <w:top w:val="nil"/>
              <w:left w:val="nil"/>
              <w:bottom w:val="nil"/>
              <w:right w:val="nil"/>
            </w:tcBorders>
            <w:noWrap/>
            <w:vAlign w:val="center"/>
          </w:tcPr>
          <w:p w14:paraId="502AC21A">
            <w:pPr>
              <w:rPr>
                <w:rFonts w:ascii="Arial" w:hAnsi="Arial" w:cs="Arial"/>
                <w:sz w:val="20"/>
                <w:szCs w:val="20"/>
              </w:rPr>
            </w:pPr>
            <w:r>
              <w:fldChar w:fldCharType="begin"/>
            </w:r>
            <w:r>
              <w:instrText xml:space="preserve"> HYPERLINK "https://www.sigmaaldrich.cn/CN/zh/product/sigma/f5881" \o "https://www.sigmaaldrich.cn/CN/zh/product/sigma/f5881" </w:instrText>
            </w:r>
            <w:r>
              <w:fldChar w:fldCharType="separate"/>
            </w:r>
            <w:r>
              <w:rPr>
                <w:rFonts w:ascii="Arial" w:hAnsi="Arial" w:cs="Arial"/>
                <w:sz w:val="20"/>
                <w:szCs w:val="20"/>
              </w:rPr>
              <w:t>F5881</w:t>
            </w:r>
            <w:r>
              <w:rPr>
                <w:rFonts w:ascii="Arial" w:hAnsi="Arial" w:cs="Arial"/>
                <w:sz w:val="20"/>
                <w:szCs w:val="20"/>
              </w:rPr>
              <w:fldChar w:fldCharType="end"/>
            </w:r>
          </w:p>
        </w:tc>
      </w:tr>
      <w:tr w14:paraId="21F019B3">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2F30A1BA">
            <w:pPr>
              <w:rPr>
                <w:rFonts w:ascii="Arial" w:hAnsi="Arial" w:cs="Arial"/>
                <w:sz w:val="20"/>
                <w:szCs w:val="20"/>
              </w:rPr>
            </w:pPr>
            <w:r>
              <w:rPr>
                <w:rFonts w:ascii="Arial" w:hAnsi="Arial" w:cs="Arial"/>
                <w:sz w:val="20"/>
                <w:szCs w:val="20"/>
              </w:rPr>
              <w:t>Berberine chloride</w:t>
            </w:r>
          </w:p>
        </w:tc>
        <w:tc>
          <w:tcPr>
            <w:tcW w:w="1270" w:type="pct"/>
            <w:tcBorders>
              <w:top w:val="nil"/>
              <w:left w:val="nil"/>
              <w:bottom w:val="nil"/>
              <w:right w:val="nil"/>
            </w:tcBorders>
            <w:noWrap/>
            <w:vAlign w:val="center"/>
          </w:tcPr>
          <w:p w14:paraId="77B9160A">
            <w:pPr>
              <w:rPr>
                <w:rFonts w:ascii="Arial" w:hAnsi="Arial" w:cs="Arial"/>
                <w:sz w:val="20"/>
                <w:szCs w:val="20"/>
              </w:rPr>
            </w:pPr>
            <w:r>
              <w:rPr>
                <w:rFonts w:ascii="Arial" w:hAnsi="Arial" w:cs="Arial"/>
                <w:sz w:val="20"/>
                <w:szCs w:val="20"/>
              </w:rPr>
              <w:t>MedChemExpress, NJ, USA</w:t>
            </w:r>
          </w:p>
        </w:tc>
        <w:tc>
          <w:tcPr>
            <w:tcW w:w="542" w:type="pct"/>
            <w:tcBorders>
              <w:top w:val="nil"/>
              <w:left w:val="nil"/>
              <w:bottom w:val="nil"/>
              <w:right w:val="nil"/>
            </w:tcBorders>
            <w:noWrap/>
            <w:vAlign w:val="center"/>
          </w:tcPr>
          <w:p w14:paraId="128F63B0">
            <w:pPr>
              <w:rPr>
                <w:rFonts w:ascii="Arial" w:hAnsi="Arial" w:cs="Arial"/>
                <w:sz w:val="20"/>
                <w:szCs w:val="20"/>
              </w:rPr>
            </w:pPr>
            <w:r>
              <w:rPr>
                <w:rFonts w:ascii="Arial" w:hAnsi="Arial" w:cs="Arial"/>
                <w:sz w:val="20"/>
                <w:szCs w:val="20"/>
              </w:rPr>
              <w:t xml:space="preserve">HY-18258 </w:t>
            </w:r>
          </w:p>
        </w:tc>
      </w:tr>
      <w:tr w14:paraId="23E91484">
        <w:tblPrEx>
          <w:tblCellMar>
            <w:top w:w="0" w:type="dxa"/>
            <w:left w:w="108" w:type="dxa"/>
            <w:bottom w:w="0" w:type="dxa"/>
            <w:right w:w="108" w:type="dxa"/>
          </w:tblCellMar>
        </w:tblPrEx>
        <w:trPr>
          <w:trHeight w:val="285" w:hRule="atLeast"/>
        </w:trPr>
        <w:tc>
          <w:tcPr>
            <w:tcW w:w="3187" w:type="pct"/>
            <w:tcBorders>
              <w:top w:val="nil"/>
              <w:left w:val="nil"/>
              <w:bottom w:val="nil"/>
              <w:right w:val="nil"/>
            </w:tcBorders>
            <w:noWrap/>
            <w:vAlign w:val="center"/>
          </w:tcPr>
          <w:p w14:paraId="1316BBCD">
            <w:pPr>
              <w:rPr>
                <w:rFonts w:ascii="Arial" w:hAnsi="Arial" w:cs="Arial"/>
                <w:sz w:val="20"/>
                <w:szCs w:val="20"/>
              </w:rPr>
            </w:pPr>
            <w:r>
              <w:rPr>
                <w:rFonts w:ascii="Arial" w:hAnsi="Arial" w:cs="Arial"/>
                <w:sz w:val="20"/>
                <w:szCs w:val="20"/>
              </w:rPr>
              <w:t>Bovine serum albumin</w:t>
            </w:r>
          </w:p>
        </w:tc>
        <w:tc>
          <w:tcPr>
            <w:tcW w:w="1270" w:type="pct"/>
            <w:tcBorders>
              <w:top w:val="nil"/>
              <w:left w:val="nil"/>
              <w:bottom w:val="nil"/>
              <w:right w:val="nil"/>
            </w:tcBorders>
            <w:noWrap/>
            <w:vAlign w:val="center"/>
          </w:tcPr>
          <w:p w14:paraId="6A2F5DCB">
            <w:pPr>
              <w:rPr>
                <w:rFonts w:ascii="Arial" w:hAnsi="Arial" w:cs="Arial"/>
                <w:sz w:val="20"/>
                <w:szCs w:val="20"/>
              </w:rPr>
            </w:pPr>
            <w:r>
              <w:rPr>
                <w:rFonts w:ascii="Arial" w:hAnsi="Arial" w:cs="Arial"/>
                <w:sz w:val="20"/>
                <w:szCs w:val="20"/>
              </w:rPr>
              <w:t>MedChemExpress, NJ, USA</w:t>
            </w:r>
          </w:p>
        </w:tc>
        <w:tc>
          <w:tcPr>
            <w:tcW w:w="542" w:type="pct"/>
            <w:tcBorders>
              <w:top w:val="nil"/>
              <w:left w:val="nil"/>
              <w:bottom w:val="nil"/>
              <w:right w:val="nil"/>
            </w:tcBorders>
            <w:noWrap/>
            <w:vAlign w:val="center"/>
          </w:tcPr>
          <w:p w14:paraId="362E2909">
            <w:pPr>
              <w:rPr>
                <w:rFonts w:ascii="Arial" w:hAnsi="Arial" w:cs="Arial"/>
                <w:sz w:val="20"/>
                <w:szCs w:val="20"/>
              </w:rPr>
            </w:pPr>
            <w:r>
              <w:rPr>
                <w:rFonts w:ascii="Arial" w:hAnsi="Arial" w:cs="Arial"/>
                <w:sz w:val="20"/>
                <w:szCs w:val="20"/>
              </w:rPr>
              <w:t xml:space="preserve">HY-D0842 </w:t>
            </w:r>
          </w:p>
        </w:tc>
      </w:tr>
      <w:tr w14:paraId="2DABDFD9">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3FC4C20D">
            <w:pPr>
              <w:rPr>
                <w:rFonts w:ascii="Arial" w:hAnsi="Arial" w:cs="Arial"/>
                <w:sz w:val="20"/>
                <w:szCs w:val="20"/>
              </w:rPr>
            </w:pPr>
            <w:r>
              <w:rPr>
                <w:rFonts w:ascii="Arial" w:hAnsi="Arial" w:cs="Arial"/>
                <w:sz w:val="20"/>
                <w:szCs w:val="20"/>
              </w:rPr>
              <w:t>Y-27632</w:t>
            </w:r>
          </w:p>
        </w:tc>
        <w:tc>
          <w:tcPr>
            <w:tcW w:w="1270" w:type="pct"/>
            <w:tcBorders>
              <w:top w:val="nil"/>
              <w:left w:val="nil"/>
              <w:bottom w:val="nil"/>
              <w:right w:val="nil"/>
            </w:tcBorders>
            <w:noWrap/>
            <w:vAlign w:val="center"/>
          </w:tcPr>
          <w:p w14:paraId="7A554C1A">
            <w:pPr>
              <w:rPr>
                <w:rFonts w:ascii="Arial" w:hAnsi="Arial" w:cs="Arial"/>
                <w:sz w:val="20"/>
                <w:szCs w:val="20"/>
              </w:rPr>
            </w:pPr>
            <w:r>
              <w:rPr>
                <w:rFonts w:ascii="Arial" w:hAnsi="Arial" w:cs="Arial"/>
                <w:sz w:val="20"/>
                <w:szCs w:val="20"/>
              </w:rPr>
              <w:t>MedChemExpress, NJ, USA</w:t>
            </w:r>
          </w:p>
        </w:tc>
        <w:tc>
          <w:tcPr>
            <w:tcW w:w="542" w:type="pct"/>
            <w:tcBorders>
              <w:top w:val="nil"/>
              <w:left w:val="nil"/>
              <w:bottom w:val="nil"/>
              <w:right w:val="nil"/>
            </w:tcBorders>
            <w:noWrap/>
            <w:vAlign w:val="center"/>
          </w:tcPr>
          <w:p w14:paraId="35558A6A">
            <w:pPr>
              <w:rPr>
                <w:rFonts w:ascii="Arial" w:hAnsi="Arial" w:cs="Arial"/>
                <w:sz w:val="20"/>
                <w:szCs w:val="20"/>
              </w:rPr>
            </w:pPr>
            <w:r>
              <w:rPr>
                <w:rFonts w:ascii="Arial" w:hAnsi="Arial" w:cs="Arial"/>
                <w:sz w:val="20"/>
                <w:szCs w:val="20"/>
              </w:rPr>
              <w:t>HY-10071</w:t>
            </w:r>
          </w:p>
        </w:tc>
      </w:tr>
      <w:tr w14:paraId="644B77BC">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35B74B6B">
            <w:pPr>
              <w:rPr>
                <w:rFonts w:ascii="Arial" w:hAnsi="Arial" w:cs="Arial"/>
                <w:sz w:val="20"/>
                <w:szCs w:val="20"/>
              </w:rPr>
            </w:pPr>
            <w:r>
              <w:rPr>
                <w:rFonts w:ascii="Arial" w:hAnsi="Arial" w:cs="Arial"/>
                <w:sz w:val="20"/>
                <w:szCs w:val="20"/>
              </w:rPr>
              <w:t>Human IL-6 Elisa Kit</w:t>
            </w:r>
          </w:p>
        </w:tc>
        <w:tc>
          <w:tcPr>
            <w:tcW w:w="1270" w:type="pct"/>
            <w:tcBorders>
              <w:top w:val="nil"/>
              <w:left w:val="nil"/>
              <w:bottom w:val="nil"/>
              <w:right w:val="nil"/>
            </w:tcBorders>
            <w:noWrap/>
            <w:vAlign w:val="center"/>
          </w:tcPr>
          <w:p w14:paraId="53D51B91">
            <w:pPr>
              <w:rPr>
                <w:rFonts w:ascii="Arial" w:hAnsi="Arial" w:cs="Arial"/>
                <w:sz w:val="20"/>
                <w:szCs w:val="20"/>
              </w:rPr>
            </w:pPr>
            <w:r>
              <w:rPr>
                <w:rFonts w:ascii="Arial" w:hAnsi="Arial" w:cs="Arial"/>
                <w:sz w:val="20"/>
                <w:szCs w:val="20"/>
              </w:rPr>
              <w:t>ZCIBIO, Shanghai, China</w:t>
            </w:r>
          </w:p>
        </w:tc>
        <w:tc>
          <w:tcPr>
            <w:tcW w:w="542" w:type="pct"/>
            <w:tcBorders>
              <w:top w:val="nil"/>
              <w:left w:val="nil"/>
              <w:bottom w:val="nil"/>
              <w:right w:val="nil"/>
            </w:tcBorders>
            <w:noWrap/>
            <w:vAlign w:val="center"/>
          </w:tcPr>
          <w:p w14:paraId="318F5F65">
            <w:pPr>
              <w:rPr>
                <w:rFonts w:ascii="Arial" w:hAnsi="Arial" w:cs="Arial"/>
                <w:sz w:val="20"/>
                <w:szCs w:val="20"/>
              </w:rPr>
            </w:pPr>
            <w:r>
              <w:rPr>
                <w:rFonts w:ascii="Arial" w:hAnsi="Arial" w:cs="Arial"/>
                <w:sz w:val="20"/>
                <w:szCs w:val="20"/>
              </w:rPr>
              <w:t>ZC-32446</w:t>
            </w:r>
          </w:p>
        </w:tc>
      </w:tr>
      <w:tr w14:paraId="25EFA65B">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3E3D6387">
            <w:pPr>
              <w:rPr>
                <w:rFonts w:ascii="Arial" w:hAnsi="Arial" w:cs="Arial"/>
                <w:sz w:val="20"/>
                <w:szCs w:val="20"/>
              </w:rPr>
            </w:pPr>
            <w:r>
              <w:rPr>
                <w:rFonts w:ascii="Arial" w:hAnsi="Arial" w:cs="Arial"/>
                <w:sz w:val="20"/>
                <w:szCs w:val="20"/>
              </w:rPr>
              <w:t>Human TNF-α Elisa Kit</w:t>
            </w:r>
          </w:p>
        </w:tc>
        <w:tc>
          <w:tcPr>
            <w:tcW w:w="1270" w:type="pct"/>
            <w:tcBorders>
              <w:top w:val="nil"/>
              <w:left w:val="nil"/>
              <w:bottom w:val="nil"/>
              <w:right w:val="nil"/>
            </w:tcBorders>
            <w:noWrap/>
            <w:vAlign w:val="center"/>
          </w:tcPr>
          <w:p w14:paraId="54201206">
            <w:pPr>
              <w:rPr>
                <w:rFonts w:ascii="Arial" w:hAnsi="Arial" w:cs="Arial"/>
                <w:sz w:val="20"/>
                <w:szCs w:val="20"/>
              </w:rPr>
            </w:pPr>
            <w:r>
              <w:rPr>
                <w:rFonts w:ascii="Arial" w:hAnsi="Arial" w:cs="Arial"/>
                <w:sz w:val="20"/>
                <w:szCs w:val="20"/>
              </w:rPr>
              <w:t>ZCIBIO, Shanghai, China</w:t>
            </w:r>
          </w:p>
        </w:tc>
        <w:tc>
          <w:tcPr>
            <w:tcW w:w="542" w:type="pct"/>
            <w:tcBorders>
              <w:top w:val="nil"/>
              <w:left w:val="nil"/>
              <w:bottom w:val="nil"/>
              <w:right w:val="nil"/>
            </w:tcBorders>
            <w:noWrap/>
            <w:vAlign w:val="center"/>
          </w:tcPr>
          <w:p w14:paraId="6D60642B">
            <w:pPr>
              <w:rPr>
                <w:rFonts w:ascii="Arial" w:hAnsi="Arial" w:cs="Arial"/>
                <w:sz w:val="20"/>
                <w:szCs w:val="20"/>
              </w:rPr>
            </w:pPr>
            <w:r>
              <w:rPr>
                <w:rFonts w:ascii="Arial" w:hAnsi="Arial" w:cs="Arial"/>
                <w:sz w:val="20"/>
                <w:szCs w:val="20"/>
              </w:rPr>
              <w:t>ZC-35733</w:t>
            </w:r>
          </w:p>
        </w:tc>
      </w:tr>
      <w:tr w14:paraId="20FD6E01">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75CDB7B7">
            <w:pPr>
              <w:rPr>
                <w:rFonts w:ascii="Arial" w:hAnsi="Arial" w:cs="Arial"/>
                <w:sz w:val="20"/>
                <w:szCs w:val="20"/>
              </w:rPr>
            </w:pPr>
            <w:r>
              <w:rPr>
                <w:rFonts w:ascii="Arial" w:hAnsi="Arial" w:cs="Arial"/>
                <w:sz w:val="20"/>
                <w:szCs w:val="20"/>
              </w:rPr>
              <w:t>Human IL-8 Elisa Kit</w:t>
            </w:r>
          </w:p>
        </w:tc>
        <w:tc>
          <w:tcPr>
            <w:tcW w:w="1270" w:type="pct"/>
            <w:tcBorders>
              <w:top w:val="nil"/>
              <w:left w:val="nil"/>
              <w:bottom w:val="nil"/>
              <w:right w:val="nil"/>
            </w:tcBorders>
            <w:noWrap/>
            <w:vAlign w:val="center"/>
          </w:tcPr>
          <w:p w14:paraId="700DCC55">
            <w:pPr>
              <w:rPr>
                <w:rFonts w:ascii="Arial" w:hAnsi="Arial" w:cs="Arial"/>
                <w:sz w:val="20"/>
                <w:szCs w:val="20"/>
              </w:rPr>
            </w:pPr>
            <w:r>
              <w:rPr>
                <w:rFonts w:ascii="Arial" w:hAnsi="Arial" w:cs="Arial"/>
                <w:sz w:val="20"/>
                <w:szCs w:val="20"/>
              </w:rPr>
              <w:t>ZCIBIO, Shanghai, China</w:t>
            </w:r>
          </w:p>
        </w:tc>
        <w:tc>
          <w:tcPr>
            <w:tcW w:w="542" w:type="pct"/>
            <w:tcBorders>
              <w:top w:val="nil"/>
              <w:left w:val="nil"/>
              <w:bottom w:val="nil"/>
              <w:right w:val="nil"/>
            </w:tcBorders>
            <w:noWrap/>
            <w:vAlign w:val="center"/>
          </w:tcPr>
          <w:p w14:paraId="5C64C599">
            <w:pPr>
              <w:rPr>
                <w:rFonts w:ascii="Arial" w:hAnsi="Arial" w:cs="Arial"/>
                <w:sz w:val="20"/>
                <w:szCs w:val="20"/>
              </w:rPr>
            </w:pPr>
            <w:r>
              <w:rPr>
                <w:rFonts w:ascii="Arial" w:hAnsi="Arial" w:cs="Arial"/>
                <w:sz w:val="20"/>
                <w:szCs w:val="20"/>
              </w:rPr>
              <w:t>ZC-32449</w:t>
            </w:r>
          </w:p>
        </w:tc>
      </w:tr>
      <w:tr w14:paraId="562F3D24">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3571D3A9">
            <w:pPr>
              <w:rPr>
                <w:rFonts w:ascii="Arial" w:hAnsi="Arial" w:cs="Arial"/>
                <w:sz w:val="20"/>
                <w:szCs w:val="20"/>
              </w:rPr>
            </w:pPr>
            <w:r>
              <w:rPr>
                <w:rFonts w:ascii="Arial" w:hAnsi="Arial" w:cs="Arial"/>
                <w:sz w:val="20"/>
                <w:szCs w:val="20"/>
              </w:rPr>
              <w:t>Human CXCL2 Elisa Kit</w:t>
            </w:r>
          </w:p>
        </w:tc>
        <w:tc>
          <w:tcPr>
            <w:tcW w:w="1270" w:type="pct"/>
            <w:tcBorders>
              <w:top w:val="nil"/>
              <w:left w:val="nil"/>
              <w:bottom w:val="nil"/>
              <w:right w:val="nil"/>
            </w:tcBorders>
            <w:noWrap/>
            <w:vAlign w:val="center"/>
          </w:tcPr>
          <w:p w14:paraId="6AD1D62E">
            <w:pPr>
              <w:rPr>
                <w:rFonts w:ascii="Arial" w:hAnsi="Arial" w:cs="Arial"/>
                <w:sz w:val="20"/>
                <w:szCs w:val="20"/>
              </w:rPr>
            </w:pPr>
            <w:r>
              <w:rPr>
                <w:rFonts w:ascii="Arial" w:hAnsi="Arial" w:cs="Arial"/>
                <w:sz w:val="20"/>
                <w:szCs w:val="20"/>
              </w:rPr>
              <w:t>ZCIBIO, Shanghai, China</w:t>
            </w:r>
          </w:p>
        </w:tc>
        <w:tc>
          <w:tcPr>
            <w:tcW w:w="542" w:type="pct"/>
            <w:tcBorders>
              <w:top w:val="nil"/>
              <w:left w:val="nil"/>
              <w:bottom w:val="nil"/>
              <w:right w:val="nil"/>
            </w:tcBorders>
            <w:noWrap/>
            <w:vAlign w:val="center"/>
          </w:tcPr>
          <w:p w14:paraId="0F12901C">
            <w:pPr>
              <w:rPr>
                <w:rFonts w:ascii="Arial" w:hAnsi="Arial" w:cs="Arial"/>
                <w:sz w:val="20"/>
                <w:szCs w:val="20"/>
              </w:rPr>
            </w:pPr>
            <w:r>
              <w:rPr>
                <w:rFonts w:ascii="Arial" w:hAnsi="Arial" w:cs="Arial"/>
                <w:sz w:val="20"/>
                <w:szCs w:val="20"/>
              </w:rPr>
              <w:t>ZC-34458</w:t>
            </w:r>
          </w:p>
        </w:tc>
      </w:tr>
      <w:tr w14:paraId="2A0BE5FE">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6D49660B">
            <w:pPr>
              <w:rPr>
                <w:rFonts w:ascii="Arial" w:hAnsi="Arial" w:cs="Arial"/>
                <w:sz w:val="20"/>
                <w:szCs w:val="20"/>
              </w:rPr>
            </w:pPr>
            <w:r>
              <w:rPr>
                <w:rFonts w:ascii="Arial" w:hAnsi="Arial" w:cs="Arial"/>
                <w:sz w:val="20"/>
                <w:szCs w:val="20"/>
              </w:rPr>
              <w:t>Human CXCL10 Elisa Kit</w:t>
            </w:r>
          </w:p>
        </w:tc>
        <w:tc>
          <w:tcPr>
            <w:tcW w:w="1270" w:type="pct"/>
            <w:tcBorders>
              <w:top w:val="nil"/>
              <w:left w:val="nil"/>
              <w:bottom w:val="nil"/>
              <w:right w:val="nil"/>
            </w:tcBorders>
            <w:noWrap/>
            <w:vAlign w:val="center"/>
          </w:tcPr>
          <w:p w14:paraId="33DC9747">
            <w:pPr>
              <w:rPr>
                <w:rFonts w:ascii="Arial" w:hAnsi="Arial" w:cs="Arial"/>
                <w:sz w:val="20"/>
                <w:szCs w:val="20"/>
              </w:rPr>
            </w:pPr>
            <w:r>
              <w:rPr>
                <w:rFonts w:ascii="Arial" w:hAnsi="Arial" w:cs="Arial"/>
                <w:sz w:val="20"/>
                <w:szCs w:val="20"/>
              </w:rPr>
              <w:t>ZCIBIO, Shanghai, China</w:t>
            </w:r>
          </w:p>
        </w:tc>
        <w:tc>
          <w:tcPr>
            <w:tcW w:w="542" w:type="pct"/>
            <w:tcBorders>
              <w:top w:val="nil"/>
              <w:left w:val="nil"/>
              <w:bottom w:val="nil"/>
              <w:right w:val="nil"/>
            </w:tcBorders>
            <w:noWrap/>
            <w:vAlign w:val="center"/>
          </w:tcPr>
          <w:p w14:paraId="30A44C32">
            <w:pPr>
              <w:rPr>
                <w:rFonts w:ascii="Arial" w:hAnsi="Arial" w:cs="Arial"/>
                <w:sz w:val="20"/>
                <w:szCs w:val="20"/>
              </w:rPr>
            </w:pPr>
            <w:r>
              <w:rPr>
                <w:rFonts w:ascii="Arial" w:hAnsi="Arial" w:cs="Arial"/>
                <w:sz w:val="20"/>
                <w:szCs w:val="20"/>
              </w:rPr>
              <w:t>ZC-57631</w:t>
            </w:r>
          </w:p>
        </w:tc>
      </w:tr>
      <w:tr w14:paraId="04659884">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25831439">
            <w:pPr>
              <w:rPr>
                <w:rFonts w:ascii="Arial" w:hAnsi="Arial" w:cs="Arial"/>
                <w:sz w:val="20"/>
                <w:szCs w:val="20"/>
              </w:rPr>
            </w:pPr>
            <w:r>
              <w:rPr>
                <w:rFonts w:ascii="Arial" w:hAnsi="Arial" w:cs="Arial"/>
                <w:sz w:val="20"/>
                <w:szCs w:val="20"/>
              </w:rPr>
              <w:t xml:space="preserve">SA-β-gal </w:t>
            </w:r>
            <w:r>
              <w:rPr>
                <w:rFonts w:hint="eastAsia" w:ascii="Arial" w:hAnsi="Arial" w:cs="Arial"/>
                <w:sz w:val="20"/>
                <w:szCs w:val="20"/>
              </w:rPr>
              <w:t>s</w:t>
            </w:r>
            <w:r>
              <w:rPr>
                <w:rFonts w:ascii="Arial" w:hAnsi="Arial" w:cs="Arial"/>
                <w:sz w:val="20"/>
                <w:szCs w:val="20"/>
              </w:rPr>
              <w:t>taining Kit</w:t>
            </w:r>
          </w:p>
        </w:tc>
        <w:tc>
          <w:tcPr>
            <w:tcW w:w="1270" w:type="pct"/>
            <w:tcBorders>
              <w:top w:val="nil"/>
              <w:left w:val="nil"/>
              <w:bottom w:val="nil"/>
              <w:right w:val="nil"/>
            </w:tcBorders>
            <w:noWrap/>
            <w:vAlign w:val="center"/>
          </w:tcPr>
          <w:p w14:paraId="30AB851B">
            <w:pPr>
              <w:rPr>
                <w:rFonts w:ascii="Arial" w:hAnsi="Arial" w:cs="Arial"/>
                <w:sz w:val="20"/>
                <w:szCs w:val="20"/>
              </w:rPr>
            </w:pPr>
            <w:r>
              <w:rPr>
                <w:rFonts w:ascii="Arial" w:hAnsi="Arial" w:cs="Arial"/>
                <w:sz w:val="20"/>
                <w:szCs w:val="20"/>
              </w:rPr>
              <w:t>ZCIBIO, Shanghai, China</w:t>
            </w:r>
          </w:p>
        </w:tc>
        <w:tc>
          <w:tcPr>
            <w:tcW w:w="542" w:type="pct"/>
            <w:tcBorders>
              <w:top w:val="nil"/>
              <w:left w:val="nil"/>
              <w:bottom w:val="nil"/>
              <w:right w:val="nil"/>
            </w:tcBorders>
            <w:noWrap/>
            <w:vAlign w:val="center"/>
          </w:tcPr>
          <w:p w14:paraId="3F1E31B4">
            <w:pPr>
              <w:rPr>
                <w:rFonts w:ascii="Arial" w:hAnsi="Arial" w:cs="Arial"/>
                <w:sz w:val="20"/>
                <w:szCs w:val="20"/>
              </w:rPr>
            </w:pPr>
            <w:r>
              <w:rPr>
                <w:rFonts w:ascii="Arial" w:hAnsi="Arial" w:cs="Arial"/>
                <w:sz w:val="20"/>
                <w:szCs w:val="20"/>
              </w:rPr>
              <w:t>ZC-2190</w:t>
            </w:r>
          </w:p>
        </w:tc>
      </w:tr>
      <w:tr w14:paraId="1CED34DD">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4898B66D">
            <w:pPr>
              <w:rPr>
                <w:rFonts w:ascii="Arial" w:hAnsi="Arial" w:cs="Arial"/>
                <w:sz w:val="20"/>
                <w:szCs w:val="20"/>
              </w:rPr>
            </w:pPr>
            <w:r>
              <w:rPr>
                <w:rFonts w:ascii="Arial" w:hAnsi="Arial" w:cs="Arial"/>
                <w:sz w:val="20"/>
                <w:szCs w:val="20"/>
              </w:rPr>
              <w:t>Phalloidin Peptide</w:t>
            </w:r>
          </w:p>
        </w:tc>
        <w:tc>
          <w:tcPr>
            <w:tcW w:w="1270" w:type="pct"/>
            <w:tcBorders>
              <w:top w:val="nil"/>
              <w:left w:val="nil"/>
              <w:bottom w:val="nil"/>
              <w:right w:val="nil"/>
            </w:tcBorders>
            <w:noWrap/>
            <w:vAlign w:val="center"/>
          </w:tcPr>
          <w:p w14:paraId="259B4F76">
            <w:pPr>
              <w:rPr>
                <w:rFonts w:ascii="Arial" w:hAnsi="Arial" w:cs="Arial"/>
                <w:sz w:val="20"/>
                <w:szCs w:val="20"/>
              </w:rPr>
            </w:pPr>
            <w:r>
              <w:rPr>
                <w:rFonts w:ascii="Arial" w:hAnsi="Arial" w:cs="Arial"/>
                <w:sz w:val="20"/>
                <w:szCs w:val="20"/>
              </w:rPr>
              <w:t>Sigma-Aldrich, St. Louis, USA</w:t>
            </w:r>
          </w:p>
        </w:tc>
        <w:tc>
          <w:tcPr>
            <w:tcW w:w="542" w:type="pct"/>
            <w:tcBorders>
              <w:top w:val="nil"/>
              <w:left w:val="nil"/>
              <w:bottom w:val="nil"/>
              <w:right w:val="nil"/>
            </w:tcBorders>
            <w:noWrap/>
            <w:vAlign w:val="center"/>
          </w:tcPr>
          <w:p w14:paraId="52442FDE">
            <w:pPr>
              <w:rPr>
                <w:rFonts w:ascii="Arial" w:hAnsi="Arial" w:cs="Arial"/>
                <w:sz w:val="20"/>
                <w:szCs w:val="20"/>
              </w:rPr>
            </w:pPr>
            <w:r>
              <w:rPr>
                <w:rFonts w:ascii="Arial" w:hAnsi="Arial" w:cs="Arial"/>
                <w:sz w:val="20"/>
                <w:szCs w:val="20"/>
              </w:rPr>
              <w:t>P5282</w:t>
            </w:r>
          </w:p>
        </w:tc>
      </w:tr>
      <w:tr w14:paraId="7D48DC5A">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5311B443">
            <w:pPr>
              <w:rPr>
                <w:rFonts w:hint="eastAsia" w:ascii="Arial" w:hAnsi="Arial" w:cs="Arial"/>
                <w:sz w:val="20"/>
                <w:szCs w:val="20"/>
              </w:rPr>
            </w:pPr>
            <w:r>
              <w:rPr>
                <w:rFonts w:ascii="Arial" w:hAnsi="Arial" w:cs="Arial"/>
                <w:sz w:val="20"/>
                <w:szCs w:val="20"/>
              </w:rPr>
              <w:t>Osmium tetroxide</w:t>
            </w:r>
          </w:p>
        </w:tc>
        <w:tc>
          <w:tcPr>
            <w:tcW w:w="1270" w:type="pct"/>
            <w:tcBorders>
              <w:top w:val="nil"/>
              <w:left w:val="nil"/>
              <w:bottom w:val="nil"/>
              <w:right w:val="nil"/>
            </w:tcBorders>
            <w:noWrap/>
            <w:vAlign w:val="center"/>
          </w:tcPr>
          <w:p w14:paraId="693D4E19">
            <w:pPr>
              <w:rPr>
                <w:rFonts w:ascii="Arial" w:hAnsi="Arial" w:cs="Arial"/>
                <w:sz w:val="20"/>
                <w:szCs w:val="20"/>
              </w:rPr>
            </w:pPr>
            <w:r>
              <w:rPr>
                <w:rFonts w:ascii="Arial" w:hAnsi="Arial" w:cs="Arial"/>
                <w:sz w:val="20"/>
                <w:szCs w:val="20"/>
              </w:rPr>
              <w:t>Sigma-Aldrich, St. Louis, USA</w:t>
            </w:r>
          </w:p>
        </w:tc>
        <w:tc>
          <w:tcPr>
            <w:tcW w:w="542" w:type="pct"/>
            <w:tcBorders>
              <w:top w:val="nil"/>
              <w:left w:val="nil"/>
              <w:bottom w:val="nil"/>
              <w:right w:val="nil"/>
            </w:tcBorders>
            <w:noWrap/>
            <w:vAlign w:val="center"/>
          </w:tcPr>
          <w:p w14:paraId="6FE9F42A">
            <w:pPr>
              <w:rPr>
                <w:rFonts w:hint="eastAsia" w:ascii="Arial" w:hAnsi="Arial" w:cs="Arial"/>
                <w:sz w:val="20"/>
                <w:szCs w:val="20"/>
              </w:rPr>
            </w:pPr>
            <w:r>
              <w:rPr>
                <w:rFonts w:ascii="Arial" w:hAnsi="Arial" w:cs="Arial"/>
                <w:sz w:val="20"/>
                <w:szCs w:val="20"/>
              </w:rPr>
              <w:t>201030</w:t>
            </w:r>
          </w:p>
        </w:tc>
      </w:tr>
      <w:tr w14:paraId="4F0B0AB3">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6F3A5484">
            <w:pPr>
              <w:rPr>
                <w:rFonts w:ascii="Arial" w:hAnsi="Arial" w:cs="Arial"/>
                <w:sz w:val="20"/>
                <w:szCs w:val="20"/>
              </w:rPr>
            </w:pPr>
            <w:r>
              <w:rPr>
                <w:rFonts w:ascii="Arial" w:hAnsi="Arial" w:cs="Arial"/>
                <w:sz w:val="20"/>
                <w:szCs w:val="20"/>
              </w:rPr>
              <w:t>Primocin</w:t>
            </w:r>
          </w:p>
        </w:tc>
        <w:tc>
          <w:tcPr>
            <w:tcW w:w="1270" w:type="pct"/>
            <w:tcBorders>
              <w:top w:val="nil"/>
              <w:left w:val="nil"/>
              <w:bottom w:val="nil"/>
              <w:right w:val="nil"/>
            </w:tcBorders>
            <w:noWrap/>
            <w:vAlign w:val="center"/>
          </w:tcPr>
          <w:p w14:paraId="2BC9347B">
            <w:pPr>
              <w:rPr>
                <w:rFonts w:ascii="Arial" w:hAnsi="Arial" w:cs="Arial"/>
                <w:sz w:val="20"/>
                <w:szCs w:val="20"/>
              </w:rPr>
            </w:pPr>
            <w:r>
              <w:rPr>
                <w:rFonts w:ascii="Arial" w:hAnsi="Arial" w:cs="Arial"/>
                <w:sz w:val="20"/>
                <w:szCs w:val="20"/>
              </w:rPr>
              <w:t>InvivoGen, CA, USA</w:t>
            </w:r>
          </w:p>
        </w:tc>
        <w:tc>
          <w:tcPr>
            <w:tcW w:w="542" w:type="pct"/>
            <w:tcBorders>
              <w:top w:val="nil"/>
              <w:left w:val="nil"/>
              <w:bottom w:val="nil"/>
              <w:right w:val="nil"/>
            </w:tcBorders>
            <w:noWrap/>
            <w:vAlign w:val="center"/>
          </w:tcPr>
          <w:p w14:paraId="60EF1525">
            <w:pPr>
              <w:rPr>
                <w:rFonts w:ascii="Arial" w:hAnsi="Arial" w:cs="Arial"/>
                <w:sz w:val="20"/>
                <w:szCs w:val="20"/>
              </w:rPr>
            </w:pPr>
            <w:r>
              <w:rPr>
                <w:rFonts w:ascii="Arial" w:hAnsi="Arial" w:cs="Arial"/>
                <w:sz w:val="20"/>
                <w:szCs w:val="20"/>
              </w:rPr>
              <w:t>ant-pm-2</w:t>
            </w:r>
          </w:p>
        </w:tc>
      </w:tr>
      <w:tr w14:paraId="4BED0A40">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75A66232">
            <w:pPr>
              <w:rPr>
                <w:rFonts w:ascii="Arial" w:hAnsi="Arial" w:cs="Arial"/>
                <w:sz w:val="20"/>
                <w:szCs w:val="20"/>
              </w:rPr>
            </w:pPr>
            <w:r>
              <w:rPr>
                <w:rFonts w:ascii="Arial" w:hAnsi="Arial" w:cs="Arial"/>
                <w:sz w:val="20"/>
                <w:szCs w:val="20"/>
              </w:rPr>
              <w:t>AO/PI Double Staining Kit</w:t>
            </w:r>
          </w:p>
        </w:tc>
        <w:tc>
          <w:tcPr>
            <w:tcW w:w="1270" w:type="pct"/>
            <w:tcBorders>
              <w:top w:val="nil"/>
              <w:left w:val="nil"/>
              <w:bottom w:val="nil"/>
              <w:right w:val="nil"/>
            </w:tcBorders>
            <w:noWrap/>
            <w:vAlign w:val="center"/>
          </w:tcPr>
          <w:p w14:paraId="0B120AF5">
            <w:pPr>
              <w:rPr>
                <w:rFonts w:ascii="Arial" w:hAnsi="Arial" w:cs="Arial"/>
                <w:sz w:val="20"/>
                <w:szCs w:val="20"/>
              </w:rPr>
            </w:pPr>
            <w:r>
              <w:rPr>
                <w:rFonts w:ascii="Arial" w:hAnsi="Arial" w:cs="Arial"/>
                <w:sz w:val="20"/>
                <w:szCs w:val="20"/>
              </w:rPr>
              <w:t>Countstar, Shanghai, China</w:t>
            </w:r>
          </w:p>
        </w:tc>
        <w:tc>
          <w:tcPr>
            <w:tcW w:w="542" w:type="pct"/>
            <w:tcBorders>
              <w:top w:val="nil"/>
              <w:left w:val="nil"/>
              <w:bottom w:val="nil"/>
              <w:right w:val="nil"/>
            </w:tcBorders>
            <w:noWrap/>
            <w:vAlign w:val="center"/>
          </w:tcPr>
          <w:p w14:paraId="4E3B16F8">
            <w:pPr>
              <w:rPr>
                <w:rFonts w:ascii="Arial" w:hAnsi="Arial" w:cs="Arial"/>
                <w:sz w:val="20"/>
                <w:szCs w:val="20"/>
              </w:rPr>
            </w:pPr>
            <w:r>
              <w:rPr>
                <w:rFonts w:ascii="Arial" w:hAnsi="Arial" w:cs="Arial"/>
                <w:sz w:val="20"/>
                <w:szCs w:val="20"/>
              </w:rPr>
              <w:t>RE010212</w:t>
            </w:r>
          </w:p>
        </w:tc>
      </w:tr>
      <w:tr w14:paraId="75B76DC6">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5FAF1124">
            <w:pPr>
              <w:rPr>
                <w:rFonts w:ascii="Arial" w:hAnsi="Arial" w:cs="Arial"/>
                <w:sz w:val="20"/>
                <w:szCs w:val="20"/>
              </w:rPr>
            </w:pPr>
            <w:r>
              <w:rPr>
                <w:rFonts w:ascii="Arial" w:hAnsi="Arial" w:cs="Arial"/>
                <w:sz w:val="20"/>
                <w:szCs w:val="20"/>
              </w:rPr>
              <w:t>Countstar Chamber Slide</w:t>
            </w:r>
          </w:p>
        </w:tc>
        <w:tc>
          <w:tcPr>
            <w:tcW w:w="1270" w:type="pct"/>
            <w:tcBorders>
              <w:top w:val="nil"/>
              <w:left w:val="nil"/>
              <w:bottom w:val="nil"/>
              <w:right w:val="nil"/>
            </w:tcBorders>
            <w:noWrap/>
            <w:vAlign w:val="center"/>
          </w:tcPr>
          <w:p w14:paraId="5A316E63">
            <w:pPr>
              <w:rPr>
                <w:rFonts w:ascii="Arial" w:hAnsi="Arial" w:cs="Arial"/>
                <w:sz w:val="20"/>
                <w:szCs w:val="20"/>
              </w:rPr>
            </w:pPr>
            <w:r>
              <w:rPr>
                <w:rFonts w:ascii="Arial" w:hAnsi="Arial" w:cs="Arial"/>
                <w:sz w:val="20"/>
                <w:szCs w:val="20"/>
              </w:rPr>
              <w:t>Countstar, Shanghai, China</w:t>
            </w:r>
          </w:p>
        </w:tc>
        <w:tc>
          <w:tcPr>
            <w:tcW w:w="542" w:type="pct"/>
            <w:tcBorders>
              <w:top w:val="nil"/>
              <w:left w:val="nil"/>
              <w:bottom w:val="nil"/>
              <w:right w:val="nil"/>
            </w:tcBorders>
            <w:noWrap/>
            <w:vAlign w:val="center"/>
          </w:tcPr>
          <w:p w14:paraId="3564C3C7">
            <w:pPr>
              <w:rPr>
                <w:rFonts w:ascii="Arial" w:hAnsi="Arial" w:cs="Arial"/>
                <w:sz w:val="20"/>
                <w:szCs w:val="20"/>
              </w:rPr>
            </w:pPr>
            <w:r>
              <w:rPr>
                <w:rFonts w:ascii="Arial" w:hAnsi="Arial" w:cs="Arial"/>
                <w:sz w:val="20"/>
                <w:szCs w:val="20"/>
              </w:rPr>
              <w:t>CO010101</w:t>
            </w:r>
          </w:p>
        </w:tc>
      </w:tr>
      <w:tr w14:paraId="435FB12F">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18FB45E2">
            <w:pPr>
              <w:rPr>
                <w:rFonts w:ascii="Arial" w:hAnsi="Arial" w:cs="Arial"/>
                <w:sz w:val="20"/>
                <w:szCs w:val="20"/>
              </w:rPr>
            </w:pPr>
            <w:r>
              <w:rPr>
                <w:rFonts w:ascii="Arial" w:hAnsi="Arial" w:cs="Arial"/>
                <w:sz w:val="20"/>
                <w:szCs w:val="20"/>
              </w:rPr>
              <w:t>Matrigel Matrix</w:t>
            </w:r>
          </w:p>
        </w:tc>
        <w:tc>
          <w:tcPr>
            <w:tcW w:w="1270" w:type="pct"/>
            <w:tcBorders>
              <w:top w:val="nil"/>
              <w:left w:val="nil"/>
              <w:bottom w:val="nil"/>
              <w:right w:val="nil"/>
            </w:tcBorders>
            <w:noWrap/>
            <w:vAlign w:val="center"/>
          </w:tcPr>
          <w:p w14:paraId="7AB4B9CD">
            <w:pPr>
              <w:rPr>
                <w:rFonts w:ascii="Arial" w:hAnsi="Arial" w:cs="Arial"/>
                <w:sz w:val="20"/>
                <w:szCs w:val="20"/>
              </w:rPr>
            </w:pPr>
            <w:r>
              <w:rPr>
                <w:rFonts w:ascii="Arial" w:hAnsi="Arial" w:cs="Arial"/>
                <w:sz w:val="20"/>
                <w:szCs w:val="20"/>
              </w:rPr>
              <w:t>Corning, NY, USA</w:t>
            </w:r>
          </w:p>
        </w:tc>
        <w:tc>
          <w:tcPr>
            <w:tcW w:w="542" w:type="pct"/>
            <w:tcBorders>
              <w:top w:val="nil"/>
              <w:left w:val="nil"/>
              <w:bottom w:val="nil"/>
              <w:right w:val="nil"/>
            </w:tcBorders>
            <w:noWrap/>
            <w:vAlign w:val="center"/>
          </w:tcPr>
          <w:p w14:paraId="0248F15A">
            <w:pPr>
              <w:rPr>
                <w:rFonts w:ascii="Arial" w:hAnsi="Arial" w:cs="Arial"/>
                <w:sz w:val="20"/>
                <w:szCs w:val="20"/>
              </w:rPr>
            </w:pPr>
            <w:r>
              <w:rPr>
                <w:rFonts w:ascii="Arial" w:hAnsi="Arial" w:cs="Arial"/>
                <w:sz w:val="20"/>
                <w:szCs w:val="20"/>
              </w:rPr>
              <w:t>356231</w:t>
            </w:r>
          </w:p>
        </w:tc>
      </w:tr>
      <w:tr w14:paraId="1C04D517">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491D275A">
            <w:pPr>
              <w:rPr>
                <w:rFonts w:ascii="Arial" w:hAnsi="Arial" w:cs="Arial"/>
                <w:sz w:val="20"/>
                <w:szCs w:val="20"/>
              </w:rPr>
            </w:pPr>
            <w:r>
              <w:rPr>
                <w:rFonts w:ascii="Arial" w:hAnsi="Arial" w:cs="Arial"/>
                <w:sz w:val="20"/>
                <w:szCs w:val="20"/>
              </w:rPr>
              <w:t>Falcon 100 μm Cell Strainers</w:t>
            </w:r>
          </w:p>
        </w:tc>
        <w:tc>
          <w:tcPr>
            <w:tcW w:w="1270" w:type="pct"/>
            <w:tcBorders>
              <w:top w:val="nil"/>
              <w:left w:val="nil"/>
              <w:bottom w:val="nil"/>
              <w:right w:val="nil"/>
            </w:tcBorders>
            <w:noWrap/>
            <w:vAlign w:val="center"/>
          </w:tcPr>
          <w:p w14:paraId="7E7B78EA">
            <w:pPr>
              <w:rPr>
                <w:rFonts w:ascii="Arial" w:hAnsi="Arial" w:cs="Arial"/>
                <w:sz w:val="20"/>
                <w:szCs w:val="20"/>
              </w:rPr>
            </w:pPr>
            <w:r>
              <w:rPr>
                <w:rFonts w:ascii="Arial" w:hAnsi="Arial" w:cs="Arial"/>
                <w:sz w:val="20"/>
                <w:szCs w:val="20"/>
              </w:rPr>
              <w:t>Corning, NY, USA</w:t>
            </w:r>
          </w:p>
        </w:tc>
        <w:tc>
          <w:tcPr>
            <w:tcW w:w="542" w:type="pct"/>
            <w:tcBorders>
              <w:top w:val="nil"/>
              <w:left w:val="nil"/>
              <w:bottom w:val="nil"/>
              <w:right w:val="nil"/>
            </w:tcBorders>
            <w:noWrap/>
            <w:vAlign w:val="center"/>
          </w:tcPr>
          <w:p w14:paraId="61DAA550">
            <w:pPr>
              <w:rPr>
                <w:rFonts w:ascii="Arial" w:hAnsi="Arial" w:cs="Arial"/>
                <w:sz w:val="20"/>
                <w:szCs w:val="20"/>
              </w:rPr>
            </w:pPr>
            <w:r>
              <w:rPr>
                <w:rFonts w:ascii="Arial" w:hAnsi="Arial" w:cs="Arial"/>
                <w:sz w:val="20"/>
                <w:szCs w:val="20"/>
              </w:rPr>
              <w:t>352360</w:t>
            </w:r>
          </w:p>
        </w:tc>
      </w:tr>
      <w:tr w14:paraId="139D8FB3">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006FA3D5">
            <w:pPr>
              <w:rPr>
                <w:rFonts w:ascii="Arial" w:hAnsi="Arial" w:cs="Arial"/>
                <w:sz w:val="20"/>
                <w:szCs w:val="20"/>
              </w:rPr>
            </w:pPr>
            <w:r>
              <w:rPr>
                <w:rFonts w:ascii="Arial" w:hAnsi="Arial" w:cs="Arial"/>
                <w:sz w:val="20"/>
                <w:szCs w:val="20"/>
              </w:rPr>
              <w:t>Falcon 24-well Clear Flat Bottom TC-treated Multiwell Cell Culture Plate</w:t>
            </w:r>
          </w:p>
        </w:tc>
        <w:tc>
          <w:tcPr>
            <w:tcW w:w="1270" w:type="pct"/>
            <w:tcBorders>
              <w:top w:val="nil"/>
              <w:left w:val="nil"/>
              <w:bottom w:val="nil"/>
              <w:right w:val="nil"/>
            </w:tcBorders>
            <w:noWrap/>
            <w:vAlign w:val="center"/>
          </w:tcPr>
          <w:p w14:paraId="55ECD900">
            <w:pPr>
              <w:rPr>
                <w:rFonts w:ascii="Arial" w:hAnsi="Arial" w:cs="Arial"/>
                <w:sz w:val="20"/>
                <w:szCs w:val="20"/>
              </w:rPr>
            </w:pPr>
            <w:r>
              <w:rPr>
                <w:rFonts w:ascii="Arial" w:hAnsi="Arial" w:cs="Arial"/>
                <w:sz w:val="20"/>
                <w:szCs w:val="20"/>
              </w:rPr>
              <w:t>Corning, NY, USA</w:t>
            </w:r>
          </w:p>
        </w:tc>
        <w:tc>
          <w:tcPr>
            <w:tcW w:w="542" w:type="pct"/>
            <w:tcBorders>
              <w:top w:val="nil"/>
              <w:left w:val="nil"/>
              <w:bottom w:val="nil"/>
              <w:right w:val="nil"/>
            </w:tcBorders>
            <w:noWrap/>
            <w:vAlign w:val="center"/>
          </w:tcPr>
          <w:p w14:paraId="7A4DBECC">
            <w:pPr>
              <w:rPr>
                <w:rFonts w:ascii="Arial" w:hAnsi="Arial" w:cs="Arial"/>
                <w:sz w:val="20"/>
                <w:szCs w:val="20"/>
              </w:rPr>
            </w:pPr>
            <w:r>
              <w:rPr>
                <w:rFonts w:ascii="Arial" w:hAnsi="Arial" w:cs="Arial"/>
                <w:sz w:val="20"/>
                <w:szCs w:val="20"/>
              </w:rPr>
              <w:t>353935</w:t>
            </w:r>
          </w:p>
        </w:tc>
      </w:tr>
      <w:tr w14:paraId="6EBFD3FC">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128CA8D4">
            <w:pPr>
              <w:rPr>
                <w:rFonts w:ascii="Arial" w:hAnsi="Arial" w:cs="Arial"/>
                <w:sz w:val="20"/>
                <w:szCs w:val="20"/>
              </w:rPr>
            </w:pPr>
            <w:r>
              <w:rPr>
                <w:rFonts w:ascii="Arial" w:hAnsi="Arial" w:cs="Arial"/>
                <w:sz w:val="20"/>
                <w:szCs w:val="20"/>
              </w:rPr>
              <w:t>Penicillin/streptomycin</w:t>
            </w:r>
          </w:p>
        </w:tc>
        <w:tc>
          <w:tcPr>
            <w:tcW w:w="1270" w:type="pct"/>
            <w:tcBorders>
              <w:top w:val="nil"/>
              <w:left w:val="nil"/>
              <w:bottom w:val="nil"/>
              <w:right w:val="nil"/>
            </w:tcBorders>
            <w:noWrap/>
            <w:vAlign w:val="center"/>
          </w:tcPr>
          <w:p w14:paraId="3935964C">
            <w:pPr>
              <w:rPr>
                <w:rFonts w:ascii="Arial" w:hAnsi="Arial" w:cs="Arial"/>
                <w:sz w:val="20"/>
                <w:szCs w:val="20"/>
              </w:rPr>
            </w:pPr>
            <w:r>
              <w:rPr>
                <w:rFonts w:ascii="Arial" w:hAnsi="Arial" w:cs="Arial"/>
                <w:sz w:val="20"/>
                <w:szCs w:val="20"/>
              </w:rPr>
              <w:t>Thermo Fisher Scientific, MA, USA</w:t>
            </w:r>
          </w:p>
        </w:tc>
        <w:tc>
          <w:tcPr>
            <w:tcW w:w="542" w:type="pct"/>
            <w:tcBorders>
              <w:top w:val="nil"/>
              <w:left w:val="nil"/>
              <w:bottom w:val="nil"/>
              <w:right w:val="nil"/>
            </w:tcBorders>
            <w:noWrap/>
            <w:vAlign w:val="center"/>
          </w:tcPr>
          <w:p w14:paraId="57D3ADCF">
            <w:pPr>
              <w:rPr>
                <w:rFonts w:ascii="Arial" w:hAnsi="Arial" w:cs="Arial"/>
                <w:sz w:val="20"/>
                <w:szCs w:val="20"/>
              </w:rPr>
            </w:pPr>
            <w:r>
              <w:rPr>
                <w:rFonts w:ascii="Arial" w:hAnsi="Arial" w:cs="Arial"/>
                <w:sz w:val="20"/>
                <w:szCs w:val="20"/>
              </w:rPr>
              <w:t>15140122</w:t>
            </w:r>
          </w:p>
        </w:tc>
      </w:tr>
      <w:tr w14:paraId="3AC5CB64">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50345911">
            <w:pPr>
              <w:rPr>
                <w:rFonts w:ascii="Arial" w:hAnsi="Arial" w:cs="Arial"/>
                <w:sz w:val="20"/>
                <w:szCs w:val="20"/>
              </w:rPr>
            </w:pPr>
            <w:r>
              <w:rPr>
                <w:rFonts w:ascii="Arial" w:hAnsi="Arial" w:cs="Arial"/>
                <w:sz w:val="20"/>
                <w:szCs w:val="20"/>
              </w:rPr>
              <w:t>GlutaMAX Supplement (100×)</w:t>
            </w:r>
          </w:p>
        </w:tc>
        <w:tc>
          <w:tcPr>
            <w:tcW w:w="1270" w:type="pct"/>
            <w:tcBorders>
              <w:top w:val="nil"/>
              <w:left w:val="nil"/>
              <w:bottom w:val="nil"/>
              <w:right w:val="nil"/>
            </w:tcBorders>
            <w:noWrap/>
            <w:vAlign w:val="center"/>
          </w:tcPr>
          <w:p w14:paraId="0349B806">
            <w:pPr>
              <w:rPr>
                <w:rFonts w:ascii="Arial" w:hAnsi="Arial" w:cs="Arial"/>
                <w:sz w:val="20"/>
                <w:szCs w:val="20"/>
              </w:rPr>
            </w:pPr>
            <w:r>
              <w:rPr>
                <w:rFonts w:ascii="Arial" w:hAnsi="Arial" w:cs="Arial"/>
                <w:sz w:val="20"/>
                <w:szCs w:val="20"/>
              </w:rPr>
              <w:t>Thermo Fisher Scientific, MA, USA</w:t>
            </w:r>
          </w:p>
        </w:tc>
        <w:tc>
          <w:tcPr>
            <w:tcW w:w="542" w:type="pct"/>
            <w:tcBorders>
              <w:top w:val="nil"/>
              <w:left w:val="nil"/>
              <w:bottom w:val="nil"/>
              <w:right w:val="nil"/>
            </w:tcBorders>
            <w:noWrap/>
            <w:vAlign w:val="center"/>
          </w:tcPr>
          <w:p w14:paraId="3E255F4C">
            <w:pPr>
              <w:rPr>
                <w:rFonts w:ascii="Arial" w:hAnsi="Arial" w:cs="Arial"/>
                <w:sz w:val="20"/>
                <w:szCs w:val="20"/>
              </w:rPr>
            </w:pPr>
            <w:r>
              <w:rPr>
                <w:rFonts w:ascii="Arial" w:hAnsi="Arial" w:cs="Arial"/>
                <w:sz w:val="20"/>
                <w:szCs w:val="20"/>
              </w:rPr>
              <w:t>35050061</w:t>
            </w:r>
          </w:p>
        </w:tc>
      </w:tr>
      <w:tr w14:paraId="7853B3B4">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51189192">
            <w:pPr>
              <w:rPr>
                <w:rFonts w:ascii="Arial" w:hAnsi="Arial" w:cs="Arial"/>
                <w:sz w:val="20"/>
                <w:szCs w:val="20"/>
              </w:rPr>
            </w:pPr>
            <w:r>
              <w:rPr>
                <w:rFonts w:ascii="Arial" w:hAnsi="Arial" w:cs="Arial"/>
                <w:sz w:val="20"/>
                <w:szCs w:val="20"/>
              </w:rPr>
              <w:t>DMEM/F12 Medium</w:t>
            </w:r>
          </w:p>
        </w:tc>
        <w:tc>
          <w:tcPr>
            <w:tcW w:w="1270" w:type="pct"/>
            <w:tcBorders>
              <w:top w:val="nil"/>
              <w:left w:val="nil"/>
              <w:bottom w:val="nil"/>
              <w:right w:val="nil"/>
            </w:tcBorders>
            <w:noWrap/>
            <w:vAlign w:val="center"/>
          </w:tcPr>
          <w:p w14:paraId="36956A80">
            <w:pPr>
              <w:rPr>
                <w:rFonts w:ascii="Arial" w:hAnsi="Arial" w:cs="Arial"/>
                <w:sz w:val="20"/>
                <w:szCs w:val="20"/>
              </w:rPr>
            </w:pPr>
            <w:r>
              <w:rPr>
                <w:rFonts w:ascii="Arial" w:hAnsi="Arial" w:cs="Arial"/>
                <w:sz w:val="20"/>
                <w:szCs w:val="20"/>
              </w:rPr>
              <w:t>Thermo Fisher Scientific, MA, USA</w:t>
            </w:r>
          </w:p>
        </w:tc>
        <w:tc>
          <w:tcPr>
            <w:tcW w:w="542" w:type="pct"/>
            <w:tcBorders>
              <w:top w:val="nil"/>
              <w:left w:val="nil"/>
              <w:bottom w:val="nil"/>
              <w:right w:val="nil"/>
            </w:tcBorders>
            <w:noWrap/>
            <w:vAlign w:val="center"/>
          </w:tcPr>
          <w:p w14:paraId="1D238FE3">
            <w:pPr>
              <w:rPr>
                <w:rFonts w:ascii="Arial" w:hAnsi="Arial" w:cs="Arial"/>
                <w:sz w:val="20"/>
                <w:szCs w:val="20"/>
              </w:rPr>
            </w:pPr>
            <w:r>
              <w:rPr>
                <w:rFonts w:ascii="Arial" w:hAnsi="Arial" w:cs="Arial"/>
                <w:sz w:val="20"/>
                <w:szCs w:val="20"/>
              </w:rPr>
              <w:t>11320033</w:t>
            </w:r>
          </w:p>
        </w:tc>
      </w:tr>
      <w:tr w14:paraId="6AD2AC83">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3E220218">
            <w:pPr>
              <w:rPr>
                <w:rFonts w:ascii="Arial" w:hAnsi="Arial" w:cs="Arial"/>
                <w:sz w:val="20"/>
                <w:szCs w:val="20"/>
              </w:rPr>
            </w:pPr>
            <w:r>
              <w:rPr>
                <w:rFonts w:ascii="Arial" w:hAnsi="Arial" w:cs="Arial"/>
                <w:sz w:val="20"/>
                <w:szCs w:val="20"/>
              </w:rPr>
              <w:t>HEPES</w:t>
            </w:r>
          </w:p>
        </w:tc>
        <w:tc>
          <w:tcPr>
            <w:tcW w:w="1270" w:type="pct"/>
            <w:tcBorders>
              <w:top w:val="nil"/>
              <w:left w:val="nil"/>
              <w:bottom w:val="nil"/>
              <w:right w:val="nil"/>
            </w:tcBorders>
            <w:noWrap/>
            <w:vAlign w:val="center"/>
          </w:tcPr>
          <w:p w14:paraId="39B71661">
            <w:pPr>
              <w:rPr>
                <w:rFonts w:ascii="Arial" w:hAnsi="Arial" w:cs="Arial"/>
                <w:sz w:val="20"/>
                <w:szCs w:val="20"/>
              </w:rPr>
            </w:pPr>
            <w:r>
              <w:rPr>
                <w:rFonts w:ascii="Arial" w:hAnsi="Arial" w:cs="Arial"/>
                <w:sz w:val="20"/>
                <w:szCs w:val="20"/>
              </w:rPr>
              <w:t>Thermo Fisher Scientific, MA, USA</w:t>
            </w:r>
          </w:p>
        </w:tc>
        <w:tc>
          <w:tcPr>
            <w:tcW w:w="542" w:type="pct"/>
            <w:tcBorders>
              <w:top w:val="nil"/>
              <w:left w:val="nil"/>
              <w:bottom w:val="nil"/>
              <w:right w:val="nil"/>
            </w:tcBorders>
            <w:noWrap/>
            <w:vAlign w:val="center"/>
          </w:tcPr>
          <w:p w14:paraId="3FE261E7">
            <w:pPr>
              <w:rPr>
                <w:rFonts w:ascii="Arial" w:hAnsi="Arial" w:cs="Arial"/>
                <w:sz w:val="20"/>
                <w:szCs w:val="20"/>
              </w:rPr>
            </w:pPr>
            <w:r>
              <w:fldChar w:fldCharType="begin"/>
            </w:r>
            <w:r>
              <w:instrText xml:space="preserve"> HYPERLINK "https://www.thermofisher.cn/order/catalog/product/15630080" \o "https://www.thermofisher.cn/order/catalog/product/15630080" </w:instrText>
            </w:r>
            <w:r>
              <w:fldChar w:fldCharType="separate"/>
            </w:r>
            <w:r>
              <w:rPr>
                <w:rFonts w:ascii="Arial" w:hAnsi="Arial" w:cs="Arial"/>
                <w:sz w:val="20"/>
                <w:szCs w:val="20"/>
              </w:rPr>
              <w:t>15630080</w:t>
            </w:r>
            <w:r>
              <w:rPr>
                <w:rFonts w:ascii="Arial" w:hAnsi="Arial" w:cs="Arial"/>
                <w:sz w:val="20"/>
                <w:szCs w:val="20"/>
              </w:rPr>
              <w:fldChar w:fldCharType="end"/>
            </w:r>
          </w:p>
        </w:tc>
      </w:tr>
      <w:tr w14:paraId="6D37647D">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2F311660">
            <w:pPr>
              <w:rPr>
                <w:rFonts w:ascii="Arial" w:hAnsi="Arial" w:cs="Arial"/>
                <w:sz w:val="20"/>
                <w:szCs w:val="20"/>
              </w:rPr>
            </w:pPr>
            <w:r>
              <w:rPr>
                <w:rFonts w:ascii="Arial" w:hAnsi="Arial" w:cs="Arial"/>
                <w:sz w:val="20"/>
                <w:szCs w:val="20"/>
              </w:rPr>
              <w:t>BSA</w:t>
            </w:r>
          </w:p>
        </w:tc>
        <w:tc>
          <w:tcPr>
            <w:tcW w:w="1270" w:type="pct"/>
            <w:tcBorders>
              <w:top w:val="nil"/>
              <w:left w:val="nil"/>
              <w:bottom w:val="nil"/>
              <w:right w:val="nil"/>
            </w:tcBorders>
            <w:noWrap/>
            <w:vAlign w:val="center"/>
          </w:tcPr>
          <w:p w14:paraId="0934333A">
            <w:pPr>
              <w:rPr>
                <w:rFonts w:ascii="Arial" w:hAnsi="Arial" w:cs="Arial"/>
                <w:sz w:val="20"/>
                <w:szCs w:val="20"/>
              </w:rPr>
            </w:pPr>
            <w:r>
              <w:rPr>
                <w:rFonts w:ascii="Arial" w:hAnsi="Arial" w:cs="Arial"/>
                <w:sz w:val="20"/>
                <w:szCs w:val="20"/>
              </w:rPr>
              <w:t>MedChemExpress, NJ, USA</w:t>
            </w:r>
          </w:p>
        </w:tc>
        <w:tc>
          <w:tcPr>
            <w:tcW w:w="542" w:type="pct"/>
            <w:tcBorders>
              <w:top w:val="nil"/>
              <w:left w:val="nil"/>
              <w:bottom w:val="nil"/>
              <w:right w:val="nil"/>
            </w:tcBorders>
            <w:noWrap/>
            <w:vAlign w:val="center"/>
          </w:tcPr>
          <w:p w14:paraId="329DDD16">
            <w:pPr>
              <w:rPr>
                <w:rFonts w:ascii="Arial" w:hAnsi="Arial" w:cs="Arial"/>
                <w:sz w:val="20"/>
                <w:szCs w:val="20"/>
              </w:rPr>
            </w:pPr>
            <w:r>
              <w:rPr>
                <w:rFonts w:ascii="Arial" w:hAnsi="Arial" w:cs="Arial"/>
                <w:sz w:val="20"/>
                <w:szCs w:val="20"/>
              </w:rPr>
              <w:t>HY-D0842 </w:t>
            </w:r>
          </w:p>
        </w:tc>
      </w:tr>
      <w:tr w14:paraId="3D78095D">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387FDD7A">
            <w:pPr>
              <w:rPr>
                <w:rFonts w:ascii="Arial" w:hAnsi="Arial" w:cs="Arial"/>
                <w:sz w:val="20"/>
                <w:szCs w:val="20"/>
              </w:rPr>
            </w:pPr>
            <w:r>
              <w:rPr>
                <w:rFonts w:hint="eastAsia" w:ascii="Arial" w:hAnsi="Arial" w:cs="Arial"/>
                <w:sz w:val="20"/>
                <w:szCs w:val="20"/>
              </w:rPr>
              <w:t>Normal Goat Serum</w:t>
            </w:r>
          </w:p>
        </w:tc>
        <w:tc>
          <w:tcPr>
            <w:tcW w:w="1270" w:type="pct"/>
            <w:tcBorders>
              <w:top w:val="nil"/>
              <w:left w:val="nil"/>
              <w:bottom w:val="nil"/>
              <w:right w:val="nil"/>
            </w:tcBorders>
            <w:noWrap/>
            <w:vAlign w:val="center"/>
          </w:tcPr>
          <w:p w14:paraId="05DA1860">
            <w:pPr>
              <w:rPr>
                <w:rFonts w:ascii="Arial" w:hAnsi="Arial" w:cs="Arial"/>
                <w:sz w:val="20"/>
                <w:szCs w:val="20"/>
              </w:rPr>
            </w:pPr>
            <w:r>
              <w:rPr>
                <w:rFonts w:ascii="Arial" w:hAnsi="Arial" w:cs="Arial"/>
                <w:sz w:val="20"/>
                <w:szCs w:val="20"/>
              </w:rPr>
              <w:t>Abcam, Cambridge, UK</w:t>
            </w:r>
          </w:p>
        </w:tc>
        <w:tc>
          <w:tcPr>
            <w:tcW w:w="542" w:type="pct"/>
            <w:tcBorders>
              <w:top w:val="nil"/>
              <w:left w:val="nil"/>
              <w:bottom w:val="nil"/>
              <w:right w:val="nil"/>
            </w:tcBorders>
            <w:noWrap/>
            <w:vAlign w:val="center"/>
          </w:tcPr>
          <w:p w14:paraId="3B7B2C6B">
            <w:pPr>
              <w:rPr>
                <w:rFonts w:ascii="Arial" w:hAnsi="Arial" w:cs="Arial"/>
                <w:sz w:val="20"/>
                <w:szCs w:val="20"/>
              </w:rPr>
            </w:pPr>
            <w:r>
              <w:rPr>
                <w:rFonts w:hint="eastAsia" w:ascii="Arial" w:hAnsi="Arial" w:cs="Arial"/>
                <w:sz w:val="20"/>
                <w:szCs w:val="20"/>
              </w:rPr>
              <w:t>ab7481</w:t>
            </w:r>
          </w:p>
        </w:tc>
      </w:tr>
      <w:tr w14:paraId="42997036">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011704E7">
            <w:pPr>
              <w:rPr>
                <w:rFonts w:ascii="Arial" w:hAnsi="Arial" w:cs="Arial"/>
                <w:sz w:val="20"/>
                <w:szCs w:val="20"/>
              </w:rPr>
            </w:pPr>
            <w:r>
              <w:rPr>
                <w:rFonts w:ascii="Arial" w:hAnsi="Arial" w:cs="Arial"/>
                <w:sz w:val="20"/>
                <w:szCs w:val="20"/>
              </w:rPr>
              <w:t>Phosphate buffered solution</w:t>
            </w:r>
          </w:p>
        </w:tc>
        <w:tc>
          <w:tcPr>
            <w:tcW w:w="1270" w:type="pct"/>
            <w:tcBorders>
              <w:top w:val="nil"/>
              <w:left w:val="nil"/>
              <w:bottom w:val="nil"/>
              <w:right w:val="nil"/>
            </w:tcBorders>
            <w:noWrap/>
            <w:vAlign w:val="center"/>
          </w:tcPr>
          <w:p w14:paraId="6B23BE33">
            <w:pPr>
              <w:rPr>
                <w:rFonts w:ascii="Arial" w:hAnsi="Arial" w:cs="Arial"/>
                <w:sz w:val="20"/>
                <w:szCs w:val="20"/>
              </w:rPr>
            </w:pPr>
            <w:r>
              <w:rPr>
                <w:rFonts w:ascii="Arial" w:hAnsi="Arial" w:cs="Arial"/>
                <w:sz w:val="20"/>
                <w:szCs w:val="20"/>
              </w:rPr>
              <w:t>Biosharp Life Sciences, Hefei, China</w:t>
            </w:r>
          </w:p>
        </w:tc>
        <w:tc>
          <w:tcPr>
            <w:tcW w:w="542" w:type="pct"/>
            <w:tcBorders>
              <w:top w:val="nil"/>
              <w:left w:val="nil"/>
              <w:bottom w:val="nil"/>
              <w:right w:val="nil"/>
            </w:tcBorders>
            <w:noWrap/>
            <w:vAlign w:val="center"/>
          </w:tcPr>
          <w:p w14:paraId="554491C7">
            <w:pPr>
              <w:rPr>
                <w:rFonts w:ascii="Arial" w:hAnsi="Arial" w:cs="Arial"/>
                <w:sz w:val="20"/>
                <w:szCs w:val="20"/>
              </w:rPr>
            </w:pPr>
            <w:r>
              <w:rPr>
                <w:rFonts w:ascii="Arial" w:hAnsi="Arial" w:cs="Arial"/>
                <w:sz w:val="20"/>
                <w:szCs w:val="20"/>
              </w:rPr>
              <w:t>163202</w:t>
            </w:r>
          </w:p>
        </w:tc>
      </w:tr>
      <w:tr w14:paraId="1125DF1C">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13729732">
            <w:pPr>
              <w:rPr>
                <w:rFonts w:ascii="Arial" w:hAnsi="Arial" w:cs="Arial"/>
                <w:sz w:val="20"/>
                <w:szCs w:val="20"/>
              </w:rPr>
            </w:pPr>
            <w:r>
              <w:rPr>
                <w:rFonts w:ascii="Arial" w:hAnsi="Arial" w:cs="Arial"/>
                <w:sz w:val="20"/>
                <w:szCs w:val="20"/>
              </w:rPr>
              <w:t>Red blood cell lysis buffer</w:t>
            </w:r>
          </w:p>
        </w:tc>
        <w:tc>
          <w:tcPr>
            <w:tcW w:w="1270" w:type="pct"/>
            <w:tcBorders>
              <w:top w:val="nil"/>
              <w:left w:val="nil"/>
              <w:bottom w:val="nil"/>
              <w:right w:val="nil"/>
            </w:tcBorders>
            <w:noWrap/>
            <w:vAlign w:val="center"/>
          </w:tcPr>
          <w:p w14:paraId="2E1F08E5">
            <w:pPr>
              <w:rPr>
                <w:rFonts w:ascii="Arial" w:hAnsi="Arial" w:cs="Arial"/>
                <w:sz w:val="20"/>
                <w:szCs w:val="20"/>
              </w:rPr>
            </w:pPr>
            <w:r>
              <w:rPr>
                <w:rFonts w:ascii="Arial" w:hAnsi="Arial" w:cs="Arial"/>
                <w:sz w:val="20"/>
                <w:szCs w:val="20"/>
              </w:rPr>
              <w:t>Biosharp Life Sciences, Hefei, China</w:t>
            </w:r>
          </w:p>
        </w:tc>
        <w:tc>
          <w:tcPr>
            <w:tcW w:w="542" w:type="pct"/>
            <w:tcBorders>
              <w:top w:val="nil"/>
              <w:left w:val="nil"/>
              <w:bottom w:val="nil"/>
              <w:right w:val="nil"/>
            </w:tcBorders>
            <w:noWrap/>
            <w:vAlign w:val="center"/>
          </w:tcPr>
          <w:p w14:paraId="77A507B7">
            <w:pPr>
              <w:rPr>
                <w:rFonts w:ascii="Arial" w:hAnsi="Arial" w:cs="Arial"/>
                <w:sz w:val="20"/>
                <w:szCs w:val="20"/>
              </w:rPr>
            </w:pPr>
            <w:r>
              <w:rPr>
                <w:rFonts w:ascii="Arial" w:hAnsi="Arial" w:cs="Arial"/>
                <w:sz w:val="20"/>
                <w:szCs w:val="20"/>
              </w:rPr>
              <w:t>BL503A</w:t>
            </w:r>
          </w:p>
        </w:tc>
      </w:tr>
      <w:tr w14:paraId="21990C7C">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74ECF0BD">
            <w:pPr>
              <w:rPr>
                <w:rFonts w:ascii="Arial" w:hAnsi="Arial" w:cs="Arial"/>
                <w:sz w:val="20"/>
                <w:szCs w:val="20"/>
              </w:rPr>
            </w:pPr>
            <w:r>
              <w:rPr>
                <w:rFonts w:hint="eastAsia" w:ascii="Arial" w:hAnsi="Arial" w:cs="Arial"/>
                <w:sz w:val="20"/>
                <w:szCs w:val="20"/>
              </w:rPr>
              <w:t>4% P</w:t>
            </w:r>
            <w:r>
              <w:rPr>
                <w:rFonts w:ascii="Arial" w:hAnsi="Arial" w:cs="Arial"/>
                <w:sz w:val="20"/>
                <w:szCs w:val="20"/>
              </w:rPr>
              <w:t>araformaldehyde</w:t>
            </w:r>
          </w:p>
        </w:tc>
        <w:tc>
          <w:tcPr>
            <w:tcW w:w="1270" w:type="pct"/>
            <w:tcBorders>
              <w:top w:val="nil"/>
              <w:left w:val="nil"/>
              <w:bottom w:val="nil"/>
              <w:right w:val="nil"/>
            </w:tcBorders>
            <w:noWrap/>
            <w:vAlign w:val="center"/>
          </w:tcPr>
          <w:p w14:paraId="40DC6C02">
            <w:pPr>
              <w:rPr>
                <w:rFonts w:ascii="Arial" w:hAnsi="Arial" w:cs="Arial"/>
                <w:sz w:val="20"/>
                <w:szCs w:val="20"/>
              </w:rPr>
            </w:pPr>
            <w:r>
              <w:fldChar w:fldCharType="begin"/>
            </w:r>
            <w:r>
              <w:instrText xml:space="preserve"> HYPERLINK "https://www.99808.com/show/?t1=2001&amp;t2=2007&amp;t3=80612&amp;t4=81059&amp;pid=143174" \t "https://www.99808.com/show/_blank" </w:instrText>
            </w:r>
            <w:r>
              <w:fldChar w:fldCharType="separate"/>
            </w:r>
            <w:r>
              <w:rPr>
                <w:rFonts w:ascii="Arial" w:hAnsi="Arial" w:cs="Arial"/>
                <w:sz w:val="20"/>
                <w:szCs w:val="20"/>
              </w:rPr>
              <w:t>Biosharp Life Sciences, Hefei, China</w:t>
            </w:r>
            <w:r>
              <w:rPr>
                <w:rFonts w:ascii="Arial" w:hAnsi="Arial" w:cs="Arial"/>
                <w:sz w:val="20"/>
                <w:szCs w:val="20"/>
              </w:rPr>
              <w:fldChar w:fldCharType="end"/>
            </w:r>
          </w:p>
        </w:tc>
        <w:tc>
          <w:tcPr>
            <w:tcW w:w="542" w:type="pct"/>
            <w:tcBorders>
              <w:top w:val="nil"/>
              <w:left w:val="nil"/>
              <w:bottom w:val="nil"/>
              <w:right w:val="nil"/>
            </w:tcBorders>
            <w:noWrap/>
            <w:vAlign w:val="center"/>
          </w:tcPr>
          <w:p w14:paraId="6328718D">
            <w:pPr>
              <w:rPr>
                <w:rFonts w:ascii="Arial" w:hAnsi="Arial" w:cs="Arial"/>
                <w:sz w:val="20"/>
                <w:szCs w:val="20"/>
              </w:rPr>
            </w:pPr>
            <w:r>
              <w:rPr>
                <w:rFonts w:hint="eastAsia" w:ascii="Arial" w:hAnsi="Arial" w:cs="Arial"/>
                <w:sz w:val="20"/>
                <w:szCs w:val="20"/>
              </w:rPr>
              <w:t>BL539A</w:t>
            </w:r>
          </w:p>
        </w:tc>
      </w:tr>
      <w:tr w14:paraId="3193F69B">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0780B7DC">
            <w:pPr>
              <w:rPr>
                <w:rFonts w:ascii="Arial" w:hAnsi="Arial" w:cs="Arial"/>
                <w:sz w:val="20"/>
                <w:szCs w:val="20"/>
              </w:rPr>
            </w:pPr>
            <w:r>
              <w:rPr>
                <w:rFonts w:ascii="Arial" w:hAnsi="Arial" w:cs="Arial"/>
                <w:sz w:val="20"/>
                <w:szCs w:val="20"/>
              </w:rPr>
              <w:t>TRIzol™ Reagent</w:t>
            </w:r>
          </w:p>
        </w:tc>
        <w:tc>
          <w:tcPr>
            <w:tcW w:w="1270" w:type="pct"/>
            <w:tcBorders>
              <w:top w:val="nil"/>
              <w:left w:val="nil"/>
              <w:bottom w:val="nil"/>
              <w:right w:val="nil"/>
            </w:tcBorders>
            <w:noWrap/>
            <w:vAlign w:val="center"/>
          </w:tcPr>
          <w:p w14:paraId="701A18FC">
            <w:pPr>
              <w:rPr>
                <w:rFonts w:ascii="Arial" w:hAnsi="Arial" w:cs="Arial"/>
                <w:sz w:val="20"/>
                <w:szCs w:val="20"/>
              </w:rPr>
            </w:pPr>
            <w:r>
              <w:rPr>
                <w:rFonts w:ascii="Arial" w:hAnsi="Arial" w:cs="Arial"/>
                <w:sz w:val="20"/>
                <w:szCs w:val="20"/>
              </w:rPr>
              <w:t>InvivoGen, CA, USA</w:t>
            </w:r>
          </w:p>
        </w:tc>
        <w:tc>
          <w:tcPr>
            <w:tcW w:w="542" w:type="pct"/>
            <w:tcBorders>
              <w:top w:val="nil"/>
              <w:left w:val="nil"/>
              <w:bottom w:val="nil"/>
              <w:right w:val="nil"/>
            </w:tcBorders>
            <w:noWrap/>
            <w:vAlign w:val="center"/>
          </w:tcPr>
          <w:p w14:paraId="343D5FE0">
            <w:pPr>
              <w:rPr>
                <w:rFonts w:ascii="Arial" w:hAnsi="Arial" w:cs="Arial"/>
                <w:sz w:val="20"/>
                <w:szCs w:val="20"/>
              </w:rPr>
            </w:pPr>
            <w:r>
              <w:rPr>
                <w:rFonts w:ascii="Arial" w:hAnsi="Arial" w:cs="Arial"/>
                <w:sz w:val="20"/>
                <w:szCs w:val="20"/>
              </w:rPr>
              <w:t>15596018CN</w:t>
            </w:r>
          </w:p>
        </w:tc>
      </w:tr>
      <w:tr w14:paraId="0FB023EE">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noWrap/>
            <w:vAlign w:val="center"/>
          </w:tcPr>
          <w:p w14:paraId="1468772C">
            <w:pPr>
              <w:rPr>
                <w:rFonts w:ascii="Arial" w:hAnsi="Arial" w:cs="Arial"/>
                <w:sz w:val="20"/>
                <w:szCs w:val="20"/>
              </w:rPr>
            </w:pPr>
            <w:r>
              <w:rPr>
                <w:rFonts w:ascii="Arial" w:hAnsi="Arial" w:cs="Arial"/>
                <w:sz w:val="20"/>
                <w:szCs w:val="20"/>
              </w:rPr>
              <w:t>RNeasy Plus Mini Kit</w:t>
            </w:r>
          </w:p>
        </w:tc>
        <w:tc>
          <w:tcPr>
            <w:tcW w:w="1270" w:type="pct"/>
            <w:tcBorders>
              <w:top w:val="nil"/>
              <w:left w:val="nil"/>
              <w:bottom w:val="nil"/>
              <w:right w:val="nil"/>
            </w:tcBorders>
          </w:tcPr>
          <w:p w14:paraId="06B084D1">
            <w:pPr>
              <w:rPr>
                <w:rFonts w:ascii="Arial" w:hAnsi="Arial" w:cs="Arial"/>
                <w:sz w:val="20"/>
                <w:szCs w:val="20"/>
              </w:rPr>
            </w:pPr>
            <w:r>
              <w:rPr>
                <w:rFonts w:ascii="Arial" w:hAnsi="Arial" w:cs="Arial"/>
                <w:sz w:val="20"/>
                <w:szCs w:val="20"/>
              </w:rPr>
              <w:t>Qiagen, CA, USA</w:t>
            </w:r>
          </w:p>
        </w:tc>
        <w:tc>
          <w:tcPr>
            <w:tcW w:w="542" w:type="pct"/>
            <w:tcBorders>
              <w:top w:val="nil"/>
              <w:left w:val="nil"/>
              <w:bottom w:val="nil"/>
              <w:right w:val="nil"/>
            </w:tcBorders>
            <w:noWrap/>
            <w:vAlign w:val="center"/>
          </w:tcPr>
          <w:p w14:paraId="3CE3F162">
            <w:pPr>
              <w:rPr>
                <w:rFonts w:ascii="Arial" w:hAnsi="Arial" w:cs="Arial"/>
                <w:sz w:val="20"/>
                <w:szCs w:val="20"/>
              </w:rPr>
            </w:pPr>
            <w:r>
              <w:rPr>
                <w:rFonts w:ascii="Arial" w:hAnsi="Arial" w:cs="Arial"/>
                <w:sz w:val="20"/>
                <w:szCs w:val="20"/>
              </w:rPr>
              <w:t>74134</w:t>
            </w:r>
          </w:p>
        </w:tc>
      </w:tr>
      <w:tr w14:paraId="0FD8663F">
        <w:tblPrEx>
          <w:tblCellMar>
            <w:top w:w="0" w:type="dxa"/>
            <w:left w:w="108" w:type="dxa"/>
            <w:bottom w:w="0" w:type="dxa"/>
            <w:right w:w="108" w:type="dxa"/>
          </w:tblCellMar>
        </w:tblPrEx>
        <w:trPr>
          <w:trHeight w:val="540" w:hRule="atLeast"/>
        </w:trPr>
        <w:tc>
          <w:tcPr>
            <w:tcW w:w="3187" w:type="pct"/>
            <w:tcBorders>
              <w:top w:val="nil"/>
              <w:left w:val="nil"/>
              <w:bottom w:val="nil"/>
              <w:right w:val="nil"/>
            </w:tcBorders>
          </w:tcPr>
          <w:p w14:paraId="735F2771">
            <w:pPr>
              <w:rPr>
                <w:rFonts w:ascii="Arial" w:hAnsi="Arial" w:cs="Arial"/>
                <w:sz w:val="20"/>
                <w:szCs w:val="20"/>
              </w:rPr>
            </w:pPr>
            <w:r>
              <w:rPr>
                <w:rFonts w:ascii="Arial" w:hAnsi="Arial" w:cs="Arial"/>
                <w:sz w:val="20"/>
                <w:szCs w:val="20"/>
              </w:rPr>
              <w:t>PrimeScript™ RT Reagent Kit with gDNA Eraser</w:t>
            </w:r>
          </w:p>
        </w:tc>
        <w:tc>
          <w:tcPr>
            <w:tcW w:w="1270" w:type="pct"/>
            <w:tcBorders>
              <w:top w:val="nil"/>
              <w:left w:val="nil"/>
              <w:bottom w:val="nil"/>
              <w:right w:val="nil"/>
            </w:tcBorders>
          </w:tcPr>
          <w:p w14:paraId="24790CEB">
            <w:pPr>
              <w:rPr>
                <w:rFonts w:ascii="Arial" w:hAnsi="Arial" w:cs="Arial"/>
                <w:sz w:val="20"/>
                <w:szCs w:val="20"/>
              </w:rPr>
            </w:pPr>
            <w:r>
              <w:rPr>
                <w:rFonts w:ascii="Arial" w:hAnsi="Arial" w:cs="Arial"/>
                <w:sz w:val="20"/>
                <w:szCs w:val="20"/>
              </w:rPr>
              <w:t>Takara, Kusatsu, Japan</w:t>
            </w:r>
          </w:p>
        </w:tc>
        <w:tc>
          <w:tcPr>
            <w:tcW w:w="542" w:type="pct"/>
            <w:tcBorders>
              <w:top w:val="nil"/>
              <w:left w:val="nil"/>
              <w:bottom w:val="nil"/>
              <w:right w:val="nil"/>
            </w:tcBorders>
            <w:noWrap/>
            <w:vAlign w:val="center"/>
          </w:tcPr>
          <w:p w14:paraId="52F15861">
            <w:pPr>
              <w:rPr>
                <w:rFonts w:ascii="Arial" w:hAnsi="Arial" w:cs="Arial"/>
                <w:sz w:val="20"/>
                <w:szCs w:val="20"/>
              </w:rPr>
            </w:pPr>
            <w:r>
              <w:rPr>
                <w:rFonts w:ascii="Arial" w:hAnsi="Arial" w:cs="Arial"/>
                <w:sz w:val="20"/>
                <w:szCs w:val="20"/>
              </w:rPr>
              <w:t>RR047A</w:t>
            </w:r>
          </w:p>
        </w:tc>
      </w:tr>
      <w:tr w14:paraId="44BECFBF">
        <w:tblPrEx>
          <w:tblCellMar>
            <w:top w:w="0" w:type="dxa"/>
            <w:left w:w="108" w:type="dxa"/>
            <w:bottom w:w="0" w:type="dxa"/>
            <w:right w:w="108" w:type="dxa"/>
          </w:tblCellMar>
        </w:tblPrEx>
        <w:trPr>
          <w:trHeight w:val="280" w:hRule="atLeast"/>
        </w:trPr>
        <w:tc>
          <w:tcPr>
            <w:tcW w:w="3187" w:type="pct"/>
            <w:tcBorders>
              <w:top w:val="nil"/>
              <w:left w:val="nil"/>
              <w:bottom w:val="nil"/>
              <w:right w:val="nil"/>
            </w:tcBorders>
          </w:tcPr>
          <w:p w14:paraId="7BD72CAA">
            <w:pPr>
              <w:rPr>
                <w:rFonts w:ascii="Arial" w:hAnsi="Arial" w:cs="Arial"/>
                <w:sz w:val="20"/>
                <w:szCs w:val="20"/>
              </w:rPr>
            </w:pPr>
            <w:r>
              <w:rPr>
                <w:rFonts w:ascii="Arial" w:hAnsi="Arial" w:cs="Arial"/>
                <w:sz w:val="20"/>
                <w:szCs w:val="20"/>
              </w:rPr>
              <w:t>TB Green Premix Ex Taq</w:t>
            </w:r>
          </w:p>
        </w:tc>
        <w:tc>
          <w:tcPr>
            <w:tcW w:w="1270" w:type="pct"/>
            <w:tcBorders>
              <w:top w:val="nil"/>
              <w:left w:val="nil"/>
              <w:bottom w:val="nil"/>
              <w:right w:val="nil"/>
            </w:tcBorders>
          </w:tcPr>
          <w:p w14:paraId="08D9754A">
            <w:pPr>
              <w:rPr>
                <w:rFonts w:ascii="Arial" w:hAnsi="Arial" w:cs="Arial"/>
                <w:sz w:val="20"/>
                <w:szCs w:val="20"/>
              </w:rPr>
            </w:pPr>
            <w:r>
              <w:rPr>
                <w:rFonts w:ascii="Arial" w:hAnsi="Arial" w:cs="Arial"/>
                <w:sz w:val="20"/>
                <w:szCs w:val="20"/>
              </w:rPr>
              <w:t>Takara, Kusatsu, Japan</w:t>
            </w:r>
          </w:p>
        </w:tc>
        <w:tc>
          <w:tcPr>
            <w:tcW w:w="542" w:type="pct"/>
            <w:tcBorders>
              <w:top w:val="nil"/>
              <w:left w:val="nil"/>
              <w:bottom w:val="nil"/>
              <w:right w:val="nil"/>
            </w:tcBorders>
            <w:noWrap/>
            <w:vAlign w:val="center"/>
          </w:tcPr>
          <w:p w14:paraId="1975515B">
            <w:pPr>
              <w:rPr>
                <w:rFonts w:ascii="Arial" w:hAnsi="Arial" w:cs="Arial"/>
                <w:sz w:val="20"/>
                <w:szCs w:val="20"/>
              </w:rPr>
            </w:pPr>
            <w:r>
              <w:rPr>
                <w:rFonts w:ascii="Arial" w:hAnsi="Arial" w:cs="Arial"/>
                <w:sz w:val="20"/>
                <w:szCs w:val="20"/>
              </w:rPr>
              <w:t>RR420A</w:t>
            </w:r>
          </w:p>
        </w:tc>
      </w:tr>
      <w:tr w14:paraId="43A1F59F">
        <w:tblPrEx>
          <w:tblCellMar>
            <w:top w:w="0" w:type="dxa"/>
            <w:left w:w="108" w:type="dxa"/>
            <w:bottom w:w="0" w:type="dxa"/>
            <w:right w:w="108" w:type="dxa"/>
          </w:tblCellMar>
        </w:tblPrEx>
        <w:trPr>
          <w:trHeight w:val="90" w:hRule="atLeast"/>
        </w:trPr>
        <w:tc>
          <w:tcPr>
            <w:tcW w:w="3187" w:type="pct"/>
            <w:tcBorders>
              <w:top w:val="nil"/>
              <w:left w:val="nil"/>
              <w:bottom w:val="nil"/>
              <w:right w:val="nil"/>
            </w:tcBorders>
            <w:noWrap/>
            <w:vAlign w:val="center"/>
          </w:tcPr>
          <w:p w14:paraId="2F599AF8">
            <w:pPr>
              <w:rPr>
                <w:rFonts w:ascii="Arial" w:hAnsi="Arial" w:cs="Arial"/>
                <w:sz w:val="20"/>
                <w:szCs w:val="20"/>
              </w:rPr>
            </w:pPr>
            <w:r>
              <w:rPr>
                <w:rFonts w:ascii="Arial" w:hAnsi="Arial" w:cs="Arial"/>
                <w:sz w:val="20"/>
                <w:szCs w:val="20"/>
              </w:rPr>
              <w:t>TrypLE™ Express</w:t>
            </w:r>
          </w:p>
        </w:tc>
        <w:tc>
          <w:tcPr>
            <w:tcW w:w="1270" w:type="pct"/>
            <w:tcBorders>
              <w:top w:val="nil"/>
              <w:left w:val="nil"/>
              <w:bottom w:val="nil"/>
              <w:right w:val="nil"/>
            </w:tcBorders>
            <w:noWrap/>
            <w:vAlign w:val="center"/>
          </w:tcPr>
          <w:p w14:paraId="1B9AF530">
            <w:pPr>
              <w:rPr>
                <w:rFonts w:ascii="Arial" w:hAnsi="Arial" w:cs="Arial"/>
                <w:sz w:val="20"/>
                <w:szCs w:val="20"/>
              </w:rPr>
            </w:pPr>
            <w:r>
              <w:rPr>
                <w:rFonts w:ascii="Arial" w:hAnsi="Arial" w:eastAsia="宋体" w:cs="Arial"/>
                <w:color w:val="000000"/>
                <w:kern w:val="0"/>
                <w:sz w:val="20"/>
                <w:szCs w:val="20"/>
                <w:lang w:bidi="ar"/>
              </w:rPr>
              <w:t>Thermo Fisher Scientific, MA, USA</w:t>
            </w:r>
          </w:p>
        </w:tc>
        <w:tc>
          <w:tcPr>
            <w:tcW w:w="542" w:type="pct"/>
            <w:tcBorders>
              <w:top w:val="nil"/>
              <w:left w:val="nil"/>
              <w:bottom w:val="nil"/>
              <w:right w:val="nil"/>
            </w:tcBorders>
            <w:noWrap/>
            <w:vAlign w:val="center"/>
          </w:tcPr>
          <w:p w14:paraId="22BCE4CB">
            <w:pPr>
              <w:rPr>
                <w:rFonts w:ascii="Arial" w:hAnsi="Arial" w:cs="Arial"/>
                <w:sz w:val="20"/>
                <w:szCs w:val="20"/>
              </w:rPr>
            </w:pPr>
            <w:r>
              <w:rPr>
                <w:rFonts w:ascii="Arial" w:hAnsi="Arial" w:cs="Arial"/>
                <w:sz w:val="20"/>
                <w:szCs w:val="20"/>
              </w:rPr>
              <w:t>12604013</w:t>
            </w:r>
          </w:p>
        </w:tc>
      </w:tr>
      <w:tr w14:paraId="3022BB0B">
        <w:tblPrEx>
          <w:tblCellMar>
            <w:top w:w="0" w:type="dxa"/>
            <w:left w:w="108" w:type="dxa"/>
            <w:bottom w:w="0" w:type="dxa"/>
            <w:right w:w="108" w:type="dxa"/>
          </w:tblCellMar>
        </w:tblPrEx>
        <w:trPr>
          <w:trHeight w:val="90" w:hRule="atLeast"/>
        </w:trPr>
        <w:tc>
          <w:tcPr>
            <w:tcW w:w="3187" w:type="pct"/>
            <w:tcBorders>
              <w:top w:val="nil"/>
              <w:left w:val="nil"/>
              <w:bottom w:val="nil"/>
              <w:right w:val="nil"/>
            </w:tcBorders>
            <w:noWrap/>
            <w:vAlign w:val="center"/>
          </w:tcPr>
          <w:p w14:paraId="37589F3E">
            <w:pPr>
              <w:rPr>
                <w:rFonts w:ascii="Arial" w:hAnsi="Arial" w:cs="Arial"/>
                <w:sz w:val="20"/>
                <w:szCs w:val="20"/>
              </w:rPr>
            </w:pPr>
            <w:r>
              <w:fldChar w:fldCharType="begin"/>
            </w:r>
            <w:r>
              <w:instrText xml:space="preserve"> HYPERLINK "https://www.sigmaaldrich.cn/CN/zh/substance/corningcellrecoverysolution1234598765" </w:instrText>
            </w:r>
            <w:r>
              <w:fldChar w:fldCharType="separate"/>
            </w:r>
            <w:r>
              <w:rPr>
                <w:rFonts w:ascii="Arial" w:hAnsi="Arial" w:cs="Arial"/>
                <w:sz w:val="20"/>
                <w:szCs w:val="20"/>
              </w:rPr>
              <w:t>Cell Recovery Solution</w:t>
            </w:r>
            <w:r>
              <w:rPr>
                <w:rFonts w:ascii="Arial" w:hAnsi="Arial" w:cs="Arial"/>
                <w:sz w:val="20"/>
                <w:szCs w:val="20"/>
              </w:rPr>
              <w:fldChar w:fldCharType="end"/>
            </w:r>
          </w:p>
        </w:tc>
        <w:tc>
          <w:tcPr>
            <w:tcW w:w="1270" w:type="pct"/>
            <w:tcBorders>
              <w:top w:val="nil"/>
              <w:left w:val="nil"/>
              <w:bottom w:val="nil"/>
              <w:right w:val="nil"/>
            </w:tcBorders>
            <w:noWrap/>
            <w:vAlign w:val="center"/>
          </w:tcPr>
          <w:p w14:paraId="5DE1D621">
            <w:pPr>
              <w:rPr>
                <w:rFonts w:ascii="Arial" w:hAnsi="Arial" w:eastAsia="宋体" w:cs="Arial"/>
                <w:color w:val="000000"/>
                <w:kern w:val="0"/>
                <w:sz w:val="20"/>
                <w:szCs w:val="20"/>
                <w:lang w:bidi="ar"/>
              </w:rPr>
            </w:pPr>
            <w:r>
              <w:rPr>
                <w:rFonts w:ascii="Arial" w:hAnsi="Arial" w:cs="Arial"/>
                <w:sz w:val="20"/>
                <w:szCs w:val="20"/>
              </w:rPr>
              <w:t>Corning, NY, USA</w:t>
            </w:r>
          </w:p>
        </w:tc>
        <w:tc>
          <w:tcPr>
            <w:tcW w:w="542" w:type="pct"/>
            <w:tcBorders>
              <w:top w:val="nil"/>
              <w:left w:val="nil"/>
              <w:bottom w:val="nil"/>
              <w:right w:val="nil"/>
            </w:tcBorders>
            <w:noWrap/>
            <w:vAlign w:val="center"/>
          </w:tcPr>
          <w:p w14:paraId="3BE08A34">
            <w:pPr>
              <w:rPr>
                <w:rFonts w:ascii="Arial" w:hAnsi="Arial" w:cs="Arial"/>
                <w:sz w:val="20"/>
                <w:szCs w:val="20"/>
              </w:rPr>
            </w:pPr>
            <w:r>
              <w:fldChar w:fldCharType="begin"/>
            </w:r>
            <w:r>
              <w:instrText xml:space="preserve"> HYPERLINK "https://www.sigmaaldrich.cn/CN/zh/product/sigma/cls354253" </w:instrText>
            </w:r>
            <w:r>
              <w:fldChar w:fldCharType="separate"/>
            </w:r>
            <w:r>
              <w:rPr>
                <w:rFonts w:ascii="Arial" w:hAnsi="Arial" w:cs="Arial"/>
                <w:sz w:val="20"/>
                <w:szCs w:val="20"/>
              </w:rPr>
              <w:t>CLS354253</w:t>
            </w:r>
            <w:r>
              <w:rPr>
                <w:rFonts w:ascii="Arial" w:hAnsi="Arial" w:cs="Arial"/>
                <w:sz w:val="20"/>
                <w:szCs w:val="20"/>
              </w:rPr>
              <w:fldChar w:fldCharType="end"/>
            </w:r>
          </w:p>
        </w:tc>
      </w:tr>
      <w:tr w14:paraId="26A7A712">
        <w:tblPrEx>
          <w:tblCellMar>
            <w:top w:w="0" w:type="dxa"/>
            <w:left w:w="108" w:type="dxa"/>
            <w:bottom w:w="0" w:type="dxa"/>
            <w:right w:w="108" w:type="dxa"/>
          </w:tblCellMar>
        </w:tblPrEx>
        <w:trPr>
          <w:trHeight w:val="280" w:hRule="atLeast"/>
        </w:trPr>
        <w:tc>
          <w:tcPr>
            <w:tcW w:w="3187" w:type="pct"/>
            <w:tcBorders>
              <w:top w:val="nil"/>
              <w:left w:val="nil"/>
              <w:bottom w:val="single" w:color="000000" w:sz="12" w:space="0"/>
              <w:right w:val="nil"/>
            </w:tcBorders>
            <w:shd w:val="clear" w:color="auto" w:fill="auto"/>
            <w:vAlign w:val="center"/>
          </w:tcPr>
          <w:p w14:paraId="7C9D7089">
            <w:pPr>
              <w:rPr>
                <w:rFonts w:ascii="Arial" w:hAnsi="Arial" w:cs="Arial" w:eastAsiaTheme="minorEastAsia"/>
                <w:kern w:val="2"/>
                <w:sz w:val="20"/>
                <w:szCs w:val="20"/>
                <w:lang w:val="en-US" w:eastAsia="zh-CN" w:bidi="ar-SA"/>
              </w:rPr>
            </w:pPr>
            <w:r>
              <w:rPr>
                <w:rFonts w:ascii="Arial" w:hAnsi="Arial" w:cs="Arial"/>
                <w:sz w:val="20"/>
                <w:szCs w:val="20"/>
              </w:rPr>
              <w:t>Tween 20</w:t>
            </w:r>
          </w:p>
        </w:tc>
        <w:tc>
          <w:tcPr>
            <w:tcW w:w="1270" w:type="pct"/>
            <w:tcBorders>
              <w:top w:val="nil"/>
              <w:left w:val="nil"/>
              <w:bottom w:val="single" w:color="000000" w:sz="12" w:space="0"/>
              <w:right w:val="nil"/>
            </w:tcBorders>
            <w:shd w:val="clear" w:color="auto" w:fill="auto"/>
            <w:vAlign w:val="center"/>
          </w:tcPr>
          <w:p w14:paraId="3EF32192">
            <w:pPr>
              <w:rPr>
                <w:rFonts w:ascii="Arial" w:hAnsi="Arial" w:cs="Arial" w:eastAsiaTheme="minorEastAsia"/>
                <w:kern w:val="2"/>
                <w:sz w:val="20"/>
                <w:szCs w:val="20"/>
                <w:lang w:val="en-US" w:eastAsia="zh-CN" w:bidi="ar-SA"/>
              </w:rPr>
            </w:pPr>
            <w:r>
              <w:rPr>
                <w:rFonts w:ascii="Arial" w:hAnsi="Arial" w:cs="Arial"/>
                <w:sz w:val="20"/>
                <w:szCs w:val="20"/>
              </w:rPr>
              <w:t>Beyotime</w:t>
            </w:r>
            <w:r>
              <w:rPr>
                <w:rFonts w:hint="eastAsia" w:ascii="Arial" w:hAnsi="Arial" w:cs="Arial"/>
                <w:sz w:val="20"/>
                <w:szCs w:val="20"/>
              </w:rPr>
              <w:t>, Shaihai, China</w:t>
            </w:r>
          </w:p>
        </w:tc>
        <w:tc>
          <w:tcPr>
            <w:tcW w:w="542" w:type="pct"/>
            <w:tcBorders>
              <w:top w:val="nil"/>
              <w:left w:val="nil"/>
              <w:bottom w:val="single" w:color="000000" w:sz="12" w:space="0"/>
              <w:right w:val="nil"/>
            </w:tcBorders>
            <w:shd w:val="clear" w:color="auto" w:fill="auto"/>
            <w:vAlign w:val="center"/>
          </w:tcPr>
          <w:p w14:paraId="105BA3CD">
            <w:pPr>
              <w:rPr>
                <w:rFonts w:ascii="Arial" w:hAnsi="Arial" w:cs="Arial" w:eastAsiaTheme="minorEastAsia"/>
                <w:kern w:val="2"/>
                <w:sz w:val="20"/>
                <w:szCs w:val="20"/>
                <w:lang w:val="en-US" w:eastAsia="zh-CN" w:bidi="ar-SA"/>
              </w:rPr>
            </w:pPr>
            <w:r>
              <w:rPr>
                <w:rFonts w:ascii="Arial" w:hAnsi="Arial" w:cs="Arial"/>
                <w:sz w:val="20"/>
                <w:szCs w:val="20"/>
              </w:rPr>
              <w:t>ST1727</w:t>
            </w:r>
          </w:p>
        </w:tc>
      </w:tr>
    </w:tbl>
    <w:p w14:paraId="08C12ED7">
      <w:pPr>
        <w:rPr>
          <w:rFonts w:ascii="Arial" w:hAnsi="Arial" w:cs="Arial"/>
        </w:rPr>
      </w:pPr>
      <w:r>
        <w:rPr>
          <w:rFonts w:ascii="Arial" w:hAnsi="Arial" w:cs="Arial"/>
        </w:rPr>
        <w:br w:type="page"/>
      </w:r>
    </w:p>
    <w:p w14:paraId="762EA4A6">
      <w:pPr>
        <w:rPr>
          <w:rFonts w:ascii="Arial" w:hAnsi="Arial" w:cs="Arial"/>
          <w:color w:val="222222"/>
          <w:sz w:val="20"/>
          <w:szCs w:val="20"/>
        </w:rPr>
      </w:pPr>
      <w:r>
        <w:rPr>
          <w:rFonts w:ascii="Arial" w:hAnsi="Arial" w:cs="Arial"/>
          <w:b/>
          <w:bCs/>
          <w:color w:val="222222"/>
          <w:sz w:val="20"/>
          <w:szCs w:val="20"/>
        </w:rPr>
        <w:t xml:space="preserve">Table S2 </w:t>
      </w:r>
      <w:r>
        <w:rPr>
          <w:rFonts w:ascii="Arial" w:hAnsi="Arial" w:cs="Arial"/>
          <w:color w:val="222222"/>
          <w:sz w:val="20"/>
          <w:szCs w:val="20"/>
        </w:rPr>
        <w:t>Types and specifications of the devices and equipment used in this study.</w:t>
      </w:r>
    </w:p>
    <w:tbl>
      <w:tblPr>
        <w:tblStyle w:val="7"/>
        <w:tblW w:w="0" w:type="auto"/>
        <w:tblInd w:w="98" w:type="dxa"/>
        <w:tblLayout w:type="autofit"/>
        <w:tblCellMar>
          <w:top w:w="0" w:type="dxa"/>
          <w:left w:w="108" w:type="dxa"/>
          <w:bottom w:w="0" w:type="dxa"/>
          <w:right w:w="108" w:type="dxa"/>
        </w:tblCellMar>
      </w:tblPr>
      <w:tblGrid>
        <w:gridCol w:w="2744"/>
        <w:gridCol w:w="3114"/>
        <w:gridCol w:w="2566"/>
      </w:tblGrid>
      <w:tr w14:paraId="5294F43B">
        <w:tblPrEx>
          <w:tblCellMar>
            <w:top w:w="0" w:type="dxa"/>
            <w:left w:w="108" w:type="dxa"/>
            <w:bottom w:w="0" w:type="dxa"/>
            <w:right w:w="108" w:type="dxa"/>
          </w:tblCellMar>
        </w:tblPrEx>
        <w:trPr>
          <w:trHeight w:val="290" w:hRule="atLeast"/>
        </w:trPr>
        <w:tc>
          <w:tcPr>
            <w:tcW w:w="0" w:type="auto"/>
            <w:tcBorders>
              <w:top w:val="single" w:color="000000" w:sz="12" w:space="0"/>
              <w:left w:val="nil"/>
              <w:bottom w:val="single" w:color="000000" w:sz="12" w:space="0"/>
              <w:right w:val="nil"/>
            </w:tcBorders>
          </w:tcPr>
          <w:p w14:paraId="766F7D7F">
            <w:pPr>
              <w:widowControl/>
              <w:textAlignment w:val="top"/>
              <w:rPr>
                <w:rFonts w:ascii="Arial" w:hAnsi="Arial" w:eastAsia="宋体" w:cs="Arial"/>
                <w:b/>
                <w:bCs/>
                <w:color w:val="000000"/>
                <w:sz w:val="20"/>
                <w:szCs w:val="20"/>
              </w:rPr>
            </w:pPr>
            <w:r>
              <w:rPr>
                <w:rFonts w:ascii="Arial" w:hAnsi="Arial" w:eastAsia="宋体" w:cs="Arial"/>
                <w:b/>
                <w:bCs/>
                <w:color w:val="000000"/>
                <w:kern w:val="0"/>
                <w:sz w:val="20"/>
                <w:szCs w:val="20"/>
                <w:lang w:bidi="ar"/>
              </w:rPr>
              <w:t>Devices and equipment</w:t>
            </w:r>
          </w:p>
        </w:tc>
        <w:tc>
          <w:tcPr>
            <w:tcW w:w="0" w:type="auto"/>
            <w:tcBorders>
              <w:top w:val="single" w:color="000000" w:sz="12" w:space="0"/>
              <w:left w:val="nil"/>
              <w:bottom w:val="single" w:color="000000" w:sz="12" w:space="0"/>
              <w:right w:val="nil"/>
            </w:tcBorders>
          </w:tcPr>
          <w:p w14:paraId="2E2E6175">
            <w:pPr>
              <w:widowControl/>
              <w:textAlignment w:val="top"/>
              <w:rPr>
                <w:rFonts w:ascii="Arial" w:hAnsi="Arial" w:eastAsia="宋体" w:cs="Arial"/>
                <w:b/>
                <w:bCs/>
                <w:color w:val="000000"/>
                <w:sz w:val="20"/>
                <w:szCs w:val="20"/>
              </w:rPr>
            </w:pPr>
            <w:r>
              <w:rPr>
                <w:rFonts w:ascii="Arial" w:hAnsi="Arial" w:eastAsia="宋体" w:cs="Arial"/>
                <w:b/>
                <w:bCs/>
                <w:color w:val="000000"/>
                <w:kern w:val="0"/>
                <w:sz w:val="20"/>
                <w:szCs w:val="20"/>
                <w:lang w:bidi="ar"/>
              </w:rPr>
              <w:t>Type</w:t>
            </w:r>
          </w:p>
        </w:tc>
        <w:tc>
          <w:tcPr>
            <w:tcW w:w="0" w:type="auto"/>
            <w:tcBorders>
              <w:top w:val="single" w:color="000000" w:sz="12" w:space="0"/>
              <w:left w:val="nil"/>
              <w:bottom w:val="single" w:color="000000" w:sz="12" w:space="0"/>
              <w:right w:val="nil"/>
            </w:tcBorders>
          </w:tcPr>
          <w:p w14:paraId="445D83C5">
            <w:pPr>
              <w:widowControl/>
              <w:textAlignment w:val="top"/>
              <w:rPr>
                <w:rFonts w:ascii="Arial" w:hAnsi="Arial" w:eastAsia="宋体" w:cs="Arial"/>
                <w:b/>
                <w:bCs/>
                <w:color w:val="000000"/>
                <w:sz w:val="20"/>
                <w:szCs w:val="20"/>
              </w:rPr>
            </w:pPr>
            <w:r>
              <w:rPr>
                <w:rFonts w:ascii="Arial" w:hAnsi="Arial" w:eastAsia="宋体" w:cs="Arial"/>
                <w:b/>
                <w:bCs/>
                <w:color w:val="000000"/>
                <w:kern w:val="0"/>
                <w:sz w:val="20"/>
                <w:szCs w:val="20"/>
                <w:lang w:bidi="ar"/>
              </w:rPr>
              <w:t>Specification</w:t>
            </w:r>
          </w:p>
        </w:tc>
      </w:tr>
      <w:tr w14:paraId="7BDCEBE6">
        <w:tblPrEx>
          <w:tblCellMar>
            <w:top w:w="0" w:type="dxa"/>
            <w:left w:w="108" w:type="dxa"/>
            <w:bottom w:w="0" w:type="dxa"/>
            <w:right w:w="108" w:type="dxa"/>
          </w:tblCellMar>
        </w:tblPrEx>
        <w:trPr>
          <w:trHeight w:val="285" w:hRule="atLeast"/>
        </w:trPr>
        <w:tc>
          <w:tcPr>
            <w:tcW w:w="0" w:type="auto"/>
            <w:tcBorders>
              <w:top w:val="nil"/>
              <w:left w:val="nil"/>
              <w:bottom w:val="nil"/>
              <w:right w:val="nil"/>
            </w:tcBorders>
          </w:tcPr>
          <w:p w14:paraId="376A6934">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Centrifuge</w:t>
            </w:r>
          </w:p>
        </w:tc>
        <w:tc>
          <w:tcPr>
            <w:tcW w:w="0" w:type="auto"/>
            <w:tcBorders>
              <w:top w:val="nil"/>
              <w:left w:val="nil"/>
              <w:bottom w:val="nil"/>
              <w:right w:val="nil"/>
            </w:tcBorders>
          </w:tcPr>
          <w:p w14:paraId="0852CDB4">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Eppendorf, Hamburg, Germany</w:t>
            </w:r>
          </w:p>
        </w:tc>
        <w:tc>
          <w:tcPr>
            <w:tcW w:w="0" w:type="auto"/>
            <w:tcBorders>
              <w:top w:val="nil"/>
              <w:left w:val="nil"/>
              <w:bottom w:val="nil"/>
              <w:right w:val="nil"/>
            </w:tcBorders>
          </w:tcPr>
          <w:p w14:paraId="6BAA35C0">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5424 R</w:t>
            </w:r>
          </w:p>
        </w:tc>
      </w:tr>
      <w:tr w14:paraId="02227DFE">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6552DF26">
            <w:pPr>
              <w:rPr>
                <w:rFonts w:ascii="Arial" w:hAnsi="Arial" w:eastAsia="宋体" w:cs="Arial"/>
                <w:color w:val="000000"/>
                <w:sz w:val="20"/>
                <w:szCs w:val="20"/>
              </w:rPr>
            </w:pPr>
            <w:r>
              <w:rPr>
                <w:rFonts w:ascii="Arial" w:hAnsi="Arial" w:eastAsia="宋体" w:cs="Arial"/>
                <w:color w:val="000000"/>
                <w:kern w:val="0"/>
                <w:sz w:val="20"/>
                <w:szCs w:val="20"/>
                <w:lang w:bidi="ar"/>
              </w:rPr>
              <w:t>Centrifuge</w:t>
            </w:r>
          </w:p>
        </w:tc>
        <w:tc>
          <w:tcPr>
            <w:tcW w:w="0" w:type="auto"/>
            <w:tcBorders>
              <w:top w:val="nil"/>
              <w:left w:val="nil"/>
              <w:bottom w:val="nil"/>
              <w:right w:val="nil"/>
            </w:tcBorders>
          </w:tcPr>
          <w:p w14:paraId="374793BD">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CenLee, Changsha, China</w:t>
            </w:r>
          </w:p>
        </w:tc>
        <w:tc>
          <w:tcPr>
            <w:tcW w:w="0" w:type="auto"/>
            <w:tcBorders>
              <w:top w:val="nil"/>
              <w:left w:val="nil"/>
              <w:bottom w:val="nil"/>
              <w:right w:val="nil"/>
            </w:tcBorders>
          </w:tcPr>
          <w:p w14:paraId="4FFB98D2">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TDL5M</w:t>
            </w:r>
          </w:p>
        </w:tc>
      </w:tr>
      <w:tr w14:paraId="026452B1">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00483A9D">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Cell incubator</w:t>
            </w:r>
          </w:p>
        </w:tc>
        <w:tc>
          <w:tcPr>
            <w:tcW w:w="0" w:type="auto"/>
            <w:tcBorders>
              <w:top w:val="nil"/>
              <w:left w:val="nil"/>
              <w:bottom w:val="nil"/>
              <w:right w:val="nil"/>
            </w:tcBorders>
          </w:tcPr>
          <w:p w14:paraId="6DFD5B7F">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Thermo Fisher Scientific, MA, USA</w:t>
            </w:r>
          </w:p>
        </w:tc>
        <w:tc>
          <w:tcPr>
            <w:tcW w:w="0" w:type="auto"/>
            <w:tcBorders>
              <w:top w:val="nil"/>
              <w:left w:val="nil"/>
              <w:bottom w:val="nil"/>
              <w:right w:val="nil"/>
            </w:tcBorders>
          </w:tcPr>
          <w:p w14:paraId="2BAC0C65">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3111</w:t>
            </w:r>
          </w:p>
        </w:tc>
      </w:tr>
      <w:tr w14:paraId="07502740">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5DC4F52A">
            <w:pPr>
              <w:widowControl/>
              <w:textAlignment w:val="top"/>
              <w:rPr>
                <w:rFonts w:ascii="Arial" w:hAnsi="Arial" w:eastAsia="宋体" w:cs="Arial"/>
                <w:color w:val="000000"/>
                <w:sz w:val="20"/>
                <w:szCs w:val="20"/>
              </w:rPr>
            </w:pPr>
            <w:r>
              <w:rPr>
                <w:rFonts w:ascii="Arial" w:hAnsi="Arial" w:eastAsia="宋体" w:cs="Arial"/>
                <w:color w:val="000000"/>
                <w:sz w:val="20"/>
                <w:szCs w:val="20"/>
              </w:rPr>
              <w:t>Automated cell counter</w:t>
            </w:r>
          </w:p>
        </w:tc>
        <w:tc>
          <w:tcPr>
            <w:tcW w:w="0" w:type="auto"/>
            <w:tcBorders>
              <w:top w:val="nil"/>
              <w:left w:val="nil"/>
              <w:bottom w:val="nil"/>
              <w:right w:val="nil"/>
            </w:tcBorders>
          </w:tcPr>
          <w:p w14:paraId="67FE342F">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Countstar, Shanghai, China</w:t>
            </w:r>
          </w:p>
        </w:tc>
        <w:tc>
          <w:tcPr>
            <w:tcW w:w="0" w:type="auto"/>
            <w:tcBorders>
              <w:top w:val="nil"/>
              <w:left w:val="nil"/>
              <w:bottom w:val="nil"/>
              <w:right w:val="nil"/>
            </w:tcBorders>
          </w:tcPr>
          <w:p w14:paraId="1E24DD72">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Mira FL</w:t>
            </w:r>
          </w:p>
        </w:tc>
      </w:tr>
      <w:tr w14:paraId="3F756A01">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28FE64A5">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Real-time PCR system</w:t>
            </w:r>
          </w:p>
        </w:tc>
        <w:tc>
          <w:tcPr>
            <w:tcW w:w="0" w:type="auto"/>
            <w:tcBorders>
              <w:top w:val="nil"/>
              <w:left w:val="nil"/>
              <w:bottom w:val="nil"/>
              <w:right w:val="nil"/>
            </w:tcBorders>
          </w:tcPr>
          <w:p w14:paraId="4267CFBB">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Applied Biosystems, California, USA</w:t>
            </w:r>
          </w:p>
        </w:tc>
        <w:tc>
          <w:tcPr>
            <w:tcW w:w="0" w:type="auto"/>
            <w:tcBorders>
              <w:top w:val="nil"/>
              <w:left w:val="nil"/>
              <w:bottom w:val="nil"/>
              <w:right w:val="nil"/>
            </w:tcBorders>
          </w:tcPr>
          <w:p w14:paraId="2398FED8">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ViiA7</w:t>
            </w:r>
          </w:p>
        </w:tc>
      </w:tr>
      <w:tr w14:paraId="0A2E3946">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1670716C">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PCR system</w:t>
            </w:r>
          </w:p>
        </w:tc>
        <w:tc>
          <w:tcPr>
            <w:tcW w:w="0" w:type="auto"/>
            <w:tcBorders>
              <w:top w:val="nil"/>
              <w:left w:val="nil"/>
              <w:bottom w:val="nil"/>
              <w:right w:val="nil"/>
            </w:tcBorders>
          </w:tcPr>
          <w:p w14:paraId="72BBF387">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Applied Biosystems, California, USA</w:t>
            </w:r>
          </w:p>
        </w:tc>
        <w:tc>
          <w:tcPr>
            <w:tcW w:w="0" w:type="auto"/>
            <w:tcBorders>
              <w:top w:val="nil"/>
              <w:left w:val="nil"/>
              <w:bottom w:val="nil"/>
              <w:right w:val="nil"/>
            </w:tcBorders>
          </w:tcPr>
          <w:p w14:paraId="2F7A8432">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ProFlex™ PCR</w:t>
            </w:r>
          </w:p>
        </w:tc>
      </w:tr>
      <w:tr w14:paraId="30427044">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2A57F45E">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Homogenizer</w:t>
            </w:r>
          </w:p>
        </w:tc>
        <w:tc>
          <w:tcPr>
            <w:tcW w:w="0" w:type="auto"/>
            <w:tcBorders>
              <w:top w:val="nil"/>
              <w:left w:val="nil"/>
              <w:bottom w:val="nil"/>
              <w:right w:val="nil"/>
            </w:tcBorders>
          </w:tcPr>
          <w:p w14:paraId="0B468DFF">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Bertin Technologies, Paris, French</w:t>
            </w:r>
          </w:p>
        </w:tc>
        <w:tc>
          <w:tcPr>
            <w:tcW w:w="0" w:type="auto"/>
            <w:tcBorders>
              <w:top w:val="nil"/>
              <w:left w:val="nil"/>
              <w:bottom w:val="nil"/>
              <w:right w:val="nil"/>
            </w:tcBorders>
          </w:tcPr>
          <w:p w14:paraId="2CC22CEE">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Precellys 24</w:t>
            </w:r>
          </w:p>
        </w:tc>
      </w:tr>
      <w:tr w14:paraId="25ECDF78">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7FD9B751">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Microplate reader</w:t>
            </w:r>
          </w:p>
        </w:tc>
        <w:tc>
          <w:tcPr>
            <w:tcW w:w="0" w:type="auto"/>
            <w:tcBorders>
              <w:top w:val="nil"/>
              <w:left w:val="nil"/>
              <w:bottom w:val="nil"/>
              <w:right w:val="nil"/>
            </w:tcBorders>
          </w:tcPr>
          <w:p w14:paraId="5E5A9DBA">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Molecular devices,</w:t>
            </w:r>
            <w:r>
              <w:rPr>
                <w:rFonts w:ascii="Arial" w:hAnsi="Arial" w:eastAsia="等线" w:cs="Arial"/>
                <w:color w:val="000000"/>
                <w:kern w:val="0"/>
                <w:sz w:val="20"/>
                <w:szCs w:val="20"/>
                <w:lang w:bidi="ar"/>
              </w:rPr>
              <w:t xml:space="preserve"> </w:t>
            </w:r>
            <w:r>
              <w:rPr>
                <w:rFonts w:ascii="Arial" w:hAnsi="Arial" w:eastAsia="宋体" w:cs="Arial"/>
                <w:color w:val="000000"/>
                <w:kern w:val="0"/>
                <w:sz w:val="20"/>
                <w:szCs w:val="20"/>
                <w:lang w:bidi="ar"/>
              </w:rPr>
              <w:t>California, USA</w:t>
            </w:r>
          </w:p>
        </w:tc>
        <w:tc>
          <w:tcPr>
            <w:tcW w:w="0" w:type="auto"/>
            <w:tcBorders>
              <w:top w:val="nil"/>
              <w:left w:val="nil"/>
              <w:bottom w:val="nil"/>
              <w:right w:val="nil"/>
            </w:tcBorders>
          </w:tcPr>
          <w:p w14:paraId="5561D9C9">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SpectraMax i3x</w:t>
            </w:r>
          </w:p>
        </w:tc>
      </w:tr>
      <w:tr w14:paraId="3CA19706">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0B45C435">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Embedding machine</w:t>
            </w:r>
          </w:p>
        </w:tc>
        <w:tc>
          <w:tcPr>
            <w:tcW w:w="0" w:type="auto"/>
            <w:tcBorders>
              <w:top w:val="nil"/>
              <w:left w:val="nil"/>
              <w:bottom w:val="nil"/>
              <w:right w:val="nil"/>
            </w:tcBorders>
          </w:tcPr>
          <w:p w14:paraId="0E84CEEB">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Jun Jie, Wuhan, China</w:t>
            </w:r>
          </w:p>
        </w:tc>
        <w:tc>
          <w:tcPr>
            <w:tcW w:w="0" w:type="auto"/>
            <w:tcBorders>
              <w:top w:val="nil"/>
              <w:left w:val="nil"/>
              <w:bottom w:val="nil"/>
              <w:right w:val="nil"/>
            </w:tcBorders>
          </w:tcPr>
          <w:p w14:paraId="1802C08D">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JB-P5</w:t>
            </w:r>
          </w:p>
        </w:tc>
      </w:tr>
      <w:tr w14:paraId="286CCE46">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1E2B84B1">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Slicer</w:t>
            </w:r>
          </w:p>
        </w:tc>
        <w:tc>
          <w:tcPr>
            <w:tcW w:w="0" w:type="auto"/>
            <w:tcBorders>
              <w:top w:val="nil"/>
              <w:left w:val="nil"/>
              <w:bottom w:val="nil"/>
              <w:right w:val="nil"/>
            </w:tcBorders>
          </w:tcPr>
          <w:p w14:paraId="068E4708">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Leica, Shanghai, China</w:t>
            </w:r>
          </w:p>
        </w:tc>
        <w:tc>
          <w:tcPr>
            <w:tcW w:w="0" w:type="auto"/>
            <w:tcBorders>
              <w:top w:val="nil"/>
              <w:left w:val="nil"/>
              <w:bottom w:val="nil"/>
              <w:right w:val="nil"/>
            </w:tcBorders>
          </w:tcPr>
          <w:p w14:paraId="1B47B162">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HistoCore MULTICUT R</w:t>
            </w:r>
          </w:p>
        </w:tc>
      </w:tr>
      <w:tr w14:paraId="379B24BB">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71322CD1">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Inverted microscope</w:t>
            </w:r>
          </w:p>
        </w:tc>
        <w:tc>
          <w:tcPr>
            <w:tcW w:w="0" w:type="auto"/>
            <w:tcBorders>
              <w:top w:val="nil"/>
              <w:left w:val="nil"/>
              <w:bottom w:val="nil"/>
              <w:right w:val="nil"/>
            </w:tcBorders>
          </w:tcPr>
          <w:p w14:paraId="2CEE4284">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Leica, Shanghai, China</w:t>
            </w:r>
          </w:p>
        </w:tc>
        <w:tc>
          <w:tcPr>
            <w:tcW w:w="0" w:type="auto"/>
            <w:tcBorders>
              <w:top w:val="nil"/>
              <w:left w:val="nil"/>
              <w:bottom w:val="nil"/>
              <w:right w:val="nil"/>
            </w:tcBorders>
          </w:tcPr>
          <w:p w14:paraId="4B7A8DB5">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DM ILM</w:t>
            </w:r>
          </w:p>
        </w:tc>
      </w:tr>
      <w:tr w14:paraId="0C282188">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55DCFAD1">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Fluorescence microscope</w:t>
            </w:r>
          </w:p>
        </w:tc>
        <w:tc>
          <w:tcPr>
            <w:tcW w:w="0" w:type="auto"/>
            <w:tcBorders>
              <w:top w:val="nil"/>
              <w:left w:val="nil"/>
              <w:bottom w:val="nil"/>
              <w:right w:val="nil"/>
            </w:tcBorders>
          </w:tcPr>
          <w:p w14:paraId="198EF873">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Zeiss, Jena, Germany</w:t>
            </w:r>
          </w:p>
        </w:tc>
        <w:tc>
          <w:tcPr>
            <w:tcW w:w="0" w:type="auto"/>
            <w:tcBorders>
              <w:top w:val="nil"/>
              <w:left w:val="nil"/>
              <w:bottom w:val="nil"/>
              <w:right w:val="nil"/>
            </w:tcBorders>
          </w:tcPr>
          <w:p w14:paraId="1CDE030F">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LSM T-PMT confocal microscope</w:t>
            </w:r>
          </w:p>
        </w:tc>
      </w:tr>
      <w:tr w14:paraId="3D0BC56C">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7A9B1207">
            <w:pPr>
              <w:widowControl/>
              <w:textAlignment w:val="top"/>
              <w:rPr>
                <w:rFonts w:ascii="Arial" w:hAnsi="Arial" w:eastAsia="宋体" w:cs="Arial"/>
                <w:color w:val="000000"/>
                <w:kern w:val="0"/>
                <w:sz w:val="20"/>
                <w:szCs w:val="20"/>
                <w:lang w:bidi="ar"/>
              </w:rPr>
            </w:pPr>
            <w:r>
              <w:rPr>
                <w:rFonts w:ascii="Arial" w:hAnsi="Arial" w:eastAsia="宋体" w:cs="Arial"/>
                <w:color w:val="000000"/>
                <w:kern w:val="0"/>
                <w:sz w:val="20"/>
                <w:szCs w:val="20"/>
                <w:lang w:bidi="ar"/>
              </w:rPr>
              <w:t>Transmission electron microscope</w:t>
            </w:r>
          </w:p>
        </w:tc>
        <w:tc>
          <w:tcPr>
            <w:tcW w:w="0" w:type="auto"/>
            <w:tcBorders>
              <w:top w:val="nil"/>
              <w:left w:val="nil"/>
              <w:bottom w:val="nil"/>
              <w:right w:val="nil"/>
            </w:tcBorders>
          </w:tcPr>
          <w:p w14:paraId="2A0F9C84">
            <w:pPr>
              <w:widowControl/>
              <w:textAlignment w:val="top"/>
              <w:rPr>
                <w:rFonts w:ascii="Arial" w:hAnsi="Arial" w:eastAsia="宋体" w:cs="Arial"/>
                <w:color w:val="000000"/>
                <w:kern w:val="0"/>
                <w:sz w:val="20"/>
                <w:szCs w:val="20"/>
                <w:lang w:bidi="ar"/>
              </w:rPr>
            </w:pPr>
            <w:r>
              <w:rPr>
                <w:rFonts w:ascii="Arial" w:hAnsi="Arial" w:eastAsia="宋体" w:cs="Arial"/>
                <w:color w:val="000000"/>
                <w:kern w:val="0"/>
                <w:sz w:val="20"/>
                <w:szCs w:val="20"/>
                <w:lang w:bidi="ar"/>
              </w:rPr>
              <w:t>Hitachi, Tokyo, Japan</w:t>
            </w:r>
          </w:p>
        </w:tc>
        <w:tc>
          <w:tcPr>
            <w:tcW w:w="0" w:type="auto"/>
            <w:tcBorders>
              <w:top w:val="nil"/>
              <w:left w:val="nil"/>
              <w:bottom w:val="nil"/>
              <w:right w:val="nil"/>
            </w:tcBorders>
          </w:tcPr>
          <w:p w14:paraId="33F4451A">
            <w:pPr>
              <w:widowControl/>
              <w:textAlignment w:val="top"/>
              <w:rPr>
                <w:rFonts w:ascii="Arial" w:hAnsi="Arial" w:eastAsia="宋体" w:cs="Arial"/>
                <w:color w:val="000000"/>
                <w:kern w:val="0"/>
                <w:sz w:val="20"/>
                <w:szCs w:val="20"/>
                <w:lang w:bidi="ar"/>
              </w:rPr>
            </w:pPr>
            <w:r>
              <w:rPr>
                <w:rFonts w:ascii="Arial" w:hAnsi="Arial" w:eastAsia="宋体" w:cs="Arial"/>
                <w:color w:val="000000"/>
                <w:kern w:val="0"/>
                <w:sz w:val="20"/>
                <w:szCs w:val="20"/>
                <w:lang w:bidi="ar"/>
              </w:rPr>
              <w:t>HT7800</w:t>
            </w:r>
          </w:p>
        </w:tc>
      </w:tr>
      <w:tr w14:paraId="7C4CBCCA">
        <w:tblPrEx>
          <w:tblCellMar>
            <w:top w:w="0" w:type="dxa"/>
            <w:left w:w="108" w:type="dxa"/>
            <w:bottom w:w="0" w:type="dxa"/>
            <w:right w:w="108" w:type="dxa"/>
          </w:tblCellMar>
        </w:tblPrEx>
        <w:trPr>
          <w:trHeight w:val="280" w:hRule="atLeast"/>
        </w:trPr>
        <w:tc>
          <w:tcPr>
            <w:tcW w:w="0" w:type="auto"/>
            <w:tcBorders>
              <w:top w:val="nil"/>
              <w:left w:val="nil"/>
              <w:bottom w:val="nil"/>
              <w:right w:val="nil"/>
            </w:tcBorders>
          </w:tcPr>
          <w:p w14:paraId="07A184F3">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Sequenator</w:t>
            </w:r>
          </w:p>
        </w:tc>
        <w:tc>
          <w:tcPr>
            <w:tcW w:w="0" w:type="auto"/>
            <w:tcBorders>
              <w:top w:val="nil"/>
              <w:left w:val="nil"/>
              <w:bottom w:val="nil"/>
              <w:right w:val="nil"/>
            </w:tcBorders>
          </w:tcPr>
          <w:p w14:paraId="5A76010B">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Illumina, California, USA</w:t>
            </w:r>
          </w:p>
        </w:tc>
        <w:tc>
          <w:tcPr>
            <w:tcW w:w="0" w:type="auto"/>
            <w:tcBorders>
              <w:top w:val="nil"/>
              <w:left w:val="nil"/>
              <w:bottom w:val="nil"/>
              <w:right w:val="nil"/>
            </w:tcBorders>
          </w:tcPr>
          <w:p w14:paraId="7C12E79F">
            <w:pPr>
              <w:widowControl/>
              <w:textAlignment w:val="top"/>
              <w:rPr>
                <w:rFonts w:ascii="Arial" w:hAnsi="Arial" w:eastAsia="宋体" w:cs="Arial"/>
                <w:color w:val="000000"/>
                <w:sz w:val="20"/>
                <w:szCs w:val="20"/>
              </w:rPr>
            </w:pPr>
            <w:r>
              <w:rPr>
                <w:rFonts w:ascii="Arial" w:hAnsi="Arial" w:eastAsia="宋体" w:cs="Arial"/>
                <w:color w:val="000000"/>
                <w:kern w:val="0"/>
                <w:sz w:val="20"/>
                <w:szCs w:val="20"/>
                <w:lang w:bidi="ar"/>
              </w:rPr>
              <w:t>Novaseq 6000</w:t>
            </w:r>
          </w:p>
        </w:tc>
      </w:tr>
      <w:tr w14:paraId="32D83BF2">
        <w:tblPrEx>
          <w:tblCellMar>
            <w:top w:w="0" w:type="dxa"/>
            <w:left w:w="108" w:type="dxa"/>
            <w:bottom w:w="0" w:type="dxa"/>
            <w:right w:w="108" w:type="dxa"/>
          </w:tblCellMar>
        </w:tblPrEx>
        <w:trPr>
          <w:trHeight w:val="285" w:hRule="atLeast"/>
        </w:trPr>
        <w:tc>
          <w:tcPr>
            <w:tcW w:w="0" w:type="auto"/>
            <w:tcBorders>
              <w:top w:val="nil"/>
              <w:left w:val="nil"/>
              <w:bottom w:val="nil"/>
              <w:right w:val="nil"/>
            </w:tcBorders>
          </w:tcPr>
          <w:p w14:paraId="26F37F4E">
            <w:pPr>
              <w:widowControl/>
              <w:textAlignment w:val="top"/>
              <w:rPr>
                <w:rFonts w:ascii="Arial" w:hAnsi="Arial" w:eastAsia="宋体" w:cs="Arial"/>
                <w:color w:val="000000"/>
                <w:sz w:val="20"/>
                <w:szCs w:val="20"/>
              </w:rPr>
            </w:pPr>
            <w:r>
              <w:rPr>
                <w:rFonts w:ascii="Arial" w:hAnsi="Arial" w:eastAsia="宋体" w:cs="Arial"/>
                <w:color w:val="000000"/>
                <w:sz w:val="20"/>
                <w:szCs w:val="20"/>
              </w:rPr>
              <w:t>Agilent 2100 Bioanalyzer</w:t>
            </w:r>
          </w:p>
        </w:tc>
        <w:tc>
          <w:tcPr>
            <w:tcW w:w="0" w:type="auto"/>
            <w:tcBorders>
              <w:top w:val="nil"/>
              <w:left w:val="nil"/>
              <w:bottom w:val="nil"/>
              <w:right w:val="nil"/>
            </w:tcBorders>
          </w:tcPr>
          <w:p w14:paraId="666798CB">
            <w:pPr>
              <w:widowControl/>
              <w:textAlignment w:val="top"/>
              <w:rPr>
                <w:rFonts w:ascii="Arial" w:hAnsi="Arial" w:eastAsia="宋体" w:cs="Arial"/>
                <w:color w:val="000000"/>
                <w:sz w:val="20"/>
                <w:szCs w:val="20"/>
              </w:rPr>
            </w:pPr>
            <w:r>
              <w:rPr>
                <w:rFonts w:ascii="Arial" w:hAnsi="Arial" w:eastAsia="宋体" w:cs="Arial"/>
                <w:color w:val="000000"/>
                <w:sz w:val="20"/>
                <w:szCs w:val="20"/>
              </w:rPr>
              <w:t>Agilent Technologies, Santa Clara, CA, USA</w:t>
            </w:r>
          </w:p>
        </w:tc>
        <w:tc>
          <w:tcPr>
            <w:tcW w:w="0" w:type="auto"/>
            <w:tcBorders>
              <w:top w:val="nil"/>
              <w:left w:val="nil"/>
              <w:bottom w:val="nil"/>
              <w:right w:val="nil"/>
            </w:tcBorders>
          </w:tcPr>
          <w:p w14:paraId="2F5D8C33">
            <w:pPr>
              <w:widowControl/>
              <w:textAlignment w:val="top"/>
              <w:rPr>
                <w:rFonts w:ascii="Arial" w:hAnsi="Arial" w:eastAsia="宋体" w:cs="Arial"/>
                <w:color w:val="000000"/>
                <w:sz w:val="20"/>
                <w:szCs w:val="20"/>
              </w:rPr>
            </w:pPr>
            <w:r>
              <w:rPr>
                <w:rFonts w:ascii="Arial" w:hAnsi="Arial" w:eastAsia="宋体" w:cs="Arial"/>
                <w:color w:val="000000"/>
                <w:sz w:val="20"/>
                <w:szCs w:val="20"/>
              </w:rPr>
              <w:t>2100</w:t>
            </w:r>
          </w:p>
        </w:tc>
      </w:tr>
      <w:tr w14:paraId="76FC57A0">
        <w:tblPrEx>
          <w:tblCellMar>
            <w:top w:w="0" w:type="dxa"/>
            <w:left w:w="108" w:type="dxa"/>
            <w:bottom w:w="0" w:type="dxa"/>
            <w:right w:w="108" w:type="dxa"/>
          </w:tblCellMar>
        </w:tblPrEx>
        <w:trPr>
          <w:trHeight w:val="285" w:hRule="atLeast"/>
        </w:trPr>
        <w:tc>
          <w:tcPr>
            <w:tcW w:w="0" w:type="auto"/>
            <w:tcBorders>
              <w:top w:val="nil"/>
              <w:left w:val="nil"/>
              <w:bottom w:val="single" w:color="000000" w:sz="8" w:space="0"/>
              <w:right w:val="nil"/>
            </w:tcBorders>
          </w:tcPr>
          <w:p w14:paraId="2C808E54">
            <w:pPr>
              <w:widowControl/>
              <w:textAlignment w:val="top"/>
              <w:rPr>
                <w:rFonts w:ascii="Arial" w:hAnsi="Arial" w:eastAsia="宋体" w:cs="Arial"/>
                <w:color w:val="000000"/>
                <w:sz w:val="20"/>
                <w:szCs w:val="20"/>
              </w:rPr>
            </w:pPr>
            <w:r>
              <w:rPr>
                <w:rFonts w:ascii="Arial" w:hAnsi="Arial" w:eastAsia="宋体" w:cs="Arial"/>
                <w:color w:val="000000"/>
                <w:sz w:val="20"/>
                <w:szCs w:val="20"/>
              </w:rPr>
              <w:t>Spectrophotometer</w:t>
            </w:r>
          </w:p>
        </w:tc>
        <w:tc>
          <w:tcPr>
            <w:tcW w:w="0" w:type="auto"/>
            <w:tcBorders>
              <w:top w:val="nil"/>
              <w:left w:val="nil"/>
              <w:bottom w:val="single" w:color="000000" w:sz="8" w:space="0"/>
              <w:right w:val="nil"/>
            </w:tcBorders>
          </w:tcPr>
          <w:p w14:paraId="5AE0F711">
            <w:pPr>
              <w:widowControl/>
              <w:textAlignment w:val="top"/>
              <w:rPr>
                <w:rFonts w:ascii="Arial" w:hAnsi="Arial" w:eastAsia="宋体" w:cs="Arial"/>
                <w:color w:val="000000"/>
                <w:sz w:val="20"/>
                <w:szCs w:val="20"/>
              </w:rPr>
            </w:pPr>
            <w:r>
              <w:rPr>
                <w:rFonts w:ascii="Arial" w:hAnsi="Arial" w:eastAsia="宋体" w:cs="Arial"/>
                <w:color w:val="000000"/>
                <w:sz w:val="20"/>
                <w:szCs w:val="20"/>
              </w:rPr>
              <w:t>Thermo Fisher Scientific, MA, USA</w:t>
            </w:r>
          </w:p>
        </w:tc>
        <w:tc>
          <w:tcPr>
            <w:tcW w:w="0" w:type="auto"/>
            <w:tcBorders>
              <w:top w:val="nil"/>
              <w:left w:val="nil"/>
              <w:bottom w:val="single" w:color="000000" w:sz="8" w:space="0"/>
              <w:right w:val="nil"/>
            </w:tcBorders>
          </w:tcPr>
          <w:p w14:paraId="03733D1E">
            <w:pPr>
              <w:widowControl/>
              <w:textAlignment w:val="top"/>
              <w:rPr>
                <w:rFonts w:ascii="Arial" w:hAnsi="Arial" w:eastAsia="宋体" w:cs="Arial"/>
                <w:color w:val="000000"/>
                <w:sz w:val="20"/>
                <w:szCs w:val="20"/>
              </w:rPr>
            </w:pPr>
            <w:r>
              <w:rPr>
                <w:rFonts w:ascii="Arial" w:hAnsi="Arial" w:eastAsia="宋体" w:cs="Arial"/>
                <w:color w:val="000000"/>
                <w:sz w:val="20"/>
                <w:szCs w:val="20"/>
              </w:rPr>
              <w:t>NanoDrop2000</w:t>
            </w:r>
          </w:p>
        </w:tc>
      </w:tr>
    </w:tbl>
    <w:p w14:paraId="49BA8A03">
      <w:pPr>
        <w:rPr>
          <w:rFonts w:ascii="Arial" w:hAnsi="Arial" w:cs="Arial"/>
          <w:b/>
          <w:bCs/>
          <w:color w:val="222222"/>
          <w:sz w:val="20"/>
          <w:szCs w:val="20"/>
        </w:rPr>
      </w:pPr>
      <w:r>
        <w:rPr>
          <w:rFonts w:ascii="Arial" w:hAnsi="Arial" w:cs="Arial"/>
          <w:b/>
          <w:bCs/>
          <w:color w:val="222222"/>
          <w:sz w:val="20"/>
          <w:szCs w:val="20"/>
        </w:rPr>
        <w:br w:type="page"/>
      </w:r>
    </w:p>
    <w:p w14:paraId="144D7CB8">
      <w:pPr>
        <w:rPr>
          <w:rFonts w:ascii="Arial" w:hAnsi="Arial" w:cs="Arial"/>
        </w:rPr>
      </w:pPr>
      <w:r>
        <w:rPr>
          <w:rFonts w:ascii="Arial" w:hAnsi="Arial" w:cs="Arial"/>
          <w:b/>
          <w:bCs/>
        </w:rPr>
        <w:t>Table S3</w:t>
      </w:r>
      <w:r>
        <w:rPr>
          <w:rFonts w:ascii="Arial" w:hAnsi="Arial" w:cs="Arial"/>
        </w:rPr>
        <w:t xml:space="preserve"> List of primer pairs employed in quantitative real-time PCR assays for the target genes. GAPDH was used for normalization.</w:t>
      </w:r>
    </w:p>
    <w:p w14:paraId="7BB65A55">
      <w:pPr>
        <w:rPr>
          <w:rFonts w:ascii="Arial" w:hAnsi="Arial" w:cs="Arial"/>
        </w:rPr>
      </w:pPr>
    </w:p>
    <w:tbl>
      <w:tblPr>
        <w:tblStyle w:val="7"/>
        <w:tblW w:w="7790" w:type="dxa"/>
        <w:tblInd w:w="98" w:type="dxa"/>
        <w:tblLayout w:type="autofit"/>
        <w:tblCellMar>
          <w:top w:w="0" w:type="dxa"/>
          <w:left w:w="108" w:type="dxa"/>
          <w:bottom w:w="0" w:type="dxa"/>
          <w:right w:w="108" w:type="dxa"/>
        </w:tblCellMar>
      </w:tblPr>
      <w:tblGrid>
        <w:gridCol w:w="972"/>
        <w:gridCol w:w="3483"/>
        <w:gridCol w:w="3601"/>
      </w:tblGrid>
      <w:tr w14:paraId="520CF004">
        <w:tblPrEx>
          <w:tblCellMar>
            <w:top w:w="0" w:type="dxa"/>
            <w:left w:w="108" w:type="dxa"/>
            <w:bottom w:w="0" w:type="dxa"/>
            <w:right w:w="108" w:type="dxa"/>
          </w:tblCellMar>
        </w:tblPrEx>
        <w:trPr>
          <w:trHeight w:val="290" w:hRule="atLeast"/>
        </w:trPr>
        <w:tc>
          <w:tcPr>
            <w:tcW w:w="2305" w:type="dxa"/>
            <w:tcBorders>
              <w:top w:val="single" w:color="000000" w:sz="12" w:space="0"/>
              <w:left w:val="nil"/>
              <w:bottom w:val="single" w:color="000000" w:sz="12" w:space="0"/>
              <w:right w:val="nil"/>
            </w:tcBorders>
            <w:vAlign w:val="center"/>
          </w:tcPr>
          <w:p w14:paraId="1DB477A0">
            <w:pPr>
              <w:rPr>
                <w:rFonts w:ascii="Arial" w:hAnsi="Arial" w:cs="Arial"/>
                <w:sz w:val="20"/>
                <w:szCs w:val="20"/>
              </w:rPr>
            </w:pPr>
            <w:r>
              <w:rPr>
                <w:rFonts w:ascii="Arial" w:hAnsi="Arial" w:cs="Arial"/>
                <w:sz w:val="20"/>
                <w:szCs w:val="20"/>
              </w:rPr>
              <w:t>Gene</w:t>
            </w:r>
          </w:p>
        </w:tc>
        <w:tc>
          <w:tcPr>
            <w:tcW w:w="2600" w:type="dxa"/>
            <w:tcBorders>
              <w:top w:val="single" w:color="000000" w:sz="12" w:space="0"/>
              <w:left w:val="nil"/>
              <w:bottom w:val="single" w:color="000000" w:sz="12" w:space="0"/>
              <w:right w:val="nil"/>
            </w:tcBorders>
            <w:vAlign w:val="center"/>
          </w:tcPr>
          <w:p w14:paraId="2F5DFBA2">
            <w:pPr>
              <w:rPr>
                <w:rFonts w:ascii="Arial" w:hAnsi="Arial" w:cs="Arial"/>
                <w:sz w:val="20"/>
                <w:szCs w:val="20"/>
              </w:rPr>
            </w:pPr>
            <w:r>
              <w:rPr>
                <w:rFonts w:ascii="Arial" w:hAnsi="Arial" w:cs="Arial"/>
                <w:sz w:val="20"/>
                <w:szCs w:val="20"/>
              </w:rPr>
              <w:t>Forward sequence (5’-3’)</w:t>
            </w:r>
          </w:p>
        </w:tc>
        <w:tc>
          <w:tcPr>
            <w:tcW w:w="2890" w:type="dxa"/>
            <w:tcBorders>
              <w:top w:val="single" w:color="000000" w:sz="12" w:space="0"/>
              <w:left w:val="nil"/>
              <w:bottom w:val="single" w:color="000000" w:sz="12" w:space="0"/>
              <w:right w:val="nil"/>
            </w:tcBorders>
            <w:vAlign w:val="center"/>
          </w:tcPr>
          <w:p w14:paraId="438B4CC5">
            <w:pPr>
              <w:rPr>
                <w:rFonts w:ascii="Arial" w:hAnsi="Arial" w:cs="Arial"/>
                <w:sz w:val="20"/>
                <w:szCs w:val="20"/>
              </w:rPr>
            </w:pPr>
            <w:r>
              <w:rPr>
                <w:rFonts w:ascii="Arial" w:hAnsi="Arial" w:cs="Arial"/>
                <w:sz w:val="20"/>
                <w:szCs w:val="20"/>
              </w:rPr>
              <w:t>Reserve sequence (3’-5’)</w:t>
            </w:r>
          </w:p>
        </w:tc>
      </w:tr>
      <w:tr w14:paraId="47948684">
        <w:tblPrEx>
          <w:tblCellMar>
            <w:top w:w="0" w:type="dxa"/>
            <w:left w:w="108" w:type="dxa"/>
            <w:bottom w:w="0" w:type="dxa"/>
            <w:right w:w="108" w:type="dxa"/>
          </w:tblCellMar>
        </w:tblPrEx>
        <w:trPr>
          <w:trHeight w:val="295" w:hRule="atLeast"/>
        </w:trPr>
        <w:tc>
          <w:tcPr>
            <w:tcW w:w="0" w:type="auto"/>
            <w:tcBorders>
              <w:top w:val="nil"/>
              <w:left w:val="nil"/>
              <w:bottom w:val="nil"/>
              <w:right w:val="nil"/>
            </w:tcBorders>
            <w:noWrap/>
            <w:vAlign w:val="center"/>
          </w:tcPr>
          <w:p w14:paraId="5560AA1C">
            <w:pPr>
              <w:rPr>
                <w:rFonts w:ascii="Arial" w:hAnsi="Arial" w:cs="Arial"/>
                <w:sz w:val="20"/>
                <w:szCs w:val="20"/>
              </w:rPr>
            </w:pPr>
            <w:r>
              <w:rPr>
                <w:rFonts w:ascii="Arial" w:hAnsi="Arial" w:cs="Arial"/>
                <w:b/>
                <w:bCs/>
                <w:sz w:val="20"/>
                <w:szCs w:val="20"/>
              </w:rPr>
              <w:t>Human</w:t>
            </w:r>
          </w:p>
        </w:tc>
        <w:tc>
          <w:tcPr>
            <w:tcW w:w="0" w:type="auto"/>
            <w:tcBorders>
              <w:top w:val="nil"/>
              <w:left w:val="nil"/>
              <w:bottom w:val="nil"/>
              <w:right w:val="nil"/>
            </w:tcBorders>
            <w:noWrap/>
            <w:vAlign w:val="center"/>
          </w:tcPr>
          <w:p w14:paraId="786ADA25">
            <w:pPr>
              <w:rPr>
                <w:rFonts w:ascii="Arial" w:hAnsi="Arial" w:cs="Arial"/>
                <w:sz w:val="20"/>
                <w:szCs w:val="20"/>
              </w:rPr>
            </w:pPr>
          </w:p>
        </w:tc>
        <w:tc>
          <w:tcPr>
            <w:tcW w:w="0" w:type="auto"/>
            <w:tcBorders>
              <w:top w:val="nil"/>
              <w:left w:val="nil"/>
              <w:bottom w:val="nil"/>
              <w:right w:val="nil"/>
            </w:tcBorders>
            <w:noWrap/>
            <w:vAlign w:val="center"/>
          </w:tcPr>
          <w:p w14:paraId="363FC5D0">
            <w:pPr>
              <w:rPr>
                <w:rFonts w:ascii="Arial" w:hAnsi="Arial" w:cs="Arial"/>
                <w:sz w:val="20"/>
                <w:szCs w:val="20"/>
              </w:rPr>
            </w:pPr>
          </w:p>
        </w:tc>
      </w:tr>
      <w:tr w14:paraId="04542F91">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27F95A82">
            <w:pPr>
              <w:rPr>
                <w:rFonts w:ascii="Arial" w:hAnsi="Arial" w:cs="Arial"/>
                <w:sz w:val="20"/>
                <w:szCs w:val="20"/>
              </w:rPr>
            </w:pPr>
            <w:r>
              <w:rPr>
                <w:rFonts w:ascii="Arial" w:hAnsi="Arial" w:cs="Arial"/>
                <w:sz w:val="20"/>
                <w:szCs w:val="20"/>
              </w:rPr>
              <w:t>TNF-α</w:t>
            </w:r>
          </w:p>
        </w:tc>
        <w:tc>
          <w:tcPr>
            <w:tcW w:w="0" w:type="auto"/>
            <w:tcBorders>
              <w:top w:val="nil"/>
              <w:left w:val="nil"/>
              <w:bottom w:val="nil"/>
              <w:right w:val="nil"/>
            </w:tcBorders>
            <w:noWrap/>
            <w:vAlign w:val="center"/>
          </w:tcPr>
          <w:p w14:paraId="2411FDED">
            <w:pPr>
              <w:rPr>
                <w:rFonts w:ascii="Arial" w:hAnsi="Arial" w:cs="Arial"/>
                <w:sz w:val="20"/>
                <w:szCs w:val="20"/>
              </w:rPr>
            </w:pPr>
            <w:r>
              <w:rPr>
                <w:rFonts w:ascii="Arial" w:hAnsi="Arial" w:cs="Arial"/>
                <w:sz w:val="20"/>
                <w:szCs w:val="20"/>
              </w:rPr>
              <w:t>GCTGCACTTTGGAGTGATCG</w:t>
            </w:r>
          </w:p>
        </w:tc>
        <w:tc>
          <w:tcPr>
            <w:tcW w:w="0" w:type="auto"/>
            <w:tcBorders>
              <w:top w:val="nil"/>
              <w:left w:val="nil"/>
              <w:bottom w:val="nil"/>
              <w:right w:val="nil"/>
            </w:tcBorders>
            <w:noWrap/>
            <w:vAlign w:val="center"/>
          </w:tcPr>
          <w:p w14:paraId="614738A0">
            <w:pPr>
              <w:rPr>
                <w:rFonts w:ascii="Arial" w:hAnsi="Arial" w:cs="Arial"/>
                <w:sz w:val="20"/>
                <w:szCs w:val="20"/>
              </w:rPr>
            </w:pPr>
            <w:r>
              <w:rPr>
                <w:rFonts w:ascii="Arial" w:hAnsi="Arial" w:cs="Arial"/>
                <w:sz w:val="20"/>
                <w:szCs w:val="20"/>
              </w:rPr>
              <w:t>ATGAGGTACAGGCCCTCTGA</w:t>
            </w:r>
          </w:p>
        </w:tc>
      </w:tr>
      <w:tr w14:paraId="6744F60F">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2CB16E32">
            <w:pPr>
              <w:rPr>
                <w:rFonts w:ascii="Arial" w:hAnsi="Arial" w:cs="Arial"/>
                <w:sz w:val="20"/>
                <w:szCs w:val="20"/>
              </w:rPr>
            </w:pPr>
            <w:r>
              <w:rPr>
                <w:rFonts w:ascii="Arial" w:hAnsi="Arial" w:cs="Arial"/>
                <w:sz w:val="20"/>
                <w:szCs w:val="20"/>
              </w:rPr>
              <w:t>IL-6</w:t>
            </w:r>
          </w:p>
        </w:tc>
        <w:tc>
          <w:tcPr>
            <w:tcW w:w="0" w:type="auto"/>
            <w:tcBorders>
              <w:top w:val="nil"/>
              <w:left w:val="nil"/>
              <w:bottom w:val="nil"/>
              <w:right w:val="nil"/>
            </w:tcBorders>
            <w:noWrap/>
            <w:vAlign w:val="center"/>
          </w:tcPr>
          <w:p w14:paraId="2DDD4790">
            <w:pPr>
              <w:rPr>
                <w:rFonts w:ascii="Arial" w:hAnsi="Arial" w:cs="Arial"/>
                <w:sz w:val="20"/>
                <w:szCs w:val="20"/>
              </w:rPr>
            </w:pPr>
            <w:r>
              <w:rPr>
                <w:rFonts w:ascii="Arial" w:hAnsi="Arial" w:cs="Arial"/>
                <w:sz w:val="20"/>
                <w:szCs w:val="20"/>
              </w:rPr>
              <w:t>ATGAGGAGACTTGCCTGGTGAA</w:t>
            </w:r>
          </w:p>
        </w:tc>
        <w:tc>
          <w:tcPr>
            <w:tcW w:w="0" w:type="auto"/>
            <w:tcBorders>
              <w:top w:val="nil"/>
              <w:left w:val="nil"/>
              <w:bottom w:val="nil"/>
              <w:right w:val="nil"/>
            </w:tcBorders>
            <w:noWrap/>
            <w:vAlign w:val="center"/>
          </w:tcPr>
          <w:p w14:paraId="1D0F1929">
            <w:pPr>
              <w:rPr>
                <w:rFonts w:ascii="Arial" w:hAnsi="Arial" w:cs="Arial"/>
                <w:sz w:val="20"/>
                <w:szCs w:val="20"/>
              </w:rPr>
            </w:pPr>
            <w:r>
              <w:rPr>
                <w:rFonts w:ascii="Arial" w:hAnsi="Arial" w:cs="Arial"/>
                <w:sz w:val="20"/>
                <w:szCs w:val="20"/>
              </w:rPr>
              <w:t>CTCTGGCTTGTTCCTCACTACTCTC</w:t>
            </w:r>
          </w:p>
        </w:tc>
      </w:tr>
      <w:tr w14:paraId="6F5CE90F">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5BA0982E">
            <w:pPr>
              <w:rPr>
                <w:rFonts w:ascii="Arial" w:hAnsi="Arial" w:cs="Arial"/>
                <w:sz w:val="20"/>
                <w:szCs w:val="20"/>
              </w:rPr>
            </w:pPr>
            <w:r>
              <w:rPr>
                <w:rFonts w:ascii="Arial" w:hAnsi="Arial" w:cs="Arial"/>
                <w:sz w:val="20"/>
                <w:szCs w:val="20"/>
              </w:rPr>
              <w:t>CXCL10</w:t>
            </w:r>
          </w:p>
        </w:tc>
        <w:tc>
          <w:tcPr>
            <w:tcW w:w="0" w:type="auto"/>
            <w:tcBorders>
              <w:top w:val="nil"/>
              <w:left w:val="nil"/>
              <w:bottom w:val="nil"/>
              <w:right w:val="nil"/>
            </w:tcBorders>
            <w:noWrap/>
            <w:vAlign w:val="center"/>
          </w:tcPr>
          <w:p w14:paraId="3AFB0AC8">
            <w:pPr>
              <w:rPr>
                <w:rFonts w:ascii="Arial" w:hAnsi="Arial" w:cs="Arial"/>
                <w:sz w:val="20"/>
                <w:szCs w:val="20"/>
              </w:rPr>
            </w:pPr>
            <w:r>
              <w:rPr>
                <w:rFonts w:ascii="Arial" w:hAnsi="Arial" w:cs="Arial"/>
                <w:sz w:val="20"/>
                <w:szCs w:val="20"/>
              </w:rPr>
              <w:t>GCCATTCTGATTTGCTGCCTT</w:t>
            </w:r>
          </w:p>
        </w:tc>
        <w:tc>
          <w:tcPr>
            <w:tcW w:w="0" w:type="auto"/>
            <w:tcBorders>
              <w:top w:val="nil"/>
              <w:left w:val="nil"/>
              <w:bottom w:val="nil"/>
              <w:right w:val="nil"/>
            </w:tcBorders>
            <w:noWrap/>
            <w:vAlign w:val="center"/>
          </w:tcPr>
          <w:p w14:paraId="4BD96DFA">
            <w:pPr>
              <w:rPr>
                <w:rFonts w:ascii="Arial" w:hAnsi="Arial" w:cs="Arial"/>
                <w:sz w:val="20"/>
                <w:szCs w:val="20"/>
              </w:rPr>
            </w:pPr>
            <w:r>
              <w:rPr>
                <w:rFonts w:ascii="Arial" w:hAnsi="Arial" w:cs="Arial"/>
                <w:sz w:val="20"/>
                <w:szCs w:val="20"/>
              </w:rPr>
              <w:t>CGTGGACAAAATTGGCTTGC</w:t>
            </w:r>
          </w:p>
        </w:tc>
      </w:tr>
      <w:tr w14:paraId="7658297F">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5A65CB1A">
            <w:pPr>
              <w:rPr>
                <w:rFonts w:ascii="Arial" w:hAnsi="Arial" w:cs="Arial"/>
                <w:sz w:val="20"/>
                <w:szCs w:val="20"/>
              </w:rPr>
            </w:pPr>
            <w:r>
              <w:rPr>
                <w:rFonts w:ascii="Arial" w:hAnsi="Arial" w:cs="Arial"/>
                <w:sz w:val="20"/>
                <w:szCs w:val="20"/>
              </w:rPr>
              <w:t>GAPDH</w:t>
            </w:r>
          </w:p>
        </w:tc>
        <w:tc>
          <w:tcPr>
            <w:tcW w:w="0" w:type="auto"/>
            <w:tcBorders>
              <w:top w:val="nil"/>
              <w:left w:val="nil"/>
              <w:bottom w:val="nil"/>
              <w:right w:val="nil"/>
            </w:tcBorders>
            <w:noWrap/>
            <w:vAlign w:val="center"/>
          </w:tcPr>
          <w:p w14:paraId="0E2D7898">
            <w:pPr>
              <w:rPr>
                <w:rFonts w:ascii="Arial" w:hAnsi="Arial" w:cs="Arial"/>
                <w:sz w:val="20"/>
                <w:szCs w:val="20"/>
              </w:rPr>
            </w:pPr>
            <w:r>
              <w:rPr>
                <w:rFonts w:ascii="Arial" w:hAnsi="Arial" w:cs="Arial"/>
                <w:sz w:val="20"/>
                <w:szCs w:val="20"/>
              </w:rPr>
              <w:t>GGAAGCTTGTCATCAATGGAAATC</w:t>
            </w:r>
          </w:p>
        </w:tc>
        <w:tc>
          <w:tcPr>
            <w:tcW w:w="0" w:type="auto"/>
            <w:tcBorders>
              <w:top w:val="nil"/>
              <w:left w:val="nil"/>
              <w:bottom w:val="nil"/>
              <w:right w:val="nil"/>
            </w:tcBorders>
            <w:noWrap/>
            <w:vAlign w:val="center"/>
          </w:tcPr>
          <w:p w14:paraId="01781206">
            <w:pPr>
              <w:rPr>
                <w:rFonts w:ascii="Arial" w:hAnsi="Arial" w:cs="Arial"/>
                <w:sz w:val="20"/>
                <w:szCs w:val="20"/>
              </w:rPr>
            </w:pPr>
            <w:r>
              <w:rPr>
                <w:rFonts w:ascii="Arial" w:hAnsi="Arial" w:cs="Arial"/>
                <w:sz w:val="20"/>
                <w:szCs w:val="20"/>
              </w:rPr>
              <w:t>TGATGACCCTTTTGGCTCCC</w:t>
            </w:r>
          </w:p>
        </w:tc>
      </w:tr>
      <w:tr w14:paraId="18FF54CD">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2F3CEB9E">
            <w:pPr>
              <w:rPr>
                <w:rFonts w:ascii="Arial" w:hAnsi="Arial" w:cs="Arial"/>
                <w:sz w:val="20"/>
                <w:szCs w:val="20"/>
              </w:rPr>
            </w:pPr>
            <w:r>
              <w:rPr>
                <w:rFonts w:ascii="Arial" w:hAnsi="Arial" w:cs="Arial"/>
                <w:sz w:val="20"/>
                <w:szCs w:val="20"/>
              </w:rPr>
              <w:t>IL-8</w:t>
            </w:r>
          </w:p>
        </w:tc>
        <w:tc>
          <w:tcPr>
            <w:tcW w:w="0" w:type="auto"/>
            <w:tcBorders>
              <w:top w:val="nil"/>
              <w:left w:val="nil"/>
              <w:bottom w:val="nil"/>
              <w:right w:val="nil"/>
            </w:tcBorders>
            <w:noWrap/>
            <w:vAlign w:val="center"/>
          </w:tcPr>
          <w:p w14:paraId="4F27E2CA">
            <w:pPr>
              <w:rPr>
                <w:rFonts w:ascii="Arial" w:hAnsi="Arial" w:cs="Arial"/>
                <w:sz w:val="20"/>
                <w:szCs w:val="20"/>
              </w:rPr>
            </w:pPr>
            <w:r>
              <w:rPr>
                <w:rFonts w:ascii="Arial" w:hAnsi="Arial" w:cs="Arial"/>
                <w:sz w:val="20"/>
                <w:szCs w:val="20"/>
              </w:rPr>
              <w:t>CAGTTTTGCCAAGGAGTGCTAA</w:t>
            </w:r>
          </w:p>
        </w:tc>
        <w:tc>
          <w:tcPr>
            <w:tcW w:w="0" w:type="auto"/>
            <w:tcBorders>
              <w:top w:val="nil"/>
              <w:left w:val="nil"/>
              <w:bottom w:val="nil"/>
              <w:right w:val="nil"/>
            </w:tcBorders>
            <w:noWrap/>
            <w:vAlign w:val="center"/>
          </w:tcPr>
          <w:p w14:paraId="483449C8">
            <w:pPr>
              <w:rPr>
                <w:rFonts w:ascii="Arial" w:hAnsi="Arial" w:cs="Arial"/>
                <w:sz w:val="20"/>
                <w:szCs w:val="20"/>
              </w:rPr>
            </w:pPr>
            <w:r>
              <w:rPr>
                <w:rFonts w:ascii="Arial" w:hAnsi="Arial" w:cs="Arial"/>
                <w:sz w:val="20"/>
                <w:szCs w:val="20"/>
              </w:rPr>
              <w:t>AAACTTCTCCACAACCCTCTGC</w:t>
            </w:r>
          </w:p>
        </w:tc>
      </w:tr>
      <w:tr w14:paraId="6DC08D18">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1664F978">
            <w:pPr>
              <w:rPr>
                <w:rFonts w:ascii="Arial" w:hAnsi="Arial" w:cs="Arial"/>
                <w:sz w:val="20"/>
                <w:szCs w:val="20"/>
              </w:rPr>
            </w:pPr>
            <w:r>
              <w:rPr>
                <w:rFonts w:ascii="Arial" w:hAnsi="Arial" w:cs="Arial"/>
                <w:sz w:val="20"/>
                <w:szCs w:val="20"/>
              </w:rPr>
              <w:t>CX3CL1</w:t>
            </w:r>
          </w:p>
        </w:tc>
        <w:tc>
          <w:tcPr>
            <w:tcW w:w="0" w:type="auto"/>
            <w:tcBorders>
              <w:top w:val="nil"/>
              <w:left w:val="nil"/>
              <w:bottom w:val="nil"/>
              <w:right w:val="nil"/>
            </w:tcBorders>
            <w:noWrap/>
            <w:vAlign w:val="center"/>
          </w:tcPr>
          <w:p w14:paraId="3AC31E87">
            <w:pPr>
              <w:rPr>
                <w:rFonts w:ascii="Arial" w:hAnsi="Arial" w:cs="Arial"/>
                <w:sz w:val="20"/>
                <w:szCs w:val="20"/>
              </w:rPr>
            </w:pPr>
            <w:r>
              <w:rPr>
                <w:rFonts w:ascii="Arial" w:hAnsi="Arial" w:cs="Arial"/>
                <w:sz w:val="20"/>
                <w:szCs w:val="20"/>
              </w:rPr>
              <w:t>GGGAATGGACGAGTCTGTGG</w:t>
            </w:r>
          </w:p>
        </w:tc>
        <w:tc>
          <w:tcPr>
            <w:tcW w:w="0" w:type="auto"/>
            <w:tcBorders>
              <w:top w:val="nil"/>
              <w:left w:val="nil"/>
              <w:bottom w:val="nil"/>
              <w:right w:val="nil"/>
            </w:tcBorders>
            <w:noWrap/>
            <w:vAlign w:val="center"/>
          </w:tcPr>
          <w:p w14:paraId="6A76E1C7">
            <w:pPr>
              <w:rPr>
                <w:rFonts w:ascii="Arial" w:hAnsi="Arial" w:cs="Arial"/>
                <w:sz w:val="20"/>
                <w:szCs w:val="20"/>
              </w:rPr>
            </w:pPr>
            <w:r>
              <w:rPr>
                <w:rFonts w:ascii="Arial" w:hAnsi="Arial" w:cs="Arial"/>
                <w:sz w:val="20"/>
                <w:szCs w:val="20"/>
              </w:rPr>
              <w:t>ACGGGAGGCACTCGGAAAA</w:t>
            </w:r>
          </w:p>
        </w:tc>
      </w:tr>
      <w:tr w14:paraId="54177681">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0EF1D0F3">
            <w:pPr>
              <w:rPr>
                <w:rFonts w:ascii="Arial" w:hAnsi="Arial" w:cs="Arial"/>
                <w:sz w:val="20"/>
                <w:szCs w:val="20"/>
              </w:rPr>
            </w:pPr>
            <w:r>
              <w:rPr>
                <w:rFonts w:ascii="Arial" w:hAnsi="Arial" w:cs="Arial"/>
                <w:sz w:val="20"/>
                <w:szCs w:val="20"/>
              </w:rPr>
              <w:t>CXCL2</w:t>
            </w:r>
          </w:p>
        </w:tc>
        <w:tc>
          <w:tcPr>
            <w:tcW w:w="0" w:type="auto"/>
            <w:tcBorders>
              <w:top w:val="nil"/>
              <w:left w:val="nil"/>
              <w:bottom w:val="nil"/>
              <w:right w:val="nil"/>
            </w:tcBorders>
            <w:noWrap/>
            <w:vAlign w:val="center"/>
          </w:tcPr>
          <w:p w14:paraId="6DE9BE3C">
            <w:pPr>
              <w:rPr>
                <w:rFonts w:ascii="Arial" w:hAnsi="Arial" w:cs="Arial"/>
                <w:sz w:val="20"/>
                <w:szCs w:val="20"/>
              </w:rPr>
            </w:pPr>
            <w:r>
              <w:rPr>
                <w:rFonts w:ascii="Arial" w:hAnsi="Arial" w:cs="Arial"/>
                <w:sz w:val="20"/>
                <w:szCs w:val="20"/>
              </w:rPr>
              <w:t>CAAACCGAAGTCATAGCCACA</w:t>
            </w:r>
          </w:p>
        </w:tc>
        <w:tc>
          <w:tcPr>
            <w:tcW w:w="0" w:type="auto"/>
            <w:tcBorders>
              <w:top w:val="nil"/>
              <w:left w:val="nil"/>
              <w:bottom w:val="nil"/>
              <w:right w:val="nil"/>
            </w:tcBorders>
            <w:noWrap/>
            <w:vAlign w:val="center"/>
          </w:tcPr>
          <w:p w14:paraId="3B33FA56">
            <w:pPr>
              <w:rPr>
                <w:rFonts w:ascii="Arial" w:hAnsi="Arial" w:cs="Arial"/>
                <w:sz w:val="20"/>
                <w:szCs w:val="20"/>
              </w:rPr>
            </w:pPr>
            <w:r>
              <w:rPr>
                <w:rFonts w:ascii="Arial" w:hAnsi="Arial" w:cs="Arial"/>
                <w:sz w:val="20"/>
                <w:szCs w:val="20"/>
              </w:rPr>
              <w:t>TCCTTCAGGAACAGCCACCA</w:t>
            </w:r>
          </w:p>
        </w:tc>
      </w:tr>
      <w:tr w14:paraId="292DA0D0">
        <w:tblPrEx>
          <w:tblCellMar>
            <w:top w:w="0" w:type="dxa"/>
            <w:left w:w="108" w:type="dxa"/>
            <w:bottom w:w="0" w:type="dxa"/>
            <w:right w:w="108" w:type="dxa"/>
          </w:tblCellMar>
        </w:tblPrEx>
        <w:trPr>
          <w:trHeight w:val="280" w:hRule="atLeast"/>
        </w:trPr>
        <w:tc>
          <w:tcPr>
            <w:tcW w:w="2305" w:type="dxa"/>
            <w:tcBorders>
              <w:top w:val="nil"/>
              <w:left w:val="nil"/>
              <w:bottom w:val="nil"/>
              <w:right w:val="nil"/>
            </w:tcBorders>
            <w:vAlign w:val="center"/>
          </w:tcPr>
          <w:p w14:paraId="232A14B9">
            <w:pPr>
              <w:rPr>
                <w:rFonts w:ascii="Arial" w:hAnsi="Arial" w:cs="Arial"/>
                <w:sz w:val="20"/>
                <w:szCs w:val="20"/>
              </w:rPr>
            </w:pPr>
            <w:r>
              <w:rPr>
                <w:rFonts w:ascii="Arial" w:hAnsi="Arial" w:cs="Arial"/>
                <w:b/>
                <w:bCs/>
                <w:sz w:val="20"/>
                <w:szCs w:val="20"/>
              </w:rPr>
              <w:t>Mice</w:t>
            </w:r>
          </w:p>
        </w:tc>
        <w:tc>
          <w:tcPr>
            <w:tcW w:w="2600" w:type="dxa"/>
            <w:tcBorders>
              <w:top w:val="nil"/>
              <w:left w:val="nil"/>
              <w:bottom w:val="nil"/>
              <w:right w:val="nil"/>
            </w:tcBorders>
            <w:vAlign w:val="center"/>
          </w:tcPr>
          <w:p w14:paraId="2069B93A">
            <w:pPr>
              <w:rPr>
                <w:rFonts w:ascii="Arial" w:hAnsi="Arial" w:cs="Arial"/>
                <w:sz w:val="20"/>
                <w:szCs w:val="20"/>
              </w:rPr>
            </w:pPr>
          </w:p>
        </w:tc>
        <w:tc>
          <w:tcPr>
            <w:tcW w:w="2890" w:type="dxa"/>
            <w:tcBorders>
              <w:top w:val="nil"/>
              <w:left w:val="nil"/>
              <w:bottom w:val="nil"/>
              <w:right w:val="nil"/>
            </w:tcBorders>
            <w:vAlign w:val="center"/>
          </w:tcPr>
          <w:p w14:paraId="12F3AC82">
            <w:pPr>
              <w:rPr>
                <w:rFonts w:ascii="Arial" w:hAnsi="Arial" w:cs="Arial"/>
                <w:sz w:val="20"/>
                <w:szCs w:val="20"/>
              </w:rPr>
            </w:pPr>
          </w:p>
        </w:tc>
      </w:tr>
      <w:tr w14:paraId="43DC0AF2">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567F1E22">
            <w:pPr>
              <w:rPr>
                <w:rFonts w:ascii="Arial" w:hAnsi="Arial" w:cs="Arial"/>
                <w:sz w:val="20"/>
                <w:szCs w:val="20"/>
              </w:rPr>
            </w:pPr>
            <w:r>
              <w:rPr>
                <w:rFonts w:ascii="Arial" w:hAnsi="Arial" w:cs="Arial"/>
                <w:sz w:val="20"/>
                <w:szCs w:val="20"/>
              </w:rPr>
              <w:t>IL-6</w:t>
            </w:r>
          </w:p>
        </w:tc>
        <w:tc>
          <w:tcPr>
            <w:tcW w:w="0" w:type="auto"/>
            <w:tcBorders>
              <w:top w:val="nil"/>
              <w:left w:val="nil"/>
              <w:bottom w:val="nil"/>
              <w:right w:val="nil"/>
            </w:tcBorders>
            <w:noWrap/>
            <w:vAlign w:val="center"/>
          </w:tcPr>
          <w:p w14:paraId="65B3DEA2">
            <w:pPr>
              <w:rPr>
                <w:rFonts w:ascii="Arial" w:hAnsi="Arial" w:cs="Arial"/>
                <w:sz w:val="20"/>
                <w:szCs w:val="20"/>
              </w:rPr>
            </w:pPr>
            <w:r>
              <w:rPr>
                <w:rFonts w:ascii="Arial" w:hAnsi="Arial" w:cs="Arial"/>
                <w:sz w:val="20"/>
                <w:szCs w:val="20"/>
              </w:rPr>
              <w:t>TAGTCCTTCCTACCCCAATTTCC</w:t>
            </w:r>
          </w:p>
        </w:tc>
        <w:tc>
          <w:tcPr>
            <w:tcW w:w="0" w:type="auto"/>
            <w:tcBorders>
              <w:top w:val="nil"/>
              <w:left w:val="nil"/>
              <w:bottom w:val="nil"/>
              <w:right w:val="nil"/>
            </w:tcBorders>
            <w:noWrap/>
            <w:vAlign w:val="center"/>
          </w:tcPr>
          <w:p w14:paraId="4070D65A">
            <w:pPr>
              <w:rPr>
                <w:rFonts w:ascii="Arial" w:hAnsi="Arial" w:cs="Arial"/>
                <w:sz w:val="20"/>
                <w:szCs w:val="20"/>
              </w:rPr>
            </w:pPr>
            <w:r>
              <w:rPr>
                <w:rFonts w:ascii="Arial" w:hAnsi="Arial" w:cs="Arial"/>
                <w:sz w:val="20"/>
                <w:szCs w:val="20"/>
              </w:rPr>
              <w:t>TTGGTCCTTAGCCACTCCTTC</w:t>
            </w:r>
          </w:p>
        </w:tc>
      </w:tr>
      <w:tr w14:paraId="707B6242">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6B9CADFE">
            <w:pPr>
              <w:rPr>
                <w:rFonts w:ascii="Arial" w:hAnsi="Arial" w:cs="Arial"/>
                <w:sz w:val="20"/>
                <w:szCs w:val="20"/>
              </w:rPr>
            </w:pPr>
            <w:r>
              <w:rPr>
                <w:rFonts w:ascii="Arial" w:hAnsi="Arial" w:cs="Arial"/>
                <w:sz w:val="20"/>
                <w:szCs w:val="20"/>
              </w:rPr>
              <w:t>TNF-α</w:t>
            </w:r>
          </w:p>
        </w:tc>
        <w:tc>
          <w:tcPr>
            <w:tcW w:w="0" w:type="auto"/>
            <w:tcBorders>
              <w:top w:val="nil"/>
              <w:left w:val="nil"/>
              <w:bottom w:val="nil"/>
              <w:right w:val="nil"/>
            </w:tcBorders>
            <w:noWrap/>
            <w:vAlign w:val="center"/>
          </w:tcPr>
          <w:p w14:paraId="74CBDF6F">
            <w:pPr>
              <w:rPr>
                <w:rFonts w:ascii="Arial" w:hAnsi="Arial" w:cs="Arial"/>
                <w:sz w:val="20"/>
                <w:szCs w:val="20"/>
              </w:rPr>
            </w:pPr>
            <w:r>
              <w:rPr>
                <w:rFonts w:ascii="Arial" w:hAnsi="Arial" w:cs="Arial"/>
                <w:sz w:val="20"/>
                <w:szCs w:val="20"/>
              </w:rPr>
              <w:t>GGTGCCTATGTCTCAGCCTCTT</w:t>
            </w:r>
          </w:p>
        </w:tc>
        <w:tc>
          <w:tcPr>
            <w:tcW w:w="0" w:type="auto"/>
            <w:tcBorders>
              <w:top w:val="nil"/>
              <w:left w:val="nil"/>
              <w:bottom w:val="nil"/>
              <w:right w:val="nil"/>
            </w:tcBorders>
            <w:noWrap/>
            <w:vAlign w:val="center"/>
          </w:tcPr>
          <w:p w14:paraId="4C479065">
            <w:pPr>
              <w:rPr>
                <w:rFonts w:ascii="Arial" w:hAnsi="Arial" w:cs="Arial"/>
                <w:sz w:val="20"/>
                <w:szCs w:val="20"/>
              </w:rPr>
            </w:pPr>
            <w:r>
              <w:rPr>
                <w:rFonts w:ascii="Arial" w:hAnsi="Arial" w:cs="Arial"/>
                <w:sz w:val="20"/>
                <w:szCs w:val="20"/>
              </w:rPr>
              <w:t>GCCATAGAACTGATGAGAGGGAG</w:t>
            </w:r>
          </w:p>
        </w:tc>
      </w:tr>
      <w:tr w14:paraId="27FC7ABD">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48756993">
            <w:pPr>
              <w:rPr>
                <w:rFonts w:ascii="Arial" w:hAnsi="Arial" w:cs="Arial"/>
                <w:sz w:val="20"/>
                <w:szCs w:val="20"/>
              </w:rPr>
            </w:pPr>
            <w:r>
              <w:rPr>
                <w:rFonts w:ascii="Arial" w:hAnsi="Arial" w:cs="Arial"/>
                <w:sz w:val="20"/>
                <w:szCs w:val="20"/>
              </w:rPr>
              <w:t>cxcl10</w:t>
            </w:r>
          </w:p>
        </w:tc>
        <w:tc>
          <w:tcPr>
            <w:tcW w:w="0" w:type="auto"/>
            <w:tcBorders>
              <w:top w:val="nil"/>
              <w:left w:val="nil"/>
              <w:bottom w:val="nil"/>
              <w:right w:val="nil"/>
            </w:tcBorders>
            <w:noWrap/>
            <w:vAlign w:val="center"/>
          </w:tcPr>
          <w:p w14:paraId="5B5FFFF2">
            <w:pPr>
              <w:rPr>
                <w:rFonts w:ascii="Arial" w:hAnsi="Arial" w:cs="Arial"/>
                <w:sz w:val="20"/>
                <w:szCs w:val="20"/>
              </w:rPr>
            </w:pPr>
            <w:r>
              <w:rPr>
                <w:rFonts w:ascii="Arial" w:hAnsi="Arial" w:cs="Arial"/>
                <w:sz w:val="20"/>
                <w:szCs w:val="20"/>
              </w:rPr>
              <w:t>ATCATCCCTGCGAGCCTATCCT</w:t>
            </w:r>
          </w:p>
        </w:tc>
        <w:tc>
          <w:tcPr>
            <w:tcW w:w="0" w:type="auto"/>
            <w:tcBorders>
              <w:top w:val="nil"/>
              <w:left w:val="nil"/>
              <w:bottom w:val="nil"/>
              <w:right w:val="nil"/>
            </w:tcBorders>
            <w:noWrap/>
            <w:vAlign w:val="center"/>
          </w:tcPr>
          <w:p w14:paraId="0CEAD510">
            <w:pPr>
              <w:rPr>
                <w:rFonts w:ascii="Arial" w:hAnsi="Arial" w:cs="Arial"/>
                <w:sz w:val="20"/>
                <w:szCs w:val="20"/>
              </w:rPr>
            </w:pPr>
            <w:r>
              <w:rPr>
                <w:rFonts w:ascii="Arial" w:hAnsi="Arial" w:cs="Arial"/>
                <w:sz w:val="20"/>
                <w:szCs w:val="20"/>
              </w:rPr>
              <w:t>GACCTTTTTTGGCTAAACGCTTTC</w:t>
            </w:r>
          </w:p>
        </w:tc>
      </w:tr>
      <w:tr w14:paraId="60ACF753">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1BFD79C8">
            <w:pPr>
              <w:rPr>
                <w:rFonts w:ascii="Arial" w:hAnsi="Arial" w:cs="Arial"/>
                <w:sz w:val="20"/>
                <w:szCs w:val="20"/>
              </w:rPr>
            </w:pPr>
            <w:r>
              <w:rPr>
                <w:rFonts w:ascii="Arial" w:hAnsi="Arial" w:cs="Arial"/>
                <w:sz w:val="20"/>
                <w:szCs w:val="20"/>
              </w:rPr>
              <w:t>GAPDH</w:t>
            </w:r>
          </w:p>
        </w:tc>
        <w:tc>
          <w:tcPr>
            <w:tcW w:w="0" w:type="auto"/>
            <w:tcBorders>
              <w:top w:val="nil"/>
              <w:left w:val="nil"/>
              <w:bottom w:val="nil"/>
              <w:right w:val="nil"/>
            </w:tcBorders>
            <w:noWrap/>
            <w:vAlign w:val="center"/>
          </w:tcPr>
          <w:p w14:paraId="6635AE51">
            <w:pPr>
              <w:rPr>
                <w:rFonts w:ascii="Arial" w:hAnsi="Arial" w:cs="Arial"/>
                <w:sz w:val="20"/>
                <w:szCs w:val="20"/>
              </w:rPr>
            </w:pPr>
            <w:r>
              <w:rPr>
                <w:rFonts w:ascii="Arial" w:hAnsi="Arial" w:cs="Arial"/>
                <w:sz w:val="20"/>
                <w:szCs w:val="20"/>
              </w:rPr>
              <w:t>CATCACTGCCACCCAGAAGACTG</w:t>
            </w:r>
          </w:p>
        </w:tc>
        <w:tc>
          <w:tcPr>
            <w:tcW w:w="0" w:type="auto"/>
            <w:tcBorders>
              <w:top w:val="nil"/>
              <w:left w:val="nil"/>
              <w:bottom w:val="nil"/>
              <w:right w:val="nil"/>
            </w:tcBorders>
            <w:noWrap/>
            <w:vAlign w:val="center"/>
          </w:tcPr>
          <w:p w14:paraId="346D5043">
            <w:pPr>
              <w:rPr>
                <w:rFonts w:ascii="Arial" w:hAnsi="Arial" w:cs="Arial"/>
                <w:sz w:val="20"/>
                <w:szCs w:val="20"/>
              </w:rPr>
            </w:pPr>
            <w:r>
              <w:rPr>
                <w:rFonts w:ascii="Arial" w:hAnsi="Arial" w:cs="Arial"/>
                <w:sz w:val="20"/>
                <w:szCs w:val="20"/>
              </w:rPr>
              <w:t>ATGCCAGTGAGCTTCCCGTTCAG</w:t>
            </w:r>
          </w:p>
        </w:tc>
      </w:tr>
      <w:tr w14:paraId="26E97FC1">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669914F3">
            <w:pPr>
              <w:rPr>
                <w:rFonts w:ascii="Arial" w:hAnsi="Arial" w:cs="Arial"/>
                <w:sz w:val="20"/>
                <w:szCs w:val="20"/>
              </w:rPr>
            </w:pPr>
            <w:r>
              <w:rPr>
                <w:rFonts w:ascii="Arial" w:hAnsi="Arial" w:cs="Arial"/>
                <w:sz w:val="20"/>
                <w:szCs w:val="20"/>
              </w:rPr>
              <w:t>CXCL6</w:t>
            </w:r>
          </w:p>
        </w:tc>
        <w:tc>
          <w:tcPr>
            <w:tcW w:w="0" w:type="auto"/>
            <w:tcBorders>
              <w:top w:val="nil"/>
              <w:left w:val="nil"/>
              <w:bottom w:val="nil"/>
              <w:right w:val="nil"/>
            </w:tcBorders>
            <w:noWrap/>
            <w:vAlign w:val="center"/>
          </w:tcPr>
          <w:p w14:paraId="19C59A67">
            <w:pPr>
              <w:rPr>
                <w:rFonts w:ascii="Arial" w:hAnsi="Arial" w:cs="Arial"/>
                <w:sz w:val="20"/>
                <w:szCs w:val="20"/>
              </w:rPr>
            </w:pPr>
            <w:r>
              <w:rPr>
                <w:rFonts w:ascii="Arial" w:hAnsi="Arial" w:cs="Arial"/>
                <w:sz w:val="20"/>
                <w:szCs w:val="20"/>
              </w:rPr>
              <w:t>CCGCTGGCATTTCTGTTGCTGT</w:t>
            </w:r>
          </w:p>
        </w:tc>
        <w:tc>
          <w:tcPr>
            <w:tcW w:w="0" w:type="auto"/>
            <w:tcBorders>
              <w:top w:val="nil"/>
              <w:left w:val="nil"/>
              <w:bottom w:val="nil"/>
              <w:right w:val="nil"/>
            </w:tcBorders>
            <w:noWrap/>
            <w:vAlign w:val="center"/>
          </w:tcPr>
          <w:p w14:paraId="4CC11904">
            <w:pPr>
              <w:rPr>
                <w:rFonts w:ascii="Arial" w:hAnsi="Arial" w:cs="Arial"/>
                <w:sz w:val="20"/>
                <w:szCs w:val="20"/>
              </w:rPr>
            </w:pPr>
            <w:r>
              <w:rPr>
                <w:rFonts w:ascii="Arial" w:hAnsi="Arial" w:cs="Arial"/>
                <w:sz w:val="20"/>
                <w:szCs w:val="20"/>
              </w:rPr>
              <w:t>CAGGGATCACCTCCAAATTAGCG</w:t>
            </w:r>
          </w:p>
        </w:tc>
      </w:tr>
      <w:tr w14:paraId="1E12D8DD">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66D6C5A9">
            <w:pPr>
              <w:rPr>
                <w:rFonts w:ascii="Arial" w:hAnsi="Arial" w:cs="Arial"/>
                <w:sz w:val="20"/>
                <w:szCs w:val="20"/>
              </w:rPr>
            </w:pPr>
            <w:r>
              <w:rPr>
                <w:rFonts w:ascii="Arial" w:hAnsi="Arial" w:cs="Arial"/>
                <w:sz w:val="20"/>
                <w:szCs w:val="20"/>
              </w:rPr>
              <w:t>IL-8</w:t>
            </w:r>
          </w:p>
        </w:tc>
        <w:tc>
          <w:tcPr>
            <w:tcW w:w="0" w:type="auto"/>
            <w:tcBorders>
              <w:top w:val="nil"/>
              <w:left w:val="nil"/>
              <w:bottom w:val="nil"/>
              <w:right w:val="nil"/>
            </w:tcBorders>
            <w:noWrap/>
            <w:vAlign w:val="center"/>
          </w:tcPr>
          <w:p w14:paraId="5869C739">
            <w:pPr>
              <w:rPr>
                <w:rFonts w:ascii="Arial" w:hAnsi="Arial" w:cs="Arial"/>
                <w:sz w:val="20"/>
                <w:szCs w:val="20"/>
              </w:rPr>
            </w:pPr>
            <w:r>
              <w:rPr>
                <w:rFonts w:ascii="Arial" w:hAnsi="Arial" w:cs="Arial"/>
                <w:sz w:val="20"/>
                <w:szCs w:val="20"/>
              </w:rPr>
              <w:t>CAAGGCTGGTCCATGCTCC</w:t>
            </w:r>
          </w:p>
        </w:tc>
        <w:tc>
          <w:tcPr>
            <w:tcW w:w="0" w:type="auto"/>
            <w:tcBorders>
              <w:top w:val="nil"/>
              <w:left w:val="nil"/>
              <w:bottom w:val="nil"/>
              <w:right w:val="nil"/>
            </w:tcBorders>
            <w:noWrap/>
            <w:vAlign w:val="center"/>
          </w:tcPr>
          <w:p w14:paraId="6D0CC5F2">
            <w:pPr>
              <w:rPr>
                <w:rFonts w:ascii="Arial" w:hAnsi="Arial" w:cs="Arial"/>
                <w:sz w:val="20"/>
                <w:szCs w:val="20"/>
              </w:rPr>
            </w:pPr>
            <w:r>
              <w:rPr>
                <w:rFonts w:ascii="Arial" w:hAnsi="Arial" w:cs="Arial"/>
                <w:sz w:val="20"/>
                <w:szCs w:val="20"/>
              </w:rPr>
              <w:t>TGCTATCACTTCCTTTCTGTTGC</w:t>
            </w:r>
          </w:p>
        </w:tc>
      </w:tr>
      <w:tr w14:paraId="12E9BEEC">
        <w:tblPrEx>
          <w:tblCellMar>
            <w:top w:w="0" w:type="dxa"/>
            <w:left w:w="108" w:type="dxa"/>
            <w:bottom w:w="0" w:type="dxa"/>
            <w:right w:w="108" w:type="dxa"/>
          </w:tblCellMar>
        </w:tblPrEx>
        <w:trPr>
          <w:trHeight w:val="280" w:hRule="atLeast"/>
        </w:trPr>
        <w:tc>
          <w:tcPr>
            <w:tcW w:w="0" w:type="auto"/>
            <w:tcBorders>
              <w:top w:val="nil"/>
              <w:left w:val="nil"/>
              <w:bottom w:val="nil"/>
              <w:right w:val="nil"/>
            </w:tcBorders>
            <w:noWrap/>
            <w:vAlign w:val="center"/>
          </w:tcPr>
          <w:p w14:paraId="54166B2E">
            <w:pPr>
              <w:rPr>
                <w:rFonts w:ascii="Arial" w:hAnsi="Arial" w:cs="Arial"/>
                <w:sz w:val="20"/>
                <w:szCs w:val="20"/>
              </w:rPr>
            </w:pPr>
            <w:r>
              <w:rPr>
                <w:rFonts w:ascii="Arial" w:hAnsi="Arial" w:cs="Arial"/>
                <w:sz w:val="20"/>
                <w:szCs w:val="20"/>
              </w:rPr>
              <w:t>α-sam</w:t>
            </w:r>
          </w:p>
        </w:tc>
        <w:tc>
          <w:tcPr>
            <w:tcW w:w="0" w:type="auto"/>
            <w:tcBorders>
              <w:top w:val="nil"/>
              <w:left w:val="nil"/>
              <w:bottom w:val="nil"/>
              <w:right w:val="nil"/>
            </w:tcBorders>
            <w:noWrap/>
            <w:vAlign w:val="center"/>
          </w:tcPr>
          <w:p w14:paraId="7B1A95D4">
            <w:pPr>
              <w:rPr>
                <w:rFonts w:ascii="Arial" w:hAnsi="Arial" w:cs="Arial"/>
                <w:sz w:val="20"/>
                <w:szCs w:val="20"/>
              </w:rPr>
            </w:pPr>
            <w:r>
              <w:rPr>
                <w:rFonts w:ascii="Arial" w:hAnsi="Arial" w:cs="Arial"/>
                <w:sz w:val="20"/>
                <w:szCs w:val="20"/>
              </w:rPr>
              <w:t>TGCTGACAGAGGCACCACTGAA</w:t>
            </w:r>
          </w:p>
        </w:tc>
        <w:tc>
          <w:tcPr>
            <w:tcW w:w="0" w:type="auto"/>
            <w:tcBorders>
              <w:top w:val="nil"/>
              <w:left w:val="nil"/>
              <w:bottom w:val="nil"/>
              <w:right w:val="nil"/>
            </w:tcBorders>
            <w:noWrap/>
            <w:vAlign w:val="center"/>
          </w:tcPr>
          <w:p w14:paraId="45F2E937">
            <w:pPr>
              <w:rPr>
                <w:rFonts w:ascii="Arial" w:hAnsi="Arial" w:cs="Arial"/>
                <w:sz w:val="20"/>
                <w:szCs w:val="20"/>
              </w:rPr>
            </w:pPr>
            <w:r>
              <w:rPr>
                <w:rFonts w:ascii="Arial" w:hAnsi="Arial" w:cs="Arial"/>
                <w:sz w:val="20"/>
                <w:szCs w:val="20"/>
              </w:rPr>
              <w:t>CAGTTGTACGTCCAGAGGCATAG</w:t>
            </w:r>
          </w:p>
        </w:tc>
      </w:tr>
      <w:tr w14:paraId="08F7827B">
        <w:tblPrEx>
          <w:tblCellMar>
            <w:top w:w="0" w:type="dxa"/>
            <w:left w:w="108" w:type="dxa"/>
            <w:bottom w:w="0" w:type="dxa"/>
            <w:right w:w="108" w:type="dxa"/>
          </w:tblCellMar>
        </w:tblPrEx>
        <w:trPr>
          <w:trHeight w:val="295" w:hRule="atLeast"/>
        </w:trPr>
        <w:tc>
          <w:tcPr>
            <w:tcW w:w="2305" w:type="dxa"/>
            <w:tcBorders>
              <w:top w:val="nil"/>
              <w:left w:val="nil"/>
              <w:bottom w:val="single" w:color="000000" w:sz="8" w:space="0"/>
              <w:right w:val="nil"/>
            </w:tcBorders>
            <w:vAlign w:val="center"/>
          </w:tcPr>
          <w:p w14:paraId="2C4E1257">
            <w:pPr>
              <w:rPr>
                <w:rFonts w:ascii="Arial" w:hAnsi="Arial" w:cs="Arial"/>
                <w:sz w:val="20"/>
                <w:szCs w:val="20"/>
              </w:rPr>
            </w:pPr>
            <w:r>
              <w:rPr>
                <w:rFonts w:ascii="Arial" w:hAnsi="Arial" w:cs="Arial"/>
                <w:sz w:val="20"/>
                <w:szCs w:val="20"/>
              </w:rPr>
              <w:t>CXCL10</w:t>
            </w:r>
          </w:p>
        </w:tc>
        <w:tc>
          <w:tcPr>
            <w:tcW w:w="2600" w:type="dxa"/>
            <w:tcBorders>
              <w:top w:val="nil"/>
              <w:left w:val="nil"/>
              <w:bottom w:val="single" w:color="000000" w:sz="8" w:space="0"/>
              <w:right w:val="nil"/>
            </w:tcBorders>
            <w:vAlign w:val="center"/>
          </w:tcPr>
          <w:p w14:paraId="4A226CB2">
            <w:pPr>
              <w:rPr>
                <w:rFonts w:ascii="Arial" w:hAnsi="Arial" w:cs="Arial"/>
                <w:sz w:val="20"/>
                <w:szCs w:val="20"/>
              </w:rPr>
            </w:pPr>
            <w:r>
              <w:rPr>
                <w:rFonts w:ascii="Arial" w:hAnsi="Arial" w:cs="Arial"/>
                <w:sz w:val="20"/>
                <w:szCs w:val="20"/>
              </w:rPr>
              <w:t>ATCATCCCTGCGAGCCTATCCT</w:t>
            </w:r>
          </w:p>
        </w:tc>
        <w:tc>
          <w:tcPr>
            <w:tcW w:w="2890" w:type="dxa"/>
            <w:tcBorders>
              <w:top w:val="nil"/>
              <w:left w:val="nil"/>
              <w:bottom w:val="single" w:color="000000" w:sz="8" w:space="0"/>
              <w:right w:val="nil"/>
            </w:tcBorders>
            <w:vAlign w:val="center"/>
          </w:tcPr>
          <w:p w14:paraId="25B0C162">
            <w:pPr>
              <w:rPr>
                <w:rFonts w:ascii="Arial" w:hAnsi="Arial" w:cs="Arial"/>
                <w:sz w:val="20"/>
                <w:szCs w:val="20"/>
              </w:rPr>
            </w:pPr>
            <w:r>
              <w:rPr>
                <w:rFonts w:ascii="Arial" w:hAnsi="Arial" w:cs="Arial"/>
                <w:sz w:val="20"/>
                <w:szCs w:val="20"/>
              </w:rPr>
              <w:t>GACCTTTTTTGGCTAAACGCTTTC</w:t>
            </w:r>
          </w:p>
        </w:tc>
      </w:tr>
    </w:tbl>
    <w:p w14:paraId="1A554CCD">
      <w:pPr>
        <w:rPr>
          <w:rFonts w:ascii="Arial" w:hAnsi="Arial" w:cs="Arial"/>
        </w:rPr>
      </w:pPr>
      <w:r>
        <w:rPr>
          <w:rFonts w:ascii="Arial" w:hAnsi="Arial" w:cs="Arial"/>
        </w:rPr>
        <w:br w:type="page"/>
      </w:r>
    </w:p>
    <w:p w14:paraId="55701D14">
      <w:pPr>
        <w:jc w:val="left"/>
        <w:rPr>
          <w:rFonts w:ascii="Arial" w:hAnsi="Arial" w:cs="Arial"/>
          <w:b/>
          <w:bCs/>
          <w:sz w:val="20"/>
          <w:szCs w:val="21"/>
        </w:rPr>
      </w:pPr>
      <w:bookmarkStart w:id="0" w:name="OLE_LINK10"/>
      <w:r>
        <w:rPr>
          <w:rFonts w:ascii="Arial" w:hAnsi="Arial" w:cs="Arial"/>
          <w:b/>
          <w:bCs/>
          <w:sz w:val="20"/>
          <w:szCs w:val="21"/>
        </w:rPr>
        <w:t>Figure S1. LEfSe analysis of the gut microbiota among the three groups at the genus level.</w:t>
      </w:r>
    </w:p>
    <w:bookmarkEnd w:id="0"/>
    <w:p w14:paraId="58209A08">
      <w:pPr>
        <w:jc w:val="left"/>
        <w:rPr>
          <w:rFonts w:ascii="Arial" w:hAnsi="Arial" w:cs="Arial"/>
          <w:b/>
          <w:bCs/>
          <w:sz w:val="20"/>
          <w:szCs w:val="21"/>
        </w:rPr>
      </w:pPr>
      <w:r>
        <w:rPr>
          <w:rFonts w:ascii="Arial" w:hAnsi="Arial" w:cs="Arial"/>
          <w:sz w:val="24"/>
          <w:szCs w:val="28"/>
        </w:rPr>
        <w:drawing>
          <wp:inline distT="0" distB="0" distL="114300" distR="114300">
            <wp:extent cx="2416175" cy="1800225"/>
            <wp:effectExtent l="0" t="0" r="9525" b="3175"/>
            <wp:docPr id="2" name="图片 2" descr="LDA判别柱形图_LEfSe_20251130_20543346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DA判别柱形图_LEfSe_20251130_205433460_01"/>
                    <pic:cNvPicPr>
                      <a:picLocks noChangeAspect="1"/>
                    </pic:cNvPicPr>
                  </pic:nvPicPr>
                  <pic:blipFill>
                    <a:blip r:embed="rId4"/>
                    <a:stretch>
                      <a:fillRect/>
                    </a:stretch>
                  </pic:blipFill>
                  <pic:spPr>
                    <a:xfrm>
                      <a:off x="0" y="0"/>
                      <a:ext cx="2416175" cy="1800225"/>
                    </a:xfrm>
                    <a:prstGeom prst="rect">
                      <a:avLst/>
                    </a:prstGeom>
                  </pic:spPr>
                </pic:pic>
              </a:graphicData>
            </a:graphic>
          </wp:inline>
        </w:drawing>
      </w:r>
    </w:p>
    <w:p w14:paraId="01F98541">
      <w:pPr>
        <w:jc w:val="left"/>
        <w:rPr>
          <w:rFonts w:ascii="Arial" w:hAnsi="Arial" w:cs="Arial"/>
          <w:b/>
          <w:bCs/>
          <w:sz w:val="20"/>
          <w:szCs w:val="21"/>
        </w:rPr>
      </w:pPr>
      <w:bookmarkStart w:id="1" w:name="_Hlk218715013"/>
      <w:r>
        <w:rPr>
          <w:rFonts w:ascii="Arial" w:hAnsi="Arial" w:cs="Arial"/>
          <w:b/>
          <w:bCs/>
          <w:sz w:val="20"/>
          <w:szCs w:val="21"/>
        </w:rPr>
        <w:t>Figure S</w:t>
      </w:r>
      <w:r>
        <w:rPr>
          <w:rFonts w:hint="eastAsia" w:ascii="Arial" w:hAnsi="Arial" w:cs="Arial"/>
          <w:b/>
          <w:bCs/>
          <w:sz w:val="20"/>
          <w:szCs w:val="21"/>
        </w:rPr>
        <w:t>2</w:t>
      </w:r>
      <w:r>
        <w:rPr>
          <w:rFonts w:ascii="Arial" w:hAnsi="Arial" w:cs="Arial"/>
          <w:b/>
          <w:bCs/>
          <w:sz w:val="20"/>
          <w:szCs w:val="21"/>
        </w:rPr>
        <w:t>. Relative abundance of bacteria among the three groups at the genus level.</w:t>
      </w:r>
    </w:p>
    <w:bookmarkEnd w:id="1"/>
    <w:p w14:paraId="10AE18C9">
      <w:pPr>
        <w:jc w:val="left"/>
        <w:rPr>
          <w:rFonts w:hint="eastAsia" w:ascii="Arial" w:hAnsi="Arial" w:cs="Arial"/>
          <w:b/>
          <w:bCs/>
          <w:sz w:val="20"/>
          <w:szCs w:val="21"/>
        </w:rPr>
      </w:pPr>
    </w:p>
    <w:p w14:paraId="12821662">
      <w:pPr>
        <w:jc w:val="left"/>
        <w:rPr>
          <w:rFonts w:ascii="Arial" w:hAnsi="Arial" w:cs="Arial"/>
          <w:b/>
          <w:bCs/>
          <w:sz w:val="20"/>
          <w:szCs w:val="21"/>
        </w:rPr>
      </w:pPr>
      <w:r>
        <w:rPr>
          <w:rFonts w:ascii="Arial" w:hAnsi="Arial" w:cs="Arial"/>
          <w:b/>
          <w:bCs/>
          <w:sz w:val="20"/>
          <w:szCs w:val="21"/>
        </w:rPr>
        <w:drawing>
          <wp:inline distT="0" distB="0" distL="0" distR="0">
            <wp:extent cx="5269865" cy="1965960"/>
            <wp:effectExtent l="0" t="0" r="6985" b="0"/>
            <wp:docPr id="8353451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45180"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269865" cy="1965960"/>
                    </a:xfrm>
                    <a:prstGeom prst="rect">
                      <a:avLst/>
                    </a:prstGeom>
                    <a:noFill/>
                    <a:ln>
                      <a:noFill/>
                    </a:ln>
                  </pic:spPr>
                </pic:pic>
              </a:graphicData>
            </a:graphic>
          </wp:inline>
        </w:drawing>
      </w:r>
    </w:p>
    <w:p w14:paraId="23A1595D">
      <w:pPr>
        <w:jc w:val="left"/>
        <w:rPr>
          <w:rFonts w:ascii="Arial" w:hAnsi="Arial" w:cs="Arial"/>
          <w:b/>
          <w:bCs/>
          <w:sz w:val="20"/>
          <w:szCs w:val="21"/>
        </w:rPr>
      </w:pPr>
      <w:r>
        <w:rPr>
          <w:rFonts w:ascii="Arial" w:hAnsi="Arial" w:cs="Arial"/>
          <w:b/>
          <w:bCs/>
          <w:sz w:val="20"/>
          <w:szCs w:val="21"/>
        </w:rPr>
        <w:t>Figure S</w:t>
      </w:r>
      <w:r>
        <w:rPr>
          <w:rFonts w:hint="eastAsia" w:ascii="Arial" w:hAnsi="Arial" w:cs="Arial"/>
          <w:b/>
          <w:bCs/>
          <w:sz w:val="20"/>
          <w:szCs w:val="21"/>
        </w:rPr>
        <w:t>3</w:t>
      </w:r>
      <w:r>
        <w:rPr>
          <w:rFonts w:ascii="Arial" w:hAnsi="Arial" w:cs="Arial"/>
          <w:b/>
          <w:bCs/>
          <w:sz w:val="20"/>
          <w:szCs w:val="21"/>
        </w:rPr>
        <w:t xml:space="preserve">. LEfSe analysis of the gut microbiota among the three groups at the </w:t>
      </w:r>
      <w:r>
        <w:rPr>
          <w:rFonts w:hint="eastAsia" w:ascii="Arial" w:hAnsi="Arial" w:cs="Arial"/>
          <w:b/>
          <w:bCs/>
          <w:sz w:val="20"/>
          <w:szCs w:val="21"/>
        </w:rPr>
        <w:t>family</w:t>
      </w:r>
      <w:r>
        <w:rPr>
          <w:rFonts w:ascii="Arial" w:hAnsi="Arial" w:cs="Arial"/>
          <w:b/>
          <w:bCs/>
          <w:sz w:val="20"/>
          <w:szCs w:val="21"/>
        </w:rPr>
        <w:t xml:space="preserve"> level.</w:t>
      </w:r>
    </w:p>
    <w:p w14:paraId="66259933">
      <w:pPr>
        <w:jc w:val="left"/>
        <w:rPr>
          <w:rFonts w:ascii="Arial" w:hAnsi="Arial" w:cs="Arial"/>
          <w:b/>
          <w:bCs/>
          <w:sz w:val="20"/>
          <w:szCs w:val="21"/>
        </w:rPr>
      </w:pPr>
      <w:r>
        <w:rPr>
          <w:rFonts w:ascii="Arial" w:hAnsi="Arial" w:cs="Arial"/>
          <w:sz w:val="24"/>
          <w:szCs w:val="28"/>
        </w:rPr>
        <w:drawing>
          <wp:inline distT="0" distB="0" distL="114300" distR="114300">
            <wp:extent cx="3054350" cy="1800225"/>
            <wp:effectExtent l="0" t="0" r="6350" b="3175"/>
            <wp:docPr id="1" name="图片 1" descr="LDA判别柱形图_LEfSe_20251130_20542520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DA判别柱形图_LEfSe_20251130_205425207_01"/>
                    <pic:cNvPicPr>
                      <a:picLocks noChangeAspect="1"/>
                    </pic:cNvPicPr>
                  </pic:nvPicPr>
                  <pic:blipFill>
                    <a:blip r:embed="rId6"/>
                    <a:stretch>
                      <a:fillRect/>
                    </a:stretch>
                  </pic:blipFill>
                  <pic:spPr>
                    <a:xfrm>
                      <a:off x="0" y="0"/>
                      <a:ext cx="3054350" cy="1800225"/>
                    </a:xfrm>
                    <a:prstGeom prst="rect">
                      <a:avLst/>
                    </a:prstGeom>
                  </pic:spPr>
                </pic:pic>
              </a:graphicData>
            </a:graphic>
          </wp:inline>
        </w:drawing>
      </w:r>
      <w:r>
        <w:rPr>
          <w:rFonts w:ascii="Arial" w:hAnsi="Arial" w:cs="Arial"/>
          <w:b/>
          <w:bCs/>
          <w:sz w:val="20"/>
          <w:szCs w:val="21"/>
        </w:rPr>
        <w:t xml:space="preserve"> </w:t>
      </w:r>
    </w:p>
    <w:p w14:paraId="4B733263">
      <w:pPr>
        <w:jc w:val="left"/>
        <w:rPr>
          <w:rFonts w:ascii="Arial" w:hAnsi="Arial" w:cs="Arial"/>
          <w:b/>
          <w:bCs/>
          <w:sz w:val="20"/>
          <w:szCs w:val="21"/>
        </w:rPr>
      </w:pPr>
      <w:r>
        <w:rPr>
          <w:rFonts w:ascii="Arial" w:hAnsi="Arial" w:cs="Arial"/>
          <w:b/>
          <w:bCs/>
          <w:sz w:val="20"/>
          <w:szCs w:val="21"/>
        </w:rPr>
        <w:t>Figure S</w:t>
      </w:r>
      <w:r>
        <w:rPr>
          <w:rFonts w:hint="eastAsia" w:ascii="Arial" w:hAnsi="Arial" w:cs="Arial"/>
          <w:b/>
          <w:bCs/>
          <w:sz w:val="20"/>
          <w:szCs w:val="21"/>
        </w:rPr>
        <w:t>4</w:t>
      </w:r>
      <w:r>
        <w:rPr>
          <w:rFonts w:ascii="Arial" w:hAnsi="Arial" w:cs="Arial"/>
          <w:b/>
          <w:bCs/>
          <w:sz w:val="20"/>
          <w:szCs w:val="21"/>
        </w:rPr>
        <w:t xml:space="preserve">. Relative abundance of bacteria among the three groups at the </w:t>
      </w:r>
      <w:r>
        <w:rPr>
          <w:rFonts w:hint="eastAsia" w:ascii="Arial" w:hAnsi="Arial" w:cs="Arial"/>
          <w:b/>
          <w:bCs/>
          <w:sz w:val="20"/>
          <w:szCs w:val="21"/>
        </w:rPr>
        <w:t xml:space="preserve">family </w:t>
      </w:r>
      <w:r>
        <w:rPr>
          <w:rFonts w:ascii="Arial" w:hAnsi="Arial" w:cs="Arial"/>
          <w:b/>
          <w:bCs/>
          <w:sz w:val="20"/>
          <w:szCs w:val="21"/>
        </w:rPr>
        <w:t>level.</w:t>
      </w:r>
    </w:p>
    <w:p w14:paraId="4918627B">
      <w:pPr>
        <w:jc w:val="left"/>
        <w:rPr>
          <w:rFonts w:ascii="Arial" w:hAnsi="Arial" w:cs="Arial"/>
          <w:sz w:val="24"/>
          <w:szCs w:val="28"/>
        </w:rPr>
      </w:pPr>
      <w:r>
        <w:rPr>
          <w:rFonts w:ascii="Arial" w:hAnsi="Arial" w:cs="Arial"/>
          <w:b/>
          <w:bCs/>
          <w:sz w:val="20"/>
          <w:szCs w:val="21"/>
        </w:rPr>
        <w:drawing>
          <wp:inline distT="0" distB="0" distL="0" distR="0">
            <wp:extent cx="5269865" cy="1965960"/>
            <wp:effectExtent l="0" t="0" r="6985" b="0"/>
            <wp:docPr id="13028614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861457" name="图片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69865" cy="1965960"/>
                    </a:xfrm>
                    <a:prstGeom prst="rect">
                      <a:avLst/>
                    </a:prstGeom>
                    <a:noFill/>
                    <a:ln>
                      <a:noFill/>
                    </a:ln>
                  </pic:spPr>
                </pic:pic>
              </a:graphicData>
            </a:graphic>
          </wp:inline>
        </w:drawing>
      </w:r>
    </w:p>
    <w:p w14:paraId="1AEC9487">
      <w:pPr>
        <w:rPr>
          <w:rFonts w:ascii="Arial" w:hAnsi="Arial" w:cs="Arial"/>
          <w:sz w:val="20"/>
          <w:szCs w:val="20"/>
        </w:rPr>
      </w:pPr>
      <w:r>
        <w:rPr>
          <w:rFonts w:ascii="Arial" w:hAnsi="Arial" w:cs="Arial"/>
          <w:sz w:val="20"/>
          <w:szCs w:val="20"/>
        </w:rPr>
        <w:br w:type="page"/>
      </w:r>
    </w:p>
    <w:p w14:paraId="010ACF25">
      <w:pPr>
        <w:jc w:val="left"/>
        <w:rPr>
          <w:rFonts w:ascii="Arial" w:hAnsi="Arial" w:cs="Arial"/>
          <w:b/>
          <w:bCs/>
          <w:sz w:val="20"/>
          <w:szCs w:val="21"/>
        </w:rPr>
      </w:pPr>
      <w:r>
        <w:rPr>
          <w:rFonts w:ascii="Arial" w:hAnsi="Arial" w:cs="Arial"/>
          <w:b/>
          <w:bCs/>
          <w:sz w:val="20"/>
          <w:szCs w:val="21"/>
        </w:rPr>
        <w:t>Figure S</w:t>
      </w:r>
      <w:r>
        <w:rPr>
          <w:rFonts w:hint="eastAsia" w:ascii="Arial" w:hAnsi="Arial" w:cs="Arial"/>
          <w:b/>
          <w:bCs/>
          <w:sz w:val="20"/>
          <w:szCs w:val="21"/>
        </w:rPr>
        <w:t>5</w:t>
      </w:r>
      <w:r>
        <w:rPr>
          <w:rFonts w:ascii="Arial" w:hAnsi="Arial" w:cs="Arial"/>
          <w:b/>
          <w:bCs/>
          <w:sz w:val="20"/>
          <w:szCs w:val="21"/>
        </w:rPr>
        <w:t>. Numbers of differentially expressed proteins, including upregulated and downregulated proteins, among the three groups.</w:t>
      </w:r>
    </w:p>
    <w:p w14:paraId="16B97897">
      <w:pPr>
        <w:jc w:val="left"/>
        <w:rPr>
          <w:rFonts w:hint="eastAsia" w:ascii="Arial" w:hAnsi="Arial" w:cs="Arial" w:eastAsiaTheme="minorEastAsia"/>
          <w:b/>
          <w:bCs/>
          <w:sz w:val="24"/>
          <w:szCs w:val="28"/>
          <w:lang w:eastAsia="zh-CN"/>
        </w:rPr>
      </w:pPr>
      <w:r>
        <w:rPr>
          <w:rFonts w:hint="eastAsia" w:ascii="Arial" w:hAnsi="Arial" w:cs="Arial" w:eastAsiaTheme="minorEastAsia"/>
          <w:b/>
          <w:bCs/>
          <w:sz w:val="24"/>
          <w:szCs w:val="28"/>
          <w:lang w:eastAsia="zh-CN"/>
        </w:rPr>
        <w:drawing>
          <wp:inline distT="0" distB="0" distL="114300" distR="114300">
            <wp:extent cx="5270500" cy="4217035"/>
            <wp:effectExtent l="0" t="0" r="0" b="12065"/>
            <wp:docPr id="3" name="图片 3"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未标题-1"/>
                    <pic:cNvPicPr>
                      <a:picLocks noChangeAspect="1"/>
                    </pic:cNvPicPr>
                  </pic:nvPicPr>
                  <pic:blipFill>
                    <a:blip r:embed="rId8"/>
                    <a:stretch>
                      <a:fillRect/>
                    </a:stretch>
                  </pic:blipFill>
                  <pic:spPr>
                    <a:xfrm>
                      <a:off x="0" y="0"/>
                      <a:ext cx="5270500" cy="4217035"/>
                    </a:xfrm>
                    <a:prstGeom prst="rect">
                      <a:avLst/>
                    </a:prstGeom>
                  </pic:spPr>
                </pic:pic>
              </a:graphicData>
            </a:graphic>
          </wp:inline>
        </w:drawing>
      </w:r>
    </w:p>
    <w:p w14:paraId="6453EA88">
      <w:pPr>
        <w:jc w:val="left"/>
        <w:rPr>
          <w:rFonts w:ascii="Arial" w:hAnsi="Arial" w:cs="Arial"/>
          <w:b/>
          <w:bCs/>
          <w:sz w:val="24"/>
          <w:szCs w:val="28"/>
        </w:rPr>
      </w:pPr>
      <w:r>
        <w:rPr>
          <w:rFonts w:ascii="Arial" w:hAnsi="Arial" w:cs="Arial"/>
          <w:b/>
          <w:bCs/>
          <w:sz w:val="24"/>
          <w:szCs w:val="28"/>
        </w:rPr>
        <w:t>Methods</w:t>
      </w:r>
    </w:p>
    <w:p w14:paraId="02595929">
      <w:pPr>
        <w:jc w:val="left"/>
        <w:rPr>
          <w:rFonts w:ascii="Arial" w:hAnsi="Arial" w:cs="Arial"/>
          <w:b/>
          <w:bCs/>
          <w:sz w:val="24"/>
          <w:szCs w:val="28"/>
        </w:rPr>
      </w:pPr>
      <w:r>
        <w:rPr>
          <w:rFonts w:ascii="Arial" w:hAnsi="Arial" w:cs="Arial"/>
          <w:b/>
          <w:bCs/>
          <w:sz w:val="24"/>
          <w:szCs w:val="28"/>
        </w:rPr>
        <w:t>Establishment and Intervention of Human Bile-Derived Cholangiocyte Organoids</w:t>
      </w:r>
    </w:p>
    <w:p w14:paraId="38BE2B59">
      <w:pPr>
        <w:spacing w:line="360" w:lineRule="auto"/>
        <w:ind w:firstLine="420" w:firstLineChars="200"/>
        <w:rPr>
          <w:rFonts w:ascii="Arial" w:hAnsi="Arial" w:cs="Arial"/>
        </w:rPr>
      </w:pPr>
      <w:r>
        <w:rPr>
          <w:rFonts w:ascii="Arial" w:hAnsi="Arial" w:cs="Arial"/>
        </w:rPr>
        <w:t>Fresh bile was collected from postoperative drainage of patients undergoing endoscopic retrograde cholangiopancreatography (ERCP) or percutaneous transhepatic cholangial drainage (PTCD) into sterile containers containing pre-cooled preservation buffer (DMEM/F-12 supplemented with 1% GlutaMAX, 1% HEPES, and 3% penicillin–streptomycin). Samples were maintained on ice throughout processing.</w:t>
      </w:r>
    </w:p>
    <w:p w14:paraId="7291CAAD">
      <w:pPr>
        <w:spacing w:line="360" w:lineRule="auto"/>
        <w:ind w:firstLine="420" w:firstLineChars="200"/>
        <w:rPr>
          <w:rFonts w:ascii="Arial" w:hAnsi="Arial" w:cs="Arial"/>
        </w:rPr>
      </w:pPr>
      <w:r>
        <w:rPr>
          <w:rFonts w:ascii="Arial" w:hAnsi="Arial" w:cs="Arial"/>
        </w:rPr>
        <w:t>A 20-μL aliquot of bile was mixed with an equal volume of AO/PI staining solution, and cell viability was assessed using an automated cell counter. Samples with cell viability &gt;80% were used for subsequent experiments.</w:t>
      </w:r>
    </w:p>
    <w:p w14:paraId="5E193B6B">
      <w:pPr>
        <w:spacing w:line="360" w:lineRule="auto"/>
        <w:ind w:firstLine="420" w:firstLineChars="200"/>
        <w:rPr>
          <w:rFonts w:ascii="Arial" w:hAnsi="Arial" w:cs="Arial"/>
        </w:rPr>
      </w:pPr>
      <w:r>
        <w:rPr>
          <w:rFonts w:ascii="Arial" w:hAnsi="Arial" w:cs="Arial"/>
        </w:rPr>
        <w:t>To minimize cell loss, pipette tips, microcentrifuge tubes, and other plasticware were pre-rinsed with PBS containing 7.5% bovine serum albumin (BSA). Bile samples were diluted with five volumes of preservation buffer, passed through a 100-μm cell strainer, and centrifuged at 300 × g for 5 min at 4°C. The resulting pellet was resuspended in red blood cell lysis buffer and incubated at 4°C for 10 min with gentle agitation every 2 min. Lysis was terminated by adding two volumes of preservation buffer, followed by centrifugation at 300 × g for 5 min at 4°C.</w:t>
      </w:r>
    </w:p>
    <w:p w14:paraId="0909595B">
      <w:pPr>
        <w:spacing w:line="360" w:lineRule="auto"/>
        <w:ind w:firstLine="420" w:firstLineChars="200"/>
        <w:rPr>
          <w:rFonts w:ascii="Arial" w:hAnsi="Arial" w:cs="Arial"/>
        </w:rPr>
      </w:pPr>
      <w:r>
        <w:rPr>
          <w:rFonts w:ascii="Arial" w:hAnsi="Arial" w:cs="Arial"/>
        </w:rPr>
        <w:t>The pellet was resuspended in 1 mL preservation buffer and centrifuged again at 300 × g for 5 min at 4°C. After discarding the supernatant, the washing step was repeated once. Cells were finally resuspended in 1 mL preservation buffer, and cell number and viability were reassessed. Following a final centrifugation at 300 × g for 5 min at 4°C, the total number of viable cells was calculated.</w:t>
      </w:r>
    </w:p>
    <w:p w14:paraId="46B5B799">
      <w:pPr>
        <w:spacing w:line="360" w:lineRule="auto"/>
        <w:ind w:firstLine="420" w:firstLineChars="200"/>
        <w:rPr>
          <w:rFonts w:ascii="Arial" w:hAnsi="Arial" w:cs="Arial"/>
        </w:rPr>
      </w:pPr>
      <w:r>
        <w:rPr>
          <w:rFonts w:ascii="Arial" w:hAnsi="Arial" w:cs="Arial"/>
        </w:rPr>
        <w:t>Cells were mixed with Matrigel at a density of 1 × 10⁵ cells per 50 μL and plated as domes in the center of 24-well plates. After polymerization at 37°C for 20 min, 500 μL of organoid culture medium (DMEM/F-12 supplemented with 0.1% Y-27632 and 0.2% Primocin) was added to each well. Organoids were maintained in a humidified incubator at 37°C with 5% CO₂. The culture medium was refreshed every 48–72 h, and organoid morphology was monitored every other day using an inverted microscope.</w:t>
      </w:r>
    </w:p>
    <w:p w14:paraId="4451439F">
      <w:pPr>
        <w:spacing w:line="360" w:lineRule="auto"/>
        <w:ind w:firstLine="420" w:firstLineChars="200"/>
        <w:rPr>
          <w:rFonts w:ascii="Arial" w:hAnsi="Arial" w:cs="Arial"/>
        </w:rPr>
      </w:pPr>
      <w:r>
        <w:rPr>
          <w:rFonts w:ascii="Arial" w:hAnsi="Arial" w:cs="Arial"/>
        </w:rPr>
        <w:t>For passaging, culture medium was aspirated and an appropriate volume of buffer was added to gently triturate the domes and detach the basement membrane matrix. The suspension was collected into a 15-mL tube, followed by the addition of 5 mL Cell Recovery Solution. Samples were incubated on a rocking platform at 4°C for 15 min to dissolve the matrix. Organoids were then pelleted by centrifugation at 300 × g for 5 min, and the supernatant was discarded. The pellet was resuspended in buffer and centrifuged again at 300 × g for 5 min, after which the supernatant was removed.</w:t>
      </w:r>
    </w:p>
    <w:p w14:paraId="7C9BF8D5">
      <w:pPr>
        <w:spacing w:line="360" w:lineRule="auto"/>
        <w:ind w:firstLine="420" w:firstLineChars="200"/>
        <w:rPr>
          <w:rFonts w:ascii="Arial" w:hAnsi="Arial" w:cs="Arial"/>
        </w:rPr>
      </w:pPr>
      <w:r>
        <w:rPr>
          <w:rFonts w:ascii="Arial" w:hAnsi="Arial" w:cs="Arial"/>
        </w:rPr>
        <w:t>The organoid pellet was subsequently resuspended in TrypLE™ Express and incubated on a rocking platform at room temperature for 10 min to facilitate dissociation. The digestion was terminated by adding an equal volume of buffer, followed by centrifugation at 300 × g for 5 min. After removal of the supernatant, organoids were passaged at a ratio of 1:3, mixed with fresh basement membrane matrix, and replated as described above.</w:t>
      </w:r>
    </w:p>
    <w:p w14:paraId="06A60DED">
      <w:pPr>
        <w:spacing w:line="360" w:lineRule="auto"/>
        <w:ind w:firstLine="420" w:firstLineChars="200"/>
        <w:rPr>
          <w:rFonts w:ascii="Arial" w:hAnsi="Arial" w:cs="Arial"/>
        </w:rPr>
      </w:pPr>
      <w:r>
        <w:rPr>
          <w:rFonts w:ascii="Arial" w:hAnsi="Arial" w:cs="Arial"/>
        </w:rPr>
        <w:t xml:space="preserve">This study was approved by the Clinical Research Ethics Committee of the First Affiliated Hospital, Zhejiang University School of Medicine (No. </w:t>
      </w:r>
      <w:r>
        <w:rPr>
          <w:rFonts w:ascii="Arial" w:hAnsi="Arial" w:cs="Arial"/>
          <w:sz w:val="20"/>
          <w:szCs w:val="20"/>
        </w:rPr>
        <w:t>IIT20220456B–R1</w:t>
      </w:r>
      <w:r>
        <w:rPr>
          <w:rFonts w:ascii="Arial" w:hAnsi="Arial" w:cs="Arial"/>
        </w:rPr>
        <w:t>)</w:t>
      </w:r>
    </w:p>
    <w:p w14:paraId="2B70EB08">
      <w:pPr>
        <w:rPr>
          <w:rFonts w:ascii="Arial" w:hAnsi="Arial" w:cs="Arial"/>
        </w:rPr>
      </w:pPr>
      <w:r>
        <w:rPr>
          <w:rFonts w:ascii="Arial" w:hAnsi="Arial" w:cs="Arial"/>
        </w:rPr>
        <w:br w:type="page"/>
      </w:r>
    </w:p>
    <w:p w14:paraId="25F552A5">
      <w:pPr>
        <w:spacing w:line="360" w:lineRule="auto"/>
        <w:rPr>
          <w:rFonts w:ascii="Arial" w:hAnsi="Arial" w:cs="Arial"/>
          <w:sz w:val="20"/>
          <w:szCs w:val="22"/>
        </w:rPr>
      </w:pPr>
      <w:r>
        <w:rPr>
          <w:rFonts w:ascii="Arial" w:hAnsi="Arial" w:cs="Arial"/>
          <w:b/>
          <w:bCs/>
          <w:sz w:val="24"/>
        </w:rPr>
        <w:t>16S rRNA gene sequencing and analysis</w:t>
      </w:r>
    </w:p>
    <w:p w14:paraId="4F705B62">
      <w:pPr>
        <w:spacing w:line="360" w:lineRule="auto"/>
        <w:ind w:firstLine="420" w:firstLineChars="200"/>
        <w:rPr>
          <w:rFonts w:ascii="Arial" w:hAnsi="Arial" w:cs="Arial"/>
        </w:rPr>
      </w:pPr>
      <w:r>
        <w:rPr>
          <w:rFonts w:ascii="Arial" w:hAnsi="Arial" w:cs="Arial"/>
        </w:rPr>
        <w:t>Genomic DNA was extracted from the contents of the colon and assessed by 1% agarose gel electrophoresis. The V3–V4 hypervariable region of the bacterial 16S rRNA gene was amplified using barcoded primers 338F (5′-ACTCCTACGGGAGGCAGCAG-3′) and 806R (5′-GGACTACHVGGGTWTCTAAT-3′) under optimized PCR conditions with a low and consistent number of cycles across all samples. PCR amplification was performed using TransStart FastPfu DNA Polymerase (TransGen Biotech) on an ABI GeneAmp® 9700 thermocycler. Each sample was amplified in triplicate, pooled, and purified using a gel extraction kit. Amplicon concentrations were quantified by fluorescence-based methods, and equimolar amounts of PCR products were pooled for library preparation.</w:t>
      </w:r>
    </w:p>
    <w:p w14:paraId="246E9778">
      <w:pPr>
        <w:spacing w:line="360" w:lineRule="auto"/>
        <w:ind w:firstLine="420" w:firstLineChars="200"/>
        <w:rPr>
          <w:rFonts w:ascii="Arial" w:hAnsi="Arial" w:cs="Arial"/>
        </w:rPr>
      </w:pPr>
      <w:r>
        <w:rPr>
          <w:rFonts w:ascii="Arial" w:hAnsi="Arial" w:cs="Arial"/>
        </w:rPr>
        <w:t>Sequencing libraries were constructed using the TruSeq™ DNA Sample Prep Kit and subjected to paired-end sequencing on an Illumina NextSeq 2000 platform according to the manufacturer’s instructions.</w:t>
      </w:r>
    </w:p>
    <w:p w14:paraId="41B59A67">
      <w:pPr>
        <w:spacing w:line="360" w:lineRule="auto"/>
        <w:ind w:firstLine="420" w:firstLineChars="200"/>
        <w:rPr>
          <w:rFonts w:ascii="Arial" w:hAnsi="Arial" w:cs="Arial"/>
        </w:rPr>
      </w:pPr>
      <w:r>
        <w:rPr>
          <w:rFonts w:ascii="Arial" w:hAnsi="Arial" w:cs="Arial"/>
        </w:rPr>
        <w:t>Paired-end reads were demultiplexed, quality filtered, and merged based on overlapping regions. High-quality sequences were denoised using the DADA2 algorithm to generate amplicon sequence variants (ASVs) and their corresponding abundance profiles. Based on ASV data, downstream analyses including taxonomic assignment, microbial diversity analysis, and differential abundance analysis were performed.</w:t>
      </w:r>
    </w:p>
    <w:p w14:paraId="6EF14A04">
      <w:pPr>
        <w:spacing w:line="360" w:lineRule="auto"/>
        <w:ind w:firstLine="420" w:firstLineChars="200"/>
        <w:rPr>
          <w:rFonts w:ascii="Arial" w:hAnsi="Arial" w:cs="Arial"/>
        </w:rPr>
      </w:pPr>
      <w:r>
        <w:rPr>
          <w:rFonts w:ascii="Arial" w:hAnsi="Arial" w:cs="Arial"/>
        </w:rPr>
        <w:t>All data analyses were performed using the Majorbio/I-Sanger Cloud Platform (</w:t>
      </w:r>
      <w:r>
        <w:fldChar w:fldCharType="begin"/>
      </w:r>
      <w:r>
        <w:instrText xml:space="preserve"> HYPERLINK "https://cloud.majorbio.com" \t "_new" </w:instrText>
      </w:r>
      <w:r>
        <w:fldChar w:fldCharType="separate"/>
      </w:r>
      <w:r>
        <w:rPr>
          <w:rFonts w:ascii="Arial" w:hAnsi="Arial" w:cs="Arial"/>
        </w:rPr>
        <w:t>https://cloud.majorbio.com</w:t>
      </w:r>
      <w:r>
        <w:rPr>
          <w:rFonts w:ascii="Arial" w:hAnsi="Arial" w:cs="Arial"/>
        </w:rPr>
        <w:fldChar w:fldCharType="end"/>
      </w:r>
      <w:r>
        <w:rPr>
          <w:rFonts w:ascii="Arial" w:hAnsi="Arial" w:cs="Arial"/>
        </w:rPr>
        <w:t xml:space="preserve"> or </w:t>
      </w:r>
      <w:r>
        <w:fldChar w:fldCharType="begin"/>
      </w:r>
      <w:r>
        <w:instrText xml:space="preserve"> HYPERLINK "https://cloud.i-sanger.com" \t "_new" </w:instrText>
      </w:r>
      <w:r>
        <w:fldChar w:fldCharType="separate"/>
      </w:r>
      <w:r>
        <w:rPr>
          <w:rFonts w:ascii="Arial" w:hAnsi="Arial" w:cs="Arial"/>
        </w:rPr>
        <w:t>https://cloud.i-sanger.com</w:t>
      </w:r>
      <w:r>
        <w:rPr>
          <w:rFonts w:ascii="Arial" w:hAnsi="Arial" w:cs="Arial"/>
        </w:rPr>
        <w:fldChar w:fldCharType="end"/>
      </w:r>
      <w:r>
        <w:rPr>
          <w:rFonts w:ascii="Arial" w:hAnsi="Arial" w:cs="Arial"/>
        </w:rPr>
        <w:t>). Alpha diversity indices, including Sobs, Chao1, and Shannon indices, were calculated using the Mothur software, and differences in alpha diversity among groups were assessed using the Wilcoxon rank-sum test. Principal coordinate analysis (PCoA) based on Bray–Curtis dissimilarity was conducted to evaluate the similarity of microbial community structures among samples, and statistical significance of group differences was assessed using permutational multivariate analysis of variance (PERMANOVA). In addition, differential taxa from the phylum to genus levels were identified using linear discriminant analysis effect size (LEfSe) with an LDA score &gt; 3 and P &lt; 0.05.</w:t>
      </w:r>
    </w:p>
    <w:p w14:paraId="39B16B2C">
      <w:pPr>
        <w:spacing w:line="360" w:lineRule="auto"/>
        <w:rPr>
          <w:rFonts w:ascii="Arial" w:hAnsi="Arial" w:cs="Arial"/>
          <w:b/>
          <w:bCs/>
          <w:sz w:val="24"/>
        </w:rPr>
      </w:pPr>
      <w:r>
        <w:rPr>
          <w:rFonts w:ascii="Arial" w:hAnsi="Arial" w:cs="Arial"/>
          <w:b/>
          <w:bCs/>
          <w:sz w:val="24"/>
        </w:rPr>
        <w:t>Transcriptome sequencing and analysis</w:t>
      </w:r>
    </w:p>
    <w:p w14:paraId="66694A3A">
      <w:pPr>
        <w:spacing w:line="360" w:lineRule="auto"/>
        <w:ind w:firstLine="400" w:firstLineChars="200"/>
        <w:rPr>
          <w:rFonts w:ascii="Arial" w:hAnsi="Arial" w:cs="Arial"/>
          <w:sz w:val="20"/>
          <w:szCs w:val="20"/>
        </w:rPr>
      </w:pPr>
      <w:r>
        <w:rPr>
          <w:rFonts w:ascii="Arial" w:hAnsi="Arial" w:cs="Arial"/>
          <w:sz w:val="20"/>
          <w:szCs w:val="20"/>
        </w:rPr>
        <w:t>To profile the transcriptomic alterations in liver organoids across experimental groups, total RNA was extracted from harvested organoids and liver tissues using TRIzol reagent according to the manufacturer’s protocol. RNA purity and quantification were evaluated using the NanoDrop2000</w:t>
      </w:r>
      <w:r>
        <w:rPr>
          <w:rFonts w:hint="eastAsia" w:ascii="Arial" w:hAnsi="Arial" w:cs="Arial"/>
          <w:sz w:val="20"/>
          <w:szCs w:val="20"/>
        </w:rPr>
        <w:t xml:space="preserve"> </w:t>
      </w:r>
      <w:r>
        <w:rPr>
          <w:rFonts w:ascii="Arial" w:hAnsi="Arial" w:cs="Arial"/>
          <w:sz w:val="20"/>
          <w:szCs w:val="20"/>
        </w:rPr>
        <w:t xml:space="preserve">spectrophotometer (Thermo Scientific, USA). RNA integrity was </w:t>
      </w:r>
      <w:r>
        <w:rPr>
          <w:rFonts w:ascii="Arial" w:hAnsi="Arial" w:cs="Arial"/>
        </w:rPr>
        <w:t>assessed</w:t>
      </w:r>
      <w:r>
        <w:rPr>
          <w:rFonts w:ascii="Arial" w:hAnsi="Arial" w:cs="Arial"/>
          <w:sz w:val="20"/>
          <w:szCs w:val="20"/>
        </w:rPr>
        <w:t xml:space="preserve"> using the Agilent 2100 Bioanalyzer (Agilent Technologies, Santa Clara, CA, USA). Then the libraries were constructed</w:t>
      </w:r>
      <w:r>
        <w:rPr>
          <w:rFonts w:hint="eastAsia" w:ascii="Arial" w:hAnsi="Arial" w:cs="Arial"/>
          <w:sz w:val="20"/>
          <w:szCs w:val="20"/>
          <w:lang w:val="en-US" w:eastAsia="zh-CN"/>
        </w:rPr>
        <w:t xml:space="preserve"> </w:t>
      </w:r>
      <w:r>
        <w:rPr>
          <w:rFonts w:ascii="Arial" w:hAnsi="Arial" w:cs="Arial"/>
          <w:sz w:val="20"/>
          <w:szCs w:val="20"/>
        </w:rPr>
        <w:t>usingVAHTS Universal V10 RNA-seq Library Prep Kit (Premixed Version) according to the manufacturer’sinstructions. The transcriptome sequencing and analysis were conducted by OE BiotechCo., Ltd.(Sha</w:t>
      </w:r>
      <w:bookmarkStart w:id="2" w:name="_GoBack"/>
      <w:bookmarkEnd w:id="2"/>
      <w:r>
        <w:rPr>
          <w:rFonts w:ascii="Arial" w:hAnsi="Arial" w:cs="Arial"/>
          <w:sz w:val="20"/>
          <w:szCs w:val="20"/>
        </w:rPr>
        <w:t>nghai, China).</w:t>
      </w:r>
    </w:p>
    <w:p w14:paraId="70518BB4">
      <w:pPr>
        <w:spacing w:line="360" w:lineRule="auto"/>
        <w:ind w:firstLine="400" w:firstLineChars="200"/>
        <w:rPr>
          <w:rFonts w:ascii="Arial" w:hAnsi="Arial" w:cs="Arial"/>
          <w:sz w:val="20"/>
          <w:szCs w:val="20"/>
        </w:rPr>
      </w:pPr>
      <w:r>
        <w:rPr>
          <w:rFonts w:ascii="Arial" w:hAnsi="Arial" w:cs="Arial"/>
          <w:sz w:val="20"/>
          <w:szCs w:val="20"/>
        </w:rPr>
        <w:t>Differential expression analysis was performed using the DESeq2. Q value &lt; 0.05 and foldchange &gt; 2 or foldchange &lt; 0.5 was set as the threshold for significantly differential expression gene (DEGs). Based on the hypergeometric distribution, GO, KEGG pathway, Reactome, and WikiPathways enrichment analysis of DEGs were performed to identify the significantly enriched terms using R (v 3.2.0). Gene Set Enrichment Analysis (GSEA) software was used to perform GSEA. R (v 3.2.0) was used to draw the column diagram and bubble diagram of the significant enrichment term.</w:t>
      </w:r>
    </w:p>
    <w:p w14:paraId="0369632B">
      <w:pPr>
        <w:spacing w:line="360" w:lineRule="auto"/>
        <w:rPr>
          <w:rFonts w:ascii="Arial" w:hAnsi="Arial" w:cs="Arial"/>
          <w:b/>
          <w:bCs/>
          <w:sz w:val="24"/>
        </w:rPr>
      </w:pPr>
      <w:r>
        <w:rPr>
          <w:rFonts w:hint="eastAsia" w:ascii="Arial" w:hAnsi="Arial" w:cs="Arial"/>
          <w:b/>
          <w:bCs/>
          <w:sz w:val="24"/>
        </w:rPr>
        <w:t>Olink p</w:t>
      </w:r>
      <w:r>
        <w:rPr>
          <w:rFonts w:ascii="Arial" w:hAnsi="Arial" w:cs="Arial"/>
          <w:b/>
          <w:bCs/>
          <w:sz w:val="24"/>
        </w:rPr>
        <w:t xml:space="preserve">roteomic analysis </w:t>
      </w:r>
    </w:p>
    <w:p w14:paraId="7D0E15F3">
      <w:pPr>
        <w:spacing w:line="360" w:lineRule="auto"/>
        <w:rPr>
          <w:rFonts w:ascii="Arial" w:hAnsi="Arial" w:cs="Arial"/>
          <w:sz w:val="20"/>
          <w:szCs w:val="20"/>
        </w:rPr>
      </w:pPr>
      <w:r>
        <w:rPr>
          <w:rFonts w:ascii="Arial" w:hAnsi="Arial" w:cs="Arial"/>
          <w:sz w:val="20"/>
          <w:szCs w:val="20"/>
        </w:rPr>
        <w:t>Organoid supernatant was collected and subjected to proteomic analysis using the Olink® Explore HT (Olink Proteomics AB, Uppsala, Sweden) according to the manufacturer's instructions. The technology behind the Olink protocol is based on Proximity Extension Assay (PEA)</w:t>
      </w:r>
      <w:r>
        <w:rPr>
          <w:rFonts w:ascii="Arial" w:hAnsi="Arial" w:cs="Arial"/>
          <w:sz w:val="20"/>
          <w:szCs w:val="20"/>
        </w:rPr>
        <w:fldChar w:fldCharType="begin">
          <w:fldData xml:space="preserve">PEVuZE5vdGU+PENpdGU+PEF1dGhvcj5Bc3NhcnNzb248L0F1dGhvcj48WWVhcj4yMDE0PC9ZZWFy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</w:fldData>
        </w:fldChar>
      </w:r>
      <w:r>
        <w:rPr>
          <w:rFonts w:ascii="Arial" w:hAnsi="Arial" w:cs="Arial"/>
          <w:sz w:val="20"/>
          <w:szCs w:val="20"/>
        </w:rPr>
        <w:instrText xml:space="preserve"> ADDIN EN.CITE </w:instrText>
      </w:r>
      <w:r>
        <w:rPr>
          <w:rFonts w:ascii="Arial" w:hAnsi="Arial" w:cs="Arial"/>
          <w:sz w:val="20"/>
          <w:szCs w:val="20"/>
        </w:rPr>
        <w:fldChar w:fldCharType="begin">
          <w:fldData xml:space="preserve">PEVuZE5vdGU+PENpdGU+PEF1dGhvcj5Bc3NhcnNzb248L0F1dGhvcj48WWVhcj4yMDE0PC9ZZWFy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</w:fldData>
        </w:fldChar>
      </w:r>
      <w:r>
        <w:rPr>
          <w:rFonts w:ascii="Arial" w:hAnsi="Arial" w:cs="Arial"/>
          <w:sz w:val="20"/>
          <w:szCs w:val="20"/>
        </w:rPr>
        <w:instrText xml:space="preserve"> ADDIN EN.CITE.DATA </w:instrText>
      </w:r>
      <w:r>
        <w:rPr>
          <w:rFonts w:ascii="Arial" w:hAnsi="Arial" w:cs="Arial"/>
          <w:sz w:val="20"/>
          <w:szCs w:val="20"/>
        </w:rPr>
        <w:fldChar w:fldCharType="end"/>
      </w:r>
      <w:r>
        <w:rPr>
          <w:rFonts w:ascii="Arial" w:hAnsi="Arial" w:cs="Arial"/>
          <w:sz w:val="20"/>
          <w:szCs w:val="20"/>
        </w:rPr>
        <w:fldChar w:fldCharType="separate"/>
      </w:r>
      <w:r>
        <w:rPr>
          <w:rFonts w:ascii="Arial" w:hAnsi="Arial" w:cs="Arial"/>
          <w:sz w:val="20"/>
          <w:szCs w:val="20"/>
        </w:rPr>
        <w:t>(Assarsson et al., 2014)</w:t>
      </w:r>
      <w:r>
        <w:rPr>
          <w:rFonts w:ascii="Arial" w:hAnsi="Arial" w:cs="Arial"/>
          <w:sz w:val="20"/>
          <w:szCs w:val="20"/>
        </w:rPr>
        <w:fldChar w:fldCharType="end"/>
      </w:r>
      <w:r>
        <w:rPr>
          <w:rFonts w:hint="eastAsia" w:ascii="Arial" w:hAnsi="Arial" w:cs="Arial"/>
          <w:sz w:val="20"/>
          <w:szCs w:val="20"/>
        </w:rPr>
        <w:t>,</w:t>
      </w:r>
      <w:r>
        <w:rPr>
          <w:rFonts w:ascii="Arial" w:hAnsi="Arial" w:cs="Arial"/>
          <w:sz w:val="20"/>
          <w:szCs w:val="20"/>
        </w:rPr>
        <w:t xml:space="preserve"> coupled with readout via next- generation sequencing (NGS). The assay enables the detection of up to 5416 proteins in 172 samples simultaneously, using only 2 µL of serum/plasma sample. In brief, pairs of oligonucleotide-labeled antibody probes designed for each protein bind to their target, bringing the complementary oligonucleotides in close proximity and allowing for their hybridization. The addition of a DNA polymerase leads to the extension of the hybridized oligonucleotides, generating a unique protein identification “barcode”. Next, library preparation adds sample identification indexes and the required nucleotides for Illumina sequencing. Prior to sequencing using the Illumina® NovaSeq™ 6000, libraries go through a bead-based purification step and the quality is assessed using the LabChip GX Touch (Revvity Health Sciences, Inc., Waltham, MA). The raw output data is quality controlled, normalized and converted into NPX®, Olink’s proprietary unit of relative abundance. Data normalization is performed using an internal extension control and an external plate control to adjust for intra- and inter-run variation. All assay validation data (analytical range, intra-plate and inter-plate assay precision data etc.) are available on manufacturer's website (</w:t>
      </w:r>
      <w:r>
        <w:fldChar w:fldCharType="begin"/>
      </w:r>
      <w:r>
        <w:instrText xml:space="preserve"> HYPERLINK "http://www.olink.com" </w:instrText>
      </w:r>
      <w:r>
        <w:fldChar w:fldCharType="separate"/>
      </w:r>
      <w:r>
        <w:rPr>
          <w:rStyle w:val="11"/>
          <w:rFonts w:ascii="Arial" w:hAnsi="Arial" w:cs="Arial"/>
          <w:sz w:val="20"/>
          <w:szCs w:val="20"/>
        </w:rPr>
        <w:t>www.olink.com</w:t>
      </w:r>
      <w:r>
        <w:rPr>
          <w:rStyle w:val="11"/>
          <w:rFonts w:ascii="Arial" w:hAnsi="Arial" w:cs="Arial"/>
          <w:sz w:val="20"/>
          <w:szCs w:val="20"/>
        </w:rPr>
        <w:fldChar w:fldCharType="end"/>
      </w:r>
      <w:r>
        <w:rPr>
          <w:rFonts w:ascii="Arial" w:hAnsi="Arial" w:cs="Arial"/>
          <w:sz w:val="20"/>
          <w:szCs w:val="20"/>
        </w:rPr>
        <w:t>).</w:t>
      </w:r>
    </w:p>
    <w:p w14:paraId="25CD10E1">
      <w:pPr>
        <w:spacing w:line="360" w:lineRule="auto"/>
        <w:rPr>
          <w:rFonts w:ascii="Arial" w:hAnsi="Arial" w:cs="Arial"/>
        </w:rPr>
      </w:pPr>
    </w:p>
    <w:p w14:paraId="6670E76E">
      <w:pPr>
        <w:spacing w:line="360" w:lineRule="auto"/>
        <w:rPr>
          <w:rFonts w:hint="eastAsia" w:ascii="Arial" w:hAnsi="Arial" w:cs="Arial"/>
          <w:b/>
          <w:bCs/>
        </w:rPr>
      </w:pPr>
      <w:r>
        <w:rPr>
          <w:rFonts w:ascii="Arial" w:hAnsi="Arial" w:cs="Arial"/>
          <w:b/>
          <w:bCs/>
        </w:rPr>
        <w:t>Reference</w:t>
      </w:r>
      <w:r>
        <w:rPr>
          <w:rFonts w:hint="eastAsia" w:ascii="Arial" w:hAnsi="Arial" w:cs="Arial"/>
          <w:b/>
          <w:bCs/>
        </w:rPr>
        <w:t>s</w:t>
      </w:r>
    </w:p>
    <w:p w14:paraId="07E9A114">
      <w:pPr>
        <w:pStyle w:val="26"/>
        <w:ind w:left="720" w:hanging="720"/>
      </w:pPr>
      <w:r>
        <w:rPr>
          <w:rFonts w:ascii="Arial" w:hAnsi="Arial" w:cs="Arial"/>
        </w:rPr>
        <w:fldChar w:fldCharType="begin"/>
      </w:r>
      <w:r>
        <w:rPr>
          <w:rFonts w:ascii="Arial" w:hAnsi="Arial" w:cs="Arial"/>
        </w:rPr>
        <w:instrText xml:space="preserve"> ADDIN EN.REFLIST </w:instrText>
      </w:r>
      <w:r>
        <w:rPr>
          <w:rFonts w:ascii="Arial" w:hAnsi="Arial" w:cs="Arial"/>
        </w:rPr>
        <w:fldChar w:fldCharType="separate"/>
      </w:r>
      <w:r>
        <w:t xml:space="preserve">ASSARSSON, E., LUNDBERG, M., HOLMQUIST, G., BJöRKESTEN, J., THORSEN, S. B., EKMAN, D., ERIKSSON, A., RENNEL DICKENS, E., OHLSSON, S., EDFELDT, G., ANDERSSON, A.-C., LINDSTEDT, P., STENVANG, J., GULLBERG, M. &amp; FREDRIKSSON, S. 2014. Homogenous 96-plex PEA immunoassay exhibiting high sensitivity, specificity, and excellent scalability. </w:t>
      </w:r>
      <w:r>
        <w:rPr>
          <w:i/>
        </w:rPr>
        <w:t>PloS One,</w:t>
      </w:r>
      <w:r>
        <w:t xml:space="preserve"> 9</w:t>
      </w:r>
      <w:r>
        <w:rPr>
          <w:b/>
        </w:rPr>
        <w:t>,</w:t>
      </w:r>
      <w:r>
        <w:t xml:space="preserve"> e95192.</w:t>
      </w:r>
    </w:p>
    <w:p w14:paraId="206D075C">
      <w:pPr>
        <w:spacing w:line="360" w:lineRule="auto"/>
        <w:rPr>
          <w:rFonts w:ascii="Arial" w:hAnsi="Arial" w:cs="Arial"/>
        </w:rPr>
      </w:pPr>
      <w:r>
        <w:rPr>
          <w:rFonts w:ascii="Arial" w:hAnsi="Arial" w:cs="Arial"/>
        </w:rP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299v0asqvxfaje9e9sv2asp5waxfvwa0fpx&quot;&gt;My EndNote Library3&lt;record-ids&gt;&lt;item&gt;263&lt;/item&gt;&lt;/record-ids&gt;&lt;/item&gt;&lt;/Libraries&gt;"/>
  </w:docVars>
  <w:rsids>
    <w:rsidRoot w:val="26F81091"/>
    <w:rsid w:val="000D3F48"/>
    <w:rsid w:val="00110A39"/>
    <w:rsid w:val="001D44DC"/>
    <w:rsid w:val="00272B41"/>
    <w:rsid w:val="002E1B70"/>
    <w:rsid w:val="00360B20"/>
    <w:rsid w:val="0040127C"/>
    <w:rsid w:val="00585B79"/>
    <w:rsid w:val="005A677F"/>
    <w:rsid w:val="005E537F"/>
    <w:rsid w:val="00741EFC"/>
    <w:rsid w:val="007B247D"/>
    <w:rsid w:val="00804521"/>
    <w:rsid w:val="00877257"/>
    <w:rsid w:val="00AB45AA"/>
    <w:rsid w:val="00BF2C9C"/>
    <w:rsid w:val="00CE151C"/>
    <w:rsid w:val="00D475C0"/>
    <w:rsid w:val="00E303AA"/>
    <w:rsid w:val="00EF06F7"/>
    <w:rsid w:val="00FB1AD6"/>
    <w:rsid w:val="056D2D63"/>
    <w:rsid w:val="08836BD0"/>
    <w:rsid w:val="09A11A04"/>
    <w:rsid w:val="0B2E72C7"/>
    <w:rsid w:val="0EFF4972"/>
    <w:rsid w:val="1001593A"/>
    <w:rsid w:val="120C332E"/>
    <w:rsid w:val="12E60768"/>
    <w:rsid w:val="13D82FF3"/>
    <w:rsid w:val="150F1870"/>
    <w:rsid w:val="17AA4282"/>
    <w:rsid w:val="1B617245"/>
    <w:rsid w:val="1D976F4E"/>
    <w:rsid w:val="23C37568"/>
    <w:rsid w:val="253A4F3F"/>
    <w:rsid w:val="26F81091"/>
    <w:rsid w:val="29CA2543"/>
    <w:rsid w:val="2B20244F"/>
    <w:rsid w:val="30E9044D"/>
    <w:rsid w:val="313727E6"/>
    <w:rsid w:val="33B20FDF"/>
    <w:rsid w:val="344A6373"/>
    <w:rsid w:val="358160C2"/>
    <w:rsid w:val="39273095"/>
    <w:rsid w:val="3EB70148"/>
    <w:rsid w:val="448B4867"/>
    <w:rsid w:val="48EC3F61"/>
    <w:rsid w:val="4A5B734D"/>
    <w:rsid w:val="4AAD1993"/>
    <w:rsid w:val="4B02784D"/>
    <w:rsid w:val="4B496BEC"/>
    <w:rsid w:val="4C265224"/>
    <w:rsid w:val="53640EA1"/>
    <w:rsid w:val="56FE711B"/>
    <w:rsid w:val="59F442F9"/>
    <w:rsid w:val="5AE82859"/>
    <w:rsid w:val="5B2A570D"/>
    <w:rsid w:val="5B7B3430"/>
    <w:rsid w:val="5BC12C42"/>
    <w:rsid w:val="5D2F5274"/>
    <w:rsid w:val="5D313D6E"/>
    <w:rsid w:val="5E4B7FE9"/>
    <w:rsid w:val="5E9D38C8"/>
    <w:rsid w:val="625B3673"/>
    <w:rsid w:val="63862E8C"/>
    <w:rsid w:val="640E4BCA"/>
    <w:rsid w:val="681F5B58"/>
    <w:rsid w:val="682B117C"/>
    <w:rsid w:val="691D5B26"/>
    <w:rsid w:val="699467D9"/>
    <w:rsid w:val="699C2075"/>
    <w:rsid w:val="6B7649B8"/>
    <w:rsid w:val="6E8145F2"/>
    <w:rsid w:val="6EC1221F"/>
    <w:rsid w:val="70C32DDC"/>
    <w:rsid w:val="7124318C"/>
    <w:rsid w:val="72030517"/>
    <w:rsid w:val="73507302"/>
    <w:rsid w:val="747A1FA3"/>
    <w:rsid w:val="7780478B"/>
    <w:rsid w:val="78793FC0"/>
    <w:rsid w:val="79971EE8"/>
    <w:rsid w:val="7B5F1947"/>
    <w:rsid w:val="7FF52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23"/>
    <w:qFormat/>
    <w:uiPriority w:val="0"/>
    <w:pPr>
      <w:tabs>
        <w:tab w:val="center" w:pos="4153"/>
        <w:tab w:val="right" w:pos="8306"/>
      </w:tabs>
      <w:snapToGrid w:val="0"/>
      <w:jc w:val="left"/>
    </w:pPr>
    <w:rPr>
      <w:sz w:val="18"/>
      <w:szCs w:val="18"/>
    </w:rPr>
  </w:style>
  <w:style w:type="paragraph" w:styleId="5">
    <w:name w:val="header"/>
    <w:basedOn w:val="1"/>
    <w:link w:val="22"/>
    <w:qFormat/>
    <w:uiPriority w:val="0"/>
    <w:pP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character" w:styleId="9">
    <w:name w:val="Strong"/>
    <w:basedOn w:val="8"/>
    <w:qFormat/>
    <w:uiPriority w:val="0"/>
    <w:rPr>
      <w:b/>
    </w:rPr>
  </w:style>
  <w:style w:type="character" w:styleId="10">
    <w:name w:val="Emphasis"/>
    <w:basedOn w:val="8"/>
    <w:qFormat/>
    <w:uiPriority w:val="0"/>
    <w:rPr>
      <w:i/>
    </w:rPr>
  </w:style>
  <w:style w:type="character" w:styleId="11">
    <w:name w:val="Hyperlink"/>
    <w:basedOn w:val="8"/>
    <w:qFormat/>
    <w:uiPriority w:val="0"/>
    <w:rPr>
      <w:color w:val="0000FF"/>
      <w:u w:val="single"/>
    </w:rPr>
  </w:style>
  <w:style w:type="character" w:customStyle="1" w:styleId="12">
    <w:name w:val="font71"/>
    <w:basedOn w:val="8"/>
    <w:qFormat/>
    <w:uiPriority w:val="0"/>
    <w:rPr>
      <w:rFonts w:hint="eastAsia" w:ascii="宋体" w:hAnsi="宋体" w:eastAsia="宋体" w:cs="宋体"/>
      <w:color w:val="FF0000"/>
      <w:sz w:val="22"/>
      <w:szCs w:val="22"/>
      <w:u w:val="none"/>
    </w:rPr>
  </w:style>
  <w:style w:type="character" w:customStyle="1" w:styleId="13">
    <w:name w:val="font81"/>
    <w:basedOn w:val="8"/>
    <w:qFormat/>
    <w:uiPriority w:val="0"/>
    <w:rPr>
      <w:rFonts w:hint="default" w:ascii="Arial" w:hAnsi="Arial" w:cs="Arial"/>
      <w:color w:val="331515"/>
      <w:sz w:val="18"/>
      <w:szCs w:val="18"/>
      <w:u w:val="none"/>
    </w:rPr>
  </w:style>
  <w:style w:type="character" w:customStyle="1" w:styleId="14">
    <w:name w:val="font91"/>
    <w:basedOn w:val="8"/>
    <w:qFormat/>
    <w:uiPriority w:val="0"/>
    <w:rPr>
      <w:rFonts w:hint="eastAsia" w:ascii="宋体" w:hAnsi="宋体" w:eastAsia="宋体" w:cs="宋体"/>
      <w:color w:val="FF0000"/>
      <w:sz w:val="21"/>
      <w:szCs w:val="21"/>
      <w:u w:val="none"/>
    </w:rPr>
  </w:style>
  <w:style w:type="character" w:customStyle="1" w:styleId="15">
    <w:name w:val="font101"/>
    <w:basedOn w:val="8"/>
    <w:qFormat/>
    <w:uiPriority w:val="0"/>
    <w:rPr>
      <w:rFonts w:hint="default" w:ascii="Arial" w:hAnsi="Arial" w:cs="Arial"/>
      <w:color w:val="333333"/>
      <w:sz w:val="19"/>
      <w:szCs w:val="19"/>
      <w:u w:val="none"/>
    </w:rPr>
  </w:style>
  <w:style w:type="character" w:customStyle="1" w:styleId="16">
    <w:name w:val="font01"/>
    <w:basedOn w:val="8"/>
    <w:qFormat/>
    <w:uiPriority w:val="0"/>
    <w:rPr>
      <w:rFonts w:hint="eastAsia" w:ascii="宋体" w:hAnsi="宋体" w:eastAsia="宋体" w:cs="宋体"/>
      <w:color w:val="000000"/>
      <w:sz w:val="22"/>
      <w:szCs w:val="22"/>
      <w:u w:val="none"/>
    </w:rPr>
  </w:style>
  <w:style w:type="character" w:customStyle="1" w:styleId="17">
    <w:name w:val="font122"/>
    <w:basedOn w:val="8"/>
    <w:qFormat/>
    <w:uiPriority w:val="0"/>
    <w:rPr>
      <w:rFonts w:hint="eastAsia" w:ascii="宋体" w:hAnsi="宋体" w:eastAsia="宋体" w:cs="宋体"/>
      <w:b/>
      <w:bCs/>
      <w:color w:val="000000"/>
      <w:sz w:val="20"/>
      <w:szCs w:val="20"/>
      <w:u w:val="none"/>
    </w:rPr>
  </w:style>
  <w:style w:type="character" w:customStyle="1" w:styleId="18">
    <w:name w:val="font121"/>
    <w:basedOn w:val="8"/>
    <w:qFormat/>
    <w:uiPriority w:val="0"/>
    <w:rPr>
      <w:rFonts w:hint="eastAsia" w:ascii="宋体" w:hAnsi="宋体" w:eastAsia="宋体" w:cs="宋体"/>
      <w:b/>
      <w:bCs/>
      <w:color w:val="000000"/>
      <w:sz w:val="20"/>
      <w:szCs w:val="20"/>
      <w:u w:val="none"/>
    </w:rPr>
  </w:style>
  <w:style w:type="character" w:customStyle="1" w:styleId="19">
    <w:name w:val="font11"/>
    <w:basedOn w:val="8"/>
    <w:qFormat/>
    <w:uiPriority w:val="0"/>
    <w:rPr>
      <w:rFonts w:hint="default" w:ascii="Times New Roman" w:hAnsi="Times New Roman" w:cs="Times New Roman"/>
      <w:b/>
      <w:bCs/>
      <w:color w:val="000000"/>
      <w:sz w:val="20"/>
      <w:szCs w:val="20"/>
      <w:u w:val="none"/>
    </w:rPr>
  </w:style>
  <w:style w:type="character" w:customStyle="1" w:styleId="20">
    <w:name w:val="font21"/>
    <w:basedOn w:val="8"/>
    <w:qFormat/>
    <w:uiPriority w:val="0"/>
    <w:rPr>
      <w:rFonts w:hint="default" w:ascii="Times New Roman" w:hAnsi="Times New Roman" w:cs="Times New Roman"/>
      <w:color w:val="000000"/>
      <w:sz w:val="20"/>
      <w:szCs w:val="20"/>
      <w:u w:val="none"/>
    </w:rPr>
  </w:style>
  <w:style w:type="character" w:customStyle="1" w:styleId="21">
    <w:name w:val="font31"/>
    <w:basedOn w:val="8"/>
    <w:qFormat/>
    <w:uiPriority w:val="0"/>
    <w:rPr>
      <w:rFonts w:ascii="等线" w:hAnsi="等线" w:eastAsia="等线" w:cs="等线"/>
      <w:color w:val="000000"/>
      <w:sz w:val="21"/>
      <w:szCs w:val="21"/>
      <w:u w:val="none"/>
    </w:rPr>
  </w:style>
  <w:style w:type="character" w:customStyle="1" w:styleId="22">
    <w:name w:val="页眉 字符"/>
    <w:basedOn w:val="8"/>
    <w:link w:val="5"/>
    <w:qFormat/>
    <w:uiPriority w:val="0"/>
    <w:rPr>
      <w:rFonts w:asciiTheme="minorHAnsi" w:hAnsiTheme="minorHAnsi" w:eastAsiaTheme="minorEastAsia" w:cstheme="minorBidi"/>
      <w:kern w:val="2"/>
      <w:sz w:val="18"/>
      <w:szCs w:val="18"/>
    </w:rPr>
  </w:style>
  <w:style w:type="character" w:customStyle="1" w:styleId="23">
    <w:name w:val="页脚 字符"/>
    <w:basedOn w:val="8"/>
    <w:link w:val="4"/>
    <w:qFormat/>
    <w:uiPriority w:val="0"/>
    <w:rPr>
      <w:rFonts w:asciiTheme="minorHAnsi" w:hAnsiTheme="minorHAnsi" w:eastAsiaTheme="minorEastAsia" w:cstheme="minorBidi"/>
      <w:kern w:val="2"/>
      <w:sz w:val="18"/>
      <w:szCs w:val="18"/>
    </w:rPr>
  </w:style>
  <w:style w:type="paragraph" w:customStyle="1" w:styleId="24">
    <w:name w:val="EndNote Bibliography Title"/>
    <w:basedOn w:val="1"/>
    <w:link w:val="25"/>
    <w:qFormat/>
    <w:uiPriority w:val="0"/>
    <w:pPr>
      <w:jc w:val="center"/>
    </w:pPr>
    <w:rPr>
      <w:rFonts w:ascii="Calibri" w:hAnsi="Calibri" w:cs="Calibri"/>
      <w:sz w:val="20"/>
    </w:rPr>
  </w:style>
  <w:style w:type="character" w:customStyle="1" w:styleId="25">
    <w:name w:val="EndNote Bibliography Title 字符"/>
    <w:basedOn w:val="8"/>
    <w:link w:val="24"/>
    <w:qFormat/>
    <w:uiPriority w:val="0"/>
    <w:rPr>
      <w:rFonts w:ascii="Calibri" w:hAnsi="Calibri" w:cs="Calibri" w:eastAsiaTheme="minorEastAsia"/>
      <w:kern w:val="2"/>
      <w:szCs w:val="24"/>
    </w:rPr>
  </w:style>
  <w:style w:type="paragraph" w:customStyle="1" w:styleId="26">
    <w:name w:val="EndNote Bibliography"/>
    <w:basedOn w:val="1"/>
    <w:link w:val="27"/>
    <w:qFormat/>
    <w:uiPriority w:val="0"/>
    <w:rPr>
      <w:rFonts w:ascii="Calibri" w:hAnsi="Calibri" w:cs="Calibri"/>
      <w:sz w:val="20"/>
    </w:rPr>
  </w:style>
  <w:style w:type="character" w:customStyle="1" w:styleId="27">
    <w:name w:val="EndNote Bibliography 字符"/>
    <w:basedOn w:val="8"/>
    <w:link w:val="26"/>
    <w:qFormat/>
    <w:uiPriority w:val="0"/>
    <w:rPr>
      <w:rFonts w:ascii="Calibri" w:hAnsi="Calibri" w:cs="Calibri" w:eastAsiaTheme="minorEastAsia"/>
      <w:kern w:val="2"/>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477</Words>
  <Characters>3041</Characters>
  <Lines>508</Lines>
  <Paragraphs>347</Paragraphs>
  <TotalTime>17</TotalTime>
  <ScaleCrop>false</ScaleCrop>
  <LinksUpToDate>false</LinksUpToDate>
  <CharactersWithSpaces>3344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2026-01-03T09:10:00Z</dcterms:created>
  <dc:creator>赵雨曦</dc:creator>
  <cp:lastModifiedBy>赵雨曦</cp:lastModifiedBy>
  <dcterms:modified xsi:type="dcterms:W3CDTF">2026-01-27T07:42:33Z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FBE3B2472955437D8AD8A0BAC9F689F0_11</vt:lpwstr>
  </property>
  <property fmtid="{D5CDD505-2E9C-101B-9397-08002B2CF9AE}" pid="4" name="KSOTemplateDocerSaveRecord">
    <vt:lpwstr>eyJoZGlkIjoiMTJiNjYwMTIzM2FhMTdlMjY0NjNmOThhYjFjYThkNjkiLCJ1c2VySWQiOiIxNjQ4NjgzMTUxIn0=</vt:lpwstr>
  </property>
</Properties>
</file>