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9E0B1" w14:textId="340F184C" w:rsidR="00FB3F9E" w:rsidRPr="00A37507" w:rsidRDefault="00286A53">
      <w:pPr>
        <w:rPr>
          <w:b/>
          <w:bCs/>
          <w:lang w:val="en-GB"/>
        </w:rPr>
      </w:pPr>
      <w:r w:rsidRPr="00A37507">
        <w:rPr>
          <w:b/>
          <w:bCs/>
          <w:lang w:val="en-GB"/>
        </w:rPr>
        <w:t>Supplementary material</w:t>
      </w:r>
      <w:r w:rsidR="006470E2" w:rsidRPr="00A37507">
        <w:rPr>
          <w:b/>
          <w:bCs/>
          <w:lang w:val="en-GB"/>
        </w:rPr>
        <w:t xml:space="preserve"> – </w:t>
      </w:r>
      <w:r w:rsidR="001B5034">
        <w:rPr>
          <w:b/>
          <w:bCs/>
          <w:lang w:val="en-GB"/>
        </w:rPr>
        <w:t>Lyon</w:t>
      </w:r>
      <w:r w:rsidR="001B5034" w:rsidRPr="00A37507">
        <w:rPr>
          <w:b/>
          <w:bCs/>
          <w:lang w:val="en-GB"/>
        </w:rPr>
        <w:t xml:space="preserve"> </w:t>
      </w:r>
      <w:r w:rsidR="006470E2" w:rsidRPr="00A37507">
        <w:rPr>
          <w:b/>
          <w:bCs/>
          <w:lang w:val="en-GB"/>
        </w:rPr>
        <w:t xml:space="preserve">finite element model </w:t>
      </w:r>
    </w:p>
    <w:p w14:paraId="14407909" w14:textId="25D1D387" w:rsidR="006470E2" w:rsidRDefault="006470E2" w:rsidP="00286A53">
      <w:pPr>
        <w:pStyle w:val="Paragraphedeliste"/>
        <w:numPr>
          <w:ilvl w:val="0"/>
          <w:numId w:val="1"/>
        </w:numPr>
        <w:rPr>
          <w:u w:val="single"/>
          <w:lang w:val="en-GB"/>
        </w:rPr>
      </w:pPr>
      <w:r>
        <w:rPr>
          <w:u w:val="single"/>
          <w:lang w:val="en-GB"/>
        </w:rPr>
        <w:t>Methods</w:t>
      </w:r>
    </w:p>
    <w:p w14:paraId="6DBB2048" w14:textId="456379B2" w:rsidR="00286A53" w:rsidRPr="000F31C6" w:rsidRDefault="00B220B5" w:rsidP="006470E2">
      <w:pPr>
        <w:pStyle w:val="Paragraphedeliste"/>
        <w:numPr>
          <w:ilvl w:val="1"/>
          <w:numId w:val="1"/>
        </w:numPr>
        <w:rPr>
          <w:u w:val="single"/>
          <w:lang w:val="en-GB"/>
        </w:rPr>
      </w:pPr>
      <w:r w:rsidRPr="000F31C6">
        <w:rPr>
          <w:u w:val="single"/>
          <w:lang w:val="en-GB"/>
        </w:rPr>
        <w:t>QCT scanning and mechanical testing</w:t>
      </w:r>
    </w:p>
    <w:p w14:paraId="174CD389" w14:textId="42422418" w:rsidR="00286A53" w:rsidRDefault="00286A53" w:rsidP="00B220B5">
      <w:pPr>
        <w:jc w:val="both"/>
        <w:rPr>
          <w:lang w:val="en-GB"/>
        </w:rPr>
      </w:pPr>
      <w:r>
        <w:rPr>
          <w:lang w:val="en-GB"/>
        </w:rPr>
        <w:t xml:space="preserve">The dataset of </w:t>
      </w:r>
      <w:r w:rsidRPr="00286A53">
        <w:rPr>
          <w:lang w:val="en-GB"/>
        </w:rPr>
        <w:t>fresh frozen</w:t>
      </w:r>
      <w:r>
        <w:rPr>
          <w:lang w:val="en-GB"/>
        </w:rPr>
        <w:t xml:space="preserve"> human femurs used in this study was described in </w:t>
      </w:r>
      <w:r>
        <w:rPr>
          <w:lang w:val="en-GB"/>
        </w:rPr>
        <w:fldChar w:fldCharType="begin"/>
      </w:r>
      <w:r>
        <w:rPr>
          <w:lang w:val="en-GB"/>
        </w:rPr>
        <w:instrText xml:space="preserve"> ADDIN ZOTERO_ITEM CSL_CITATION {"citationID":"007hJvGb","properties":{"formattedCitation":"(Gardegaront et al. 2024)","plainCitation":"(Gardegaront et al. 2024)","noteIndex":0},"citationItems":[{"id":868,"uris":["http://zotero.org/users/local/wlG95xIX/items/J944MYIQ"],"itemData":{"id":868,"type":"article-journal","abstract":"Introduction\nMetastases increase the risk of fracture when affecting the femur. Consequently, clinicians need to know if the patient's femur can withstand the stress of daily activities. The current tools used in clinics are not sufficiently precise. A new method, the CT-scan-based finite element analysis, gives good predictive results. However, none of the existing models were tested for reproducibility. This is a critical issue to address in order to apply the technique on a large cohort around the world to help evaluate bone metastatic fracture risk in patients. The aim of this study is then to evaluate 1) the reproducibility 2) the transposition of the reproduced model to another dataset and 3) the global sensitivity of one of the most promising models of the literature (original model).\nMethods\nThe model was reproduced based on the paper describing it and discussion with authors to avoid reproduction errors. The reproducibility was evaluated by comparing the results given in the original model by the original first team (Leuven, Belgium) and the reproduced model made by another team (Lyon, France) on the same dataset of CT-scans of ex vivo femurs. The transposition of the model was evaluated by comparing the results of the reproduced model on two different datasets. The global sensitivity analysis was done by using the Morris method and evaluates the influence of the density calibration coefficient, the segmentation, the orientations and the length of the femur.\nResults\nThe original and reproduced models are highly correlated (r2 = 0.95), even though the reproduced model gives systematically higher failure loads. When using the reproduced model on another dataset, predictions are less accurate (r2 with the experimental failure load decreases, errors increase). The global sensitivity analysis showed high influence of the density calibration coefficient (mean variation of failure load of 84 %) and non-negligible influence of the segmentation, orientation and length of the femur (mean variation of failure load between 7 and 10 %).\nConclusion\nThis study showed that, although being validated, the reproduced model underperformed when using another dataset. The difference in performance depending on the dataset is commonly the cause of overfitting when creating the model. However, the dataset used in the original paper (Sas et al., 2020a) and the Leuven's dataset gave similar performance, which indicates a lesser probability for the overfitting cause. Also, the model is highly sensitive to density parameters and automation of measurement may minimize the uncertainty on failure load. An uncertainty propagation analysis would give the actual precision of such model and improve our understanding of its behavior and is part of future work.","container-title":"Journal of the Mechanical Behavior of Biomedical Materials","DOI":"10.1016/j.jmbbm.2024.106676","ISSN":"1751-6161","journalAbbreviation":"Journal of the Mechanical Behavior of Biomedical Materials","page":"106676","title":"Inter-laboratory reproduction and sensitivity study of a finite element model to quantify human femur failure load: Case of metastases","volume":"158","author":[{"family":"Gardegaront","given":"Marc"},{"family":"Sas","given":"Amelie"},{"family":"Brizard","given":"Denis"},{"family":"Levillain","given":"Aurélie"},{"family":"Bermond","given":"François"},{"family":"Confavreux","given":"Cyrille B."},{"family":"Pialat","given":"Jean-Baptiste"},{"family":"Lenthe","given":"G. Harry","non-dropping-particle":"van"},{"family":"Follet","given":"Hélène"},{"family":"Mitton","given":"David"}],"issued":{"date-parts":[["2024",10,1]]}}}],"schema":"https://github.com/citation-style-language/schema/raw/master/csl-citation.json"} </w:instrText>
      </w:r>
      <w:r>
        <w:rPr>
          <w:lang w:val="en-GB"/>
        </w:rPr>
        <w:fldChar w:fldCharType="separate"/>
      </w:r>
      <w:r w:rsidRPr="00286A53">
        <w:rPr>
          <w:rFonts w:ascii="Calibri" w:hAnsi="Calibri" w:cs="Calibri"/>
          <w:lang w:val="en-GB"/>
        </w:rPr>
        <w:t>(Gardegaront et al. 2024)</w:t>
      </w:r>
      <w:r>
        <w:rPr>
          <w:lang w:val="en-GB"/>
        </w:rPr>
        <w:fldChar w:fldCharType="end"/>
      </w:r>
      <w:r>
        <w:rPr>
          <w:lang w:val="en-GB"/>
        </w:rPr>
        <w:t xml:space="preserve">. Briefly, this dataset consisted of 16 intact femurs and 6 femurs (3 pairs) with drilled defects located in the femoral shaft, </w:t>
      </w:r>
      <w:r w:rsidR="00B220B5">
        <w:rPr>
          <w:lang w:val="en-GB"/>
        </w:rPr>
        <w:t>lower part</w:t>
      </w:r>
      <w:r w:rsidR="00D434FD" w:rsidRPr="00D434FD">
        <w:rPr>
          <w:lang w:val="en-GB"/>
        </w:rPr>
        <w:t xml:space="preserve"> or </w:t>
      </w:r>
      <w:r w:rsidR="00B220B5">
        <w:rPr>
          <w:lang w:val="en-GB"/>
        </w:rPr>
        <w:t>upper part of the</w:t>
      </w:r>
      <w:r w:rsidR="00D434FD" w:rsidRPr="00D434FD">
        <w:rPr>
          <w:lang w:val="en-GB"/>
        </w:rPr>
        <w:t xml:space="preserve"> femoral neck</w:t>
      </w:r>
      <w:r w:rsidR="00D434FD">
        <w:rPr>
          <w:lang w:val="en-GB"/>
        </w:rPr>
        <w:t xml:space="preserve"> to simulate metastatic lesion. </w:t>
      </w:r>
      <w:r w:rsidR="00B220B5">
        <w:rPr>
          <w:lang w:val="en-GB"/>
        </w:rPr>
        <w:t>Femurs were cut at 15cm below the lesser trochanter and scanned</w:t>
      </w:r>
      <w:r w:rsidR="00126352">
        <w:rPr>
          <w:lang w:val="en-GB"/>
        </w:rPr>
        <w:t xml:space="preserve"> (GE Revolution CT-scan, 200 </w:t>
      </w:r>
      <w:proofErr w:type="spellStart"/>
      <w:r w:rsidR="00126352">
        <w:rPr>
          <w:lang w:val="en-GB"/>
        </w:rPr>
        <w:t>mAs</w:t>
      </w:r>
      <w:proofErr w:type="spellEnd"/>
      <w:r w:rsidR="00126352">
        <w:rPr>
          <w:lang w:val="en-GB"/>
        </w:rPr>
        <w:t xml:space="preserve">, 120 kV, </w:t>
      </w:r>
      <w:r w:rsidR="00B220B5" w:rsidRPr="00B220B5">
        <w:rPr>
          <w:lang w:val="en-GB"/>
        </w:rPr>
        <w:t>voxel size: 0.7 × 0.7 × 1.2 mm</w:t>
      </w:r>
      <w:r w:rsidR="00B220B5" w:rsidRPr="00B220B5">
        <w:rPr>
          <w:vertAlign w:val="superscript"/>
          <w:lang w:val="en-GB"/>
        </w:rPr>
        <w:t>3</w:t>
      </w:r>
      <w:r w:rsidR="00B220B5" w:rsidRPr="00B220B5">
        <w:rPr>
          <w:lang w:val="en-GB"/>
        </w:rPr>
        <w:t>)</w:t>
      </w:r>
      <w:r w:rsidR="00B220B5">
        <w:rPr>
          <w:lang w:val="en-GB"/>
        </w:rPr>
        <w:t xml:space="preserve"> along with a</w:t>
      </w:r>
      <w:r w:rsidR="00126352">
        <w:rPr>
          <w:lang w:val="en-GB"/>
        </w:rPr>
        <w:t xml:space="preserve"> K</w:t>
      </w:r>
      <w:r w:rsidR="00126352" w:rsidRPr="00126352">
        <w:rPr>
          <w:vertAlign w:val="subscript"/>
          <w:lang w:val="en-GB"/>
        </w:rPr>
        <w:t>2</w:t>
      </w:r>
      <w:r w:rsidR="00126352">
        <w:rPr>
          <w:lang w:val="en-GB"/>
        </w:rPr>
        <w:t>HPO</w:t>
      </w:r>
      <w:r w:rsidR="00126352" w:rsidRPr="00126352">
        <w:rPr>
          <w:vertAlign w:val="subscript"/>
          <w:lang w:val="en-GB"/>
        </w:rPr>
        <w:t>4</w:t>
      </w:r>
      <w:r w:rsidR="00B220B5">
        <w:rPr>
          <w:lang w:val="en-GB"/>
        </w:rPr>
        <w:t xml:space="preserve"> calibration phantom (</w:t>
      </w:r>
      <w:proofErr w:type="spellStart"/>
      <w:r w:rsidR="00126352" w:rsidRPr="00863F2C">
        <w:rPr>
          <w:lang w:val="en-GB"/>
        </w:rPr>
        <w:t>Mindways</w:t>
      </w:r>
      <w:proofErr w:type="spellEnd"/>
      <w:r w:rsidR="00126352" w:rsidRPr="00863F2C">
        <w:rPr>
          <w:lang w:val="en-GB"/>
        </w:rPr>
        <w:t xml:space="preserve"> Model 3, </w:t>
      </w:r>
      <w:proofErr w:type="spellStart"/>
      <w:r w:rsidR="00126352" w:rsidRPr="00863F2C">
        <w:rPr>
          <w:lang w:val="en-GB"/>
        </w:rPr>
        <w:t>Mindways</w:t>
      </w:r>
      <w:proofErr w:type="spellEnd"/>
      <w:r w:rsidR="00126352" w:rsidRPr="00863F2C">
        <w:rPr>
          <w:lang w:val="en-GB"/>
        </w:rPr>
        <w:t>® Inc., Austin, TX, USA</w:t>
      </w:r>
      <w:r w:rsidR="00B220B5">
        <w:rPr>
          <w:lang w:val="en-GB"/>
        </w:rPr>
        <w:t xml:space="preserve">). </w:t>
      </w:r>
      <w:r w:rsidR="00CB544F">
        <w:rPr>
          <w:lang w:val="en-GB"/>
        </w:rPr>
        <w:t>Following imaging, d</w:t>
      </w:r>
      <w:r w:rsidR="00126352">
        <w:rPr>
          <w:lang w:val="en-GB"/>
        </w:rPr>
        <w:t>istal and proximal parts</w:t>
      </w:r>
      <w:r w:rsidR="00CB544F">
        <w:rPr>
          <w:lang w:val="en-GB"/>
        </w:rPr>
        <w:t xml:space="preserve"> of each femur </w:t>
      </w:r>
      <w:r w:rsidR="00126352">
        <w:rPr>
          <w:lang w:val="en-GB"/>
        </w:rPr>
        <w:t xml:space="preserve">were embedded in </w:t>
      </w:r>
      <w:r w:rsidR="00BF6F4E">
        <w:rPr>
          <w:lang w:val="en-GB"/>
        </w:rPr>
        <w:t xml:space="preserve">polymethylmethacrylate (PMMA) </w:t>
      </w:r>
      <w:r w:rsidR="00126352">
        <w:rPr>
          <w:lang w:val="en-GB"/>
        </w:rPr>
        <w:t>resin blocks</w:t>
      </w:r>
      <w:r w:rsidR="00CB544F">
        <w:rPr>
          <w:lang w:val="en-GB"/>
        </w:rPr>
        <w:t xml:space="preserve"> (58 mm from the distal end </w:t>
      </w:r>
      <w:r w:rsidR="00A37507">
        <w:rPr>
          <w:lang w:val="en-GB"/>
        </w:rPr>
        <w:t xml:space="preserve">for the distal part </w:t>
      </w:r>
      <w:r w:rsidR="00CB544F">
        <w:rPr>
          <w:lang w:val="en-GB"/>
        </w:rPr>
        <w:t>and 10 mm from the upper part of the femoral head</w:t>
      </w:r>
      <w:r w:rsidR="00A37507">
        <w:rPr>
          <w:lang w:val="en-GB"/>
        </w:rPr>
        <w:t xml:space="preserve"> for the proximal part</w:t>
      </w:r>
      <w:r w:rsidR="00CB544F">
        <w:rPr>
          <w:lang w:val="en-GB"/>
        </w:rPr>
        <w:t xml:space="preserve">) and rigidly fixed in the experimental setup for mechanical testing </w:t>
      </w:r>
      <w:r w:rsidR="00CB544F">
        <w:rPr>
          <w:lang w:val="en-GB"/>
        </w:rPr>
        <w:fldChar w:fldCharType="begin"/>
      </w:r>
      <w:r w:rsidR="00CB544F">
        <w:rPr>
          <w:lang w:val="en-GB"/>
        </w:rPr>
        <w:instrText xml:space="preserve"> ADDIN ZOTERO_ITEM CSL_CITATION {"citationID":"wvlRvasA","properties":{"formattedCitation":"(Riglet et al. 2020)","plainCitation":"(Riglet et al. 2020)","noteIndex":0},"citationItems":[{"id":1027,"uris":["http://zotero.org/users/local/wlG95xIX/items/6PW4JMPX"],"itemData":{"id":1027,"type":"article-journal","container-title":"Computer Methods in Biomechanics and Biomedical Engineering","DOI":"10.1080/10255842.2020.1815312","ISSN":"1025-5842, 1476-8259","issue":"sup1","journalAbbreviation":"Computer Methods in Biomechanics and Biomedical Engineering","language":"en","page":"S260-S261","source":"DOI.org (Crossref)","title":"Ex vivo experiments on femurs to assess metastatic bone strength","volume":"23","author":[{"family":"Riglet","given":"L."},{"family":"Confavreux","given":"C."},{"family":"Chaudier","given":"P."},{"family":"Pialat","given":"J.-B"},{"family":"Bermond","given":"F."},{"family":"Gardegaront","given":"M."},{"family":"Follet","given":"H."},{"family":"Mitton","given":"D."}],"issued":{"date-parts":[["2020",10,19]]}}}],"schema":"https://github.com/citation-style-language/schema/raw/master/csl-citation.json"} </w:instrText>
      </w:r>
      <w:r w:rsidR="00CB544F">
        <w:rPr>
          <w:lang w:val="en-GB"/>
        </w:rPr>
        <w:fldChar w:fldCharType="separate"/>
      </w:r>
      <w:r w:rsidR="00CB544F" w:rsidRPr="00B220B5">
        <w:rPr>
          <w:rFonts w:ascii="Calibri" w:hAnsi="Calibri" w:cs="Calibri"/>
          <w:lang w:val="en-GB"/>
        </w:rPr>
        <w:t>(Riglet et al. 2020)</w:t>
      </w:r>
      <w:r w:rsidR="00CB544F">
        <w:rPr>
          <w:lang w:val="en-GB"/>
        </w:rPr>
        <w:fldChar w:fldCharType="end"/>
      </w:r>
      <w:r w:rsidR="00126352">
        <w:rPr>
          <w:lang w:val="en-GB"/>
        </w:rPr>
        <w:t xml:space="preserve">. </w:t>
      </w:r>
      <w:r w:rsidR="00CB544F">
        <w:rPr>
          <w:lang w:val="en-GB"/>
        </w:rPr>
        <w:t>L</w:t>
      </w:r>
      <w:r w:rsidR="00126352">
        <w:rPr>
          <w:lang w:val="en-GB"/>
        </w:rPr>
        <w:t xml:space="preserve">oading was applied on the proximal part with a 20° </w:t>
      </w:r>
      <w:r w:rsidR="00A37507">
        <w:rPr>
          <w:lang w:val="en-GB"/>
        </w:rPr>
        <w:t xml:space="preserve">angle </w:t>
      </w:r>
      <w:r w:rsidR="00126352">
        <w:rPr>
          <w:lang w:val="en-GB"/>
        </w:rPr>
        <w:t>between the vertical and the diaphyseal axis</w:t>
      </w:r>
      <w:r w:rsidR="00BF6F4E">
        <w:rPr>
          <w:lang w:val="en-GB"/>
        </w:rPr>
        <w:t xml:space="preserve"> to mimic single leg stance</w:t>
      </w:r>
      <w:r w:rsidR="00126352">
        <w:rPr>
          <w:lang w:val="en-GB"/>
        </w:rPr>
        <w:t xml:space="preserve">. </w:t>
      </w:r>
      <w:r w:rsidR="00BF6F4E">
        <w:rPr>
          <w:lang w:val="en-GB"/>
        </w:rPr>
        <w:t>A surface laser scan (METRIS 5128) was perform</w:t>
      </w:r>
      <w:r w:rsidR="00CB544F">
        <w:rPr>
          <w:lang w:val="en-GB"/>
        </w:rPr>
        <w:t>ed</w:t>
      </w:r>
      <w:r w:rsidR="00BF6F4E">
        <w:rPr>
          <w:lang w:val="en-GB"/>
        </w:rPr>
        <w:t xml:space="preserve"> to obtain the 3D orientation of each femur.</w:t>
      </w:r>
      <w:r w:rsidR="00CB544F">
        <w:rPr>
          <w:lang w:val="en-GB"/>
        </w:rPr>
        <w:t xml:space="preserve"> Then, each femur was loaded</w:t>
      </w:r>
      <w:r w:rsidR="00A37507">
        <w:rPr>
          <w:lang w:val="en-GB"/>
        </w:rPr>
        <w:t xml:space="preserve"> in</w:t>
      </w:r>
      <w:r w:rsidR="00CB544F">
        <w:rPr>
          <w:lang w:val="en-GB"/>
        </w:rPr>
        <w:t xml:space="preserve"> quasi-static compression (12 mm/min) until failure using a servo-hydraulic testing machine (Instron 8802), following four cycles of pre-loading at 0.4 mm.</w:t>
      </w:r>
    </w:p>
    <w:p w14:paraId="1E96824E" w14:textId="7298F86F" w:rsidR="00CB544F" w:rsidRPr="000F31C6" w:rsidRDefault="00CB544F" w:rsidP="006470E2">
      <w:pPr>
        <w:pStyle w:val="Paragraphedeliste"/>
        <w:numPr>
          <w:ilvl w:val="1"/>
          <w:numId w:val="1"/>
        </w:numPr>
        <w:jc w:val="both"/>
        <w:rPr>
          <w:u w:val="single"/>
          <w:lang w:val="en-GB"/>
        </w:rPr>
      </w:pPr>
      <w:r w:rsidRPr="000F31C6">
        <w:rPr>
          <w:u w:val="single"/>
          <w:lang w:val="en-GB"/>
        </w:rPr>
        <w:t>Finite element model</w:t>
      </w:r>
    </w:p>
    <w:p w14:paraId="04FEF774" w14:textId="4A03E311" w:rsidR="00CB544F" w:rsidRDefault="00CB544F" w:rsidP="00CB544F">
      <w:pPr>
        <w:spacing w:before="240"/>
        <w:jc w:val="both"/>
        <w:rPr>
          <w:lang w:val="en-GB"/>
        </w:rPr>
      </w:pPr>
      <w:r>
        <w:rPr>
          <w:lang w:val="en-GB"/>
        </w:rPr>
        <w:t>From the scans, subject</w:t>
      </w:r>
      <w:r w:rsidR="7025B714" w:rsidRPr="18C999C2">
        <w:rPr>
          <w:lang w:val="en-GB"/>
        </w:rPr>
        <w:t>-</w:t>
      </w:r>
      <w:r>
        <w:rPr>
          <w:lang w:val="en-GB"/>
        </w:rPr>
        <w:t xml:space="preserve">specific finite element </w:t>
      </w:r>
      <w:r w:rsidR="00E84D4F">
        <w:rPr>
          <w:lang w:val="en-GB"/>
        </w:rPr>
        <w:t xml:space="preserve">(FE) </w:t>
      </w:r>
      <w:r>
        <w:rPr>
          <w:lang w:val="en-GB"/>
        </w:rPr>
        <w:t>models of each femur were created</w:t>
      </w:r>
      <w:r w:rsidR="00A37507">
        <w:rPr>
          <w:lang w:val="en-GB"/>
        </w:rPr>
        <w:t xml:space="preserve">, based on </w:t>
      </w:r>
      <w:r w:rsidR="00A37507">
        <w:rPr>
          <w:lang w:val="en-GB"/>
        </w:rPr>
        <w:fldChar w:fldCharType="begin"/>
      </w:r>
      <w:r w:rsidR="00A37507">
        <w:rPr>
          <w:lang w:val="en-GB"/>
        </w:rPr>
        <w:instrText xml:space="preserve"> ADDIN ZOTERO_ITEM CSL_CITATION {"citationID":"kk3hDrRt","properties":{"formattedCitation":"(Duchemin et al. 2008)","plainCitation":"(Duchemin et al. 2008)","noteIndex":0},"citationItems":[{"id":849,"uris":["http://zotero.org/users/local/wlG95xIX/items/BKILSE43"],"itemData":{"id":849,"type":"article-journal","container-title":"Computer Methods in Biomechanics and Biomedical Engineering","DOI":"10.1080/10255840701535965","ISSN":"1025-5842","issue":"2","journalAbbreviation":"Computer Methods in Biomechanics and Biomedical Engineering","note":"publisher: Informa UK Limited","page":"105-111","title":"An anatomical subject-specific FE-model for hip fracture load prediction","volume":"11","author":[{"family":"Duchemin","given":"L."},{"family":"Mitton","given":"D."},{"family":"Jolivet","given":"E."},{"family":"Bousson","given":"V."},{"family":"Laredo","given":"J. D."},{"family":"Skalli","given":"W."}],"issued":{"date-parts":[["2008"]]}}}],"schema":"https://github.com/citation-style-language/schema/raw/master/csl-citation.json"} </w:instrText>
      </w:r>
      <w:r w:rsidR="00A37507">
        <w:rPr>
          <w:lang w:val="en-GB"/>
        </w:rPr>
        <w:fldChar w:fldCharType="separate"/>
      </w:r>
      <w:r w:rsidR="00A37507" w:rsidRPr="00A37507">
        <w:rPr>
          <w:rFonts w:ascii="Calibri" w:hAnsi="Calibri" w:cs="Calibri"/>
          <w:lang w:val="en-GB"/>
        </w:rPr>
        <w:t>(Duchemin et al. 2008)</w:t>
      </w:r>
      <w:r w:rsidR="00A37507">
        <w:rPr>
          <w:lang w:val="en-GB"/>
        </w:rPr>
        <w:fldChar w:fldCharType="end"/>
      </w:r>
      <w:r>
        <w:rPr>
          <w:lang w:val="en-GB"/>
        </w:rPr>
        <w:t xml:space="preserve">. </w:t>
      </w:r>
      <w:r w:rsidR="00E84D4F">
        <w:rPr>
          <w:lang w:val="en-GB"/>
        </w:rPr>
        <w:t>This FE model is referred to as</w:t>
      </w:r>
      <w:r w:rsidR="001B5034">
        <w:rPr>
          <w:lang w:val="en-GB"/>
        </w:rPr>
        <w:t xml:space="preserve"> “Lyon</w:t>
      </w:r>
      <w:r w:rsidR="002C6E9D">
        <w:rPr>
          <w:lang w:val="en-GB"/>
        </w:rPr>
        <w:t xml:space="preserve"> </w:t>
      </w:r>
      <w:r w:rsidR="00E84D4F">
        <w:rPr>
          <w:lang w:val="en-GB"/>
        </w:rPr>
        <w:t>model</w:t>
      </w:r>
      <w:r w:rsidR="001B5034">
        <w:rPr>
          <w:lang w:val="en-GB"/>
        </w:rPr>
        <w:t>”</w:t>
      </w:r>
      <w:r w:rsidR="00E84D4F">
        <w:rPr>
          <w:lang w:val="en-GB"/>
        </w:rPr>
        <w:t xml:space="preserve">. </w:t>
      </w:r>
      <w:r>
        <w:rPr>
          <w:lang w:val="en-GB"/>
        </w:rPr>
        <w:t xml:space="preserve">Femurs were semi-automatically segmented using 3DSlicer (4.10.0, slicer.org). A registration algorithm was developed in Python based on the Coherent Point Drift </w:t>
      </w:r>
      <w:r w:rsidR="00BA0444">
        <w:rPr>
          <w:lang w:val="en-GB"/>
        </w:rPr>
        <w:fldChar w:fldCharType="begin"/>
      </w:r>
      <w:r w:rsidR="00BA0444">
        <w:rPr>
          <w:lang w:val="en-GB"/>
        </w:rPr>
        <w:instrText xml:space="preserve"> ADDIN ZOTERO_ITEM CSL_CITATION {"citationID":"W8C2sS6d","properties":{"formattedCitation":"(Myronenko and Xubo Song 2010)","plainCitation":"(Myronenko and Xubo Song 2010)","noteIndex":0},"citationItems":[{"id":1029,"uris":["http://zotero.org/users/local/wlG95xIX/items/7T5X9GZL"],"itemData":{"id":1029,"type":"article-journal","container-title":"IEEE Transactions on Pattern Analysis and Machine Intelligence","DOI":"10.1109/TPAMI.2010.46","ISSN":"0162-8828","issue":"12","journalAbbreviation":"IEEE Trans. Pattern Anal. Mach. Intell.","license":"https://ieeexplore.ieee.org/Xplorehelp/downloads/license-information/IEEE.html","page":"2262-2275","source":"DOI.org (Crossref)","title":"Point Set Registration: Coherent Point Drift","title-short":"Point Set Registration","volume":"32","author":[{"family":"Myronenko","given":"Andriy"},{"literal":"Xubo Song"}],"issued":{"date-parts":[["2010",12]]}}}],"schema":"https://github.com/citation-style-language/schema/raw/master/csl-citation.json"} </w:instrText>
      </w:r>
      <w:r w:rsidR="00BA0444">
        <w:rPr>
          <w:lang w:val="en-GB"/>
        </w:rPr>
        <w:fldChar w:fldCharType="separate"/>
      </w:r>
      <w:r w:rsidR="00BA0444" w:rsidRPr="00BA0444">
        <w:rPr>
          <w:rFonts w:ascii="Calibri" w:hAnsi="Calibri" w:cs="Calibri"/>
          <w:lang w:val="en-GB"/>
        </w:rPr>
        <w:t>(Myronenko and Xubo Song 2010)</w:t>
      </w:r>
      <w:r w:rsidR="00BA0444">
        <w:rPr>
          <w:lang w:val="en-GB"/>
        </w:rPr>
        <w:fldChar w:fldCharType="end"/>
      </w:r>
      <w:r w:rsidR="00BA0444">
        <w:rPr>
          <w:lang w:val="en-GB"/>
        </w:rPr>
        <w:t xml:space="preserve"> </w:t>
      </w:r>
      <w:r>
        <w:rPr>
          <w:lang w:val="en-GB"/>
        </w:rPr>
        <w:t>to orient the 3D extracted geometr</w:t>
      </w:r>
      <w:r w:rsidR="00BA0444">
        <w:rPr>
          <w:lang w:val="en-GB"/>
        </w:rPr>
        <w:t>y</w:t>
      </w:r>
      <w:r>
        <w:rPr>
          <w:lang w:val="en-GB"/>
        </w:rPr>
        <w:t xml:space="preserve"> </w:t>
      </w:r>
      <w:r w:rsidR="00BA0444">
        <w:rPr>
          <w:lang w:val="en-GB"/>
        </w:rPr>
        <w:t xml:space="preserve">as in the experimental setup. </w:t>
      </w:r>
      <w:r w:rsidR="00CF5848">
        <w:rPr>
          <w:lang w:val="en-GB"/>
        </w:rPr>
        <w:t>Then, t</w:t>
      </w:r>
      <w:r>
        <w:rPr>
          <w:lang w:val="en-GB"/>
        </w:rPr>
        <w:t xml:space="preserve">he linear relationship between Hounsfield units (HU) </w:t>
      </w:r>
      <w:r w:rsidR="00CF5848">
        <w:rPr>
          <w:lang w:val="en-GB"/>
        </w:rPr>
        <w:t xml:space="preserve">of the scan </w:t>
      </w:r>
      <w:r>
        <w:rPr>
          <w:lang w:val="en-GB"/>
        </w:rPr>
        <w:t xml:space="preserve">and </w:t>
      </w:r>
      <w:r w:rsidRPr="0010572E">
        <w:rPr>
          <w:lang w:val="en-GB"/>
        </w:rPr>
        <w:t>K</w:t>
      </w:r>
      <w:r w:rsidRPr="0010572E">
        <w:rPr>
          <w:vertAlign w:val="subscript"/>
          <w:lang w:val="en-GB"/>
        </w:rPr>
        <w:t>2</w:t>
      </w:r>
      <w:r w:rsidRPr="0010572E">
        <w:rPr>
          <w:lang w:val="en-GB"/>
        </w:rPr>
        <w:t>HPO</w:t>
      </w:r>
      <w:r w:rsidRPr="0054708D">
        <w:rPr>
          <w:vertAlign w:val="subscript"/>
          <w:lang w:val="en-GB"/>
        </w:rPr>
        <w:t>4</w:t>
      </w:r>
      <w:r>
        <w:rPr>
          <w:lang w:val="en-GB"/>
        </w:rPr>
        <w:t xml:space="preserve"> density,</w:t>
      </w:r>
      <w:r w:rsidRPr="18C999C2">
        <w:rPr>
          <w:rFonts w:ascii="Cambria Math" w:hAnsi="Cambria Math"/>
          <w:i/>
          <w:iCs/>
          <w:lang w:val="en-GB"/>
        </w:rPr>
        <w:t xml:space="preserve"> </w:t>
      </w:r>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K2HPO4</m:t>
            </m:r>
          </m:sub>
        </m:sSub>
      </m:oMath>
      <w:r w:rsidRPr="18C999C2">
        <w:rPr>
          <w:rFonts w:ascii="Cambria Math" w:eastAsiaTheme="minorEastAsia" w:hAnsi="Cambria Math"/>
          <w:i/>
          <w:iCs/>
          <w:lang w:val="en-GB"/>
        </w:rPr>
        <w:t xml:space="preserve">, </w:t>
      </w:r>
      <w:r>
        <w:rPr>
          <w:lang w:val="en-GB"/>
        </w:rPr>
        <w:t xml:space="preserve">was performed automatically using the calibration phantom. </w:t>
      </w:r>
      <w:r w:rsidRPr="0010572E">
        <w:rPr>
          <w:lang w:val="en-GB"/>
        </w:rPr>
        <w:t>K</w:t>
      </w:r>
      <w:r w:rsidRPr="0010572E">
        <w:rPr>
          <w:vertAlign w:val="subscript"/>
          <w:lang w:val="en-GB"/>
        </w:rPr>
        <w:t>2</w:t>
      </w:r>
      <w:r w:rsidRPr="0010572E">
        <w:rPr>
          <w:lang w:val="en-GB"/>
        </w:rPr>
        <w:t>HPO</w:t>
      </w:r>
      <w:r w:rsidRPr="0054708D">
        <w:rPr>
          <w:vertAlign w:val="subscript"/>
          <w:lang w:val="en-GB"/>
        </w:rPr>
        <w:t>4</w:t>
      </w:r>
      <w:r>
        <w:rPr>
          <w:lang w:val="en-GB"/>
        </w:rPr>
        <w:t xml:space="preserve"> density was then converted to equivalent </w:t>
      </w:r>
      <w:proofErr w:type="spellStart"/>
      <w:r>
        <w:rPr>
          <w:lang w:val="en-GB"/>
        </w:rPr>
        <w:t>CaHA</w:t>
      </w:r>
      <w:proofErr w:type="spellEnd"/>
      <w:r>
        <w:rPr>
          <w:lang w:val="en-GB"/>
        </w:rPr>
        <w:t xml:space="preserve"> density using the following relationship </w:t>
      </w:r>
      <w:r>
        <w:rPr>
          <w:lang w:val="en-GB"/>
        </w:rPr>
        <w:fldChar w:fldCharType="begin"/>
      </w:r>
      <w:r>
        <w:rPr>
          <w:lang w:val="en-GB"/>
        </w:rPr>
        <w:instrText xml:space="preserve"> ADDIN ZOTERO_ITEM CSL_CITATION {"citationID":"bFlijXgx","properties":{"formattedCitation":"(Faulkner et al. 1993)","plainCitation":"(Faulkner et al. 1993)","noteIndex":0},"citationItems":[{"id":924,"uris":["http://zotero.org/users/local/wlG95xIX/items/8TLSMNJ7"],"itemData":{"id":924,"type":"article-journal","abstract":"Quantitative computed tomography (QCT) has been shown to be a precise and sensitive method for evaluating spinal bone mineral density (BMD) and skeletal response to aging and therapy. Precise and accurate determination of BMD using QCT requires a calibration standard to compensate for and reduce the effects of beam-hardening artifacts and scanner drift. The first standards were based on dipotassium hydrogen phosphate (K2HPO4) solutions. Recently, several manufacturers have developed stable solid calibration standards based on calcium hydroxyapatite (CHA) in water-equivalent plastic. Due to differences in attenuating properties of the liquid and solid standards, the calibrated BMD values obtained with each system do not agree. In order to compare and interpret the results obtained on both systems, cross-calibration measurements were performed in phantoms and patients using the University of California San Francisco (UCSF) liquid standard and the Image Analysis (IA) solid standard on the UCSF GE 9800 CT scanner. From the phantom measurements, a highly linear relationship was found between the liquid- and solid-calibrated BMD values. No influence on the cross-calibration due to simulated variations in body size or vertebral fat content was seen, though a significant difference in the cross-calibration was observed between scans acquired at 80 and 140 kVp. From the patient measurements, a linear relationship between the liquid (UCSF) and solid (IA) calibrated values was derived for GE 9800 CT scanners at 80 kVp (IA = [1.15 x UCSF] - 7.32).(ABSTRACT TRUNCATED AT 250 WORDS)","container-title":"Osteoporosis international: a journal established as result of cooperation between the European Foundation for Osteoporosis and the National Osteoporosis Foundation of the USA","DOI":"10.1007/BF01623175","ISSN":"0937-941X","issue":"1","journalAbbreviation":"Osteoporos Int","language":"eng","note":"number: 1\nPMID: 8422515","page":"36-42","source":"PubMed","title":"Cross-calibration of liquid and solid QCT calibration standards: corrections to the UCSF normative data","title-short":"Cross-calibration of liquid and solid QCT calibration standards","volume":"3","author":[{"family":"Faulkner","given":"K. G."},{"family":"Glüer","given":"C. C."},{"family":"Grampp","given":"S."},{"family":"Genant","given":"H. K."}],"issued":{"date-parts":[["1993",1]]}}}],"schema":"https://github.com/citation-style-language/schema/raw/master/csl-citation.json"} </w:instrText>
      </w:r>
      <w:r>
        <w:rPr>
          <w:lang w:val="en-GB"/>
        </w:rPr>
        <w:fldChar w:fldCharType="separate"/>
      </w:r>
      <w:r w:rsidRPr="00CB544F">
        <w:rPr>
          <w:rFonts w:ascii="Calibri" w:hAnsi="Calibri" w:cs="Calibri"/>
          <w:lang w:val="en-GB"/>
        </w:rPr>
        <w:t>(Faulkner et al. 1993)</w:t>
      </w:r>
      <w:r>
        <w:rPr>
          <w:lang w:val="en-GB"/>
        </w:rPr>
        <w:fldChar w:fldCharType="end"/>
      </w:r>
      <w:r>
        <w:rPr>
          <w:lang w:val="en-GB"/>
        </w:rPr>
        <w:t>:</w:t>
      </w:r>
    </w:p>
    <w:p w14:paraId="4467C84D" w14:textId="77777777" w:rsidR="00CB544F" w:rsidRDefault="00CD25C6" w:rsidP="00CB544F">
      <w:pPr>
        <w:spacing w:before="240"/>
        <w:rPr>
          <w:lang w:val="en-GB"/>
        </w:rPr>
      </w:pPr>
      <m:oMathPara>
        <m:oMath>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CaHA</m:t>
              </m:r>
            </m:sub>
          </m:sSub>
          <m:r>
            <w:rPr>
              <w:rFonts w:ascii="Cambria Math" w:hAnsi="Cambria Math"/>
              <w:lang w:val="en-GB"/>
            </w:rPr>
            <m:t>=1.15×</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K2HPO4</m:t>
              </m:r>
            </m:sub>
          </m:sSub>
          <m:r>
            <w:rPr>
              <w:rFonts w:ascii="Cambria Math" w:hAnsi="Cambria Math"/>
              <w:lang w:val="en-GB"/>
            </w:rPr>
            <m:t>-0.0073</m:t>
          </m:r>
        </m:oMath>
      </m:oMathPara>
    </w:p>
    <w:p w14:paraId="717FA625" w14:textId="6ACFB89F" w:rsidR="00CB544F" w:rsidRDefault="00CB544F" w:rsidP="00CB544F">
      <w:pPr>
        <w:jc w:val="both"/>
        <w:rPr>
          <w:lang w:val="en-GB"/>
        </w:rPr>
      </w:pPr>
      <w:r>
        <w:rPr>
          <w:lang w:val="en-GB"/>
        </w:rPr>
        <w:t>Femurs were meshed using 150,000 second-order tetrahedral elements</w:t>
      </w:r>
      <w:r w:rsidR="00747332">
        <w:rPr>
          <w:lang w:val="en-GB"/>
        </w:rPr>
        <w:t xml:space="preserve"> (Ansys 2021R)</w:t>
      </w:r>
      <w:r>
        <w:rPr>
          <w:lang w:val="en-GB"/>
        </w:rPr>
        <w:t xml:space="preserve">. </w:t>
      </w:r>
      <w:proofErr w:type="spellStart"/>
      <w:r>
        <w:rPr>
          <w:lang w:val="en-GB"/>
        </w:rPr>
        <w:t>CaHA</w:t>
      </w:r>
      <w:proofErr w:type="spellEnd"/>
      <w:r>
        <w:rPr>
          <w:lang w:val="en-GB"/>
        </w:rPr>
        <w:t xml:space="preserve"> density was converted into Young’s modulus as described in </w:t>
      </w:r>
      <w:r>
        <w:rPr>
          <w:lang w:val="en-GB"/>
        </w:rPr>
        <w:fldChar w:fldCharType="begin"/>
      </w:r>
      <w:r>
        <w:rPr>
          <w:lang w:val="en-GB"/>
        </w:rPr>
        <w:instrText xml:space="preserve"> ADDIN ZOTERO_ITEM CSL_CITATION {"citationID":"zIelSW2C","properties":{"formattedCitation":"(Duchemin et al. 2008)","plainCitation":"(Duchemin et al. 2008)","noteIndex":0},"citationItems":[{"id":849,"uris":["http://zotero.org/users/local/wlG95xIX/items/BKILSE43"],"itemData":{"id":849,"type":"article-journal","container-title":"Computer Methods in Biomechanics and Biomedical Engineering","DOI":"10.1080/10255840701535965","ISSN":"1025-5842","issue":"2","journalAbbreviation":"Computer Methods in Biomechanics and Biomedical Engineering","note":"publisher: Informa UK Limited","page":"105-111","title":"An anatomical subject-specific FE-model for hip fracture load prediction","volume":"11","author":[{"family":"Duchemin","given":"L."},{"family":"Mitton","given":"D."},{"family":"Jolivet","given":"E."},{"family":"Bousson","given":"V."},{"family":"Laredo","given":"J. D."},{"family":"Skalli","given":"W."}],"issued":{"date-parts":[["2008"]]}}}],"schema":"https://github.com/citation-style-language/schema/raw/master/csl-citation.json"} </w:instrText>
      </w:r>
      <w:r>
        <w:rPr>
          <w:lang w:val="en-GB"/>
        </w:rPr>
        <w:fldChar w:fldCharType="separate"/>
      </w:r>
      <w:r w:rsidRPr="00CB544F">
        <w:rPr>
          <w:rFonts w:ascii="Calibri" w:hAnsi="Calibri" w:cs="Calibri"/>
          <w:lang w:val="en-GB"/>
        </w:rPr>
        <w:t>(Duchemin et al. 2008)</w:t>
      </w:r>
      <w:r>
        <w:rPr>
          <w:lang w:val="en-GB"/>
        </w:rPr>
        <w:fldChar w:fldCharType="end"/>
      </w:r>
      <w:r>
        <w:rPr>
          <w:lang w:val="en-GB"/>
        </w:rPr>
        <w:t xml:space="preserve"> and each element was assigned a Young’s modulus value with a material step of 50 MPa</w:t>
      </w:r>
      <w:r w:rsidR="00747332">
        <w:rPr>
          <w:lang w:val="en-GB"/>
        </w:rPr>
        <w:t xml:space="preserve"> using QCTMA (</w:t>
      </w:r>
      <w:r w:rsidR="00747332" w:rsidRPr="00B91BD8">
        <w:rPr>
          <w:lang w:val="en-GB"/>
        </w:rPr>
        <w:t>pypi.org/project/</w:t>
      </w:r>
      <w:proofErr w:type="spellStart"/>
      <w:r w:rsidR="00747332" w:rsidRPr="00B91BD8">
        <w:rPr>
          <w:lang w:val="en-GB"/>
        </w:rPr>
        <w:t>qctma</w:t>
      </w:r>
      <w:proofErr w:type="spellEnd"/>
      <w:r w:rsidR="00747332">
        <w:rPr>
          <w:lang w:val="en-GB"/>
        </w:rPr>
        <w:t>)</w:t>
      </w:r>
      <w:r>
        <w:rPr>
          <w:lang w:val="en-GB"/>
        </w:rPr>
        <w:t>.</w:t>
      </w:r>
      <w:r w:rsidR="00CF5848">
        <w:rPr>
          <w:lang w:val="en-GB"/>
        </w:rPr>
        <w:t xml:space="preserve"> The distal shaft was fixed and a vertical load was applied on the femoral head. Failure occurred when a critical volume of 0.33% of contiguous elements reached a stress value above their ultimate stress, as described in </w:t>
      </w:r>
      <w:r w:rsidR="00CF5848">
        <w:rPr>
          <w:lang w:val="en-GB"/>
        </w:rPr>
        <w:fldChar w:fldCharType="begin"/>
      </w:r>
      <w:r w:rsidR="006470E2">
        <w:rPr>
          <w:lang w:val="en-GB"/>
        </w:rPr>
        <w:instrText xml:space="preserve"> ADDIN ZOTERO_ITEM CSL_CITATION {"citationID":"mm1dbRiC","properties":{"formattedCitation":"(Duchemin et al. 2008)","plainCitation":"(Duchemin et al. 2008)","noteIndex":0},"citationItems":[{"id":849,"uris":["http://zotero.org/users/local/wlG95xIX/items/BKILSE43"],"itemData":{"id":849,"type":"article-journal","container-title":"Computer Methods in Biomechanics and Biomedical Engineering","DOI":"10.1080/10255840701535965","ISSN":"1025-5842","issue":"2","journalAbbreviation":"Computer Methods in Biomechanics and Biomedical Engineering","note":"publisher: Informa UK Limited","page":"105-111","title":"An anatomical subject-specific FE-model for hip fracture load prediction","volume":"11","author":[{"family":"Duchemin","given":"L."},{"family":"Mitton","given":"D."},{"family":"Jolivet","given":"E."},{"family":"Bousson","given":"V."},{"family":"Laredo","given":"J. D."},{"family":"Skalli","given":"W."}],"issued":{"date-parts":[["2008"]]}}}],"schema":"https://github.com/citation-style-language/schema/raw/master/csl-citation.json"} </w:instrText>
      </w:r>
      <w:r w:rsidR="00CF5848">
        <w:rPr>
          <w:lang w:val="en-GB"/>
        </w:rPr>
        <w:fldChar w:fldCharType="separate"/>
      </w:r>
      <w:r w:rsidR="00CF5848" w:rsidRPr="00CB544F">
        <w:rPr>
          <w:rFonts w:ascii="Calibri" w:hAnsi="Calibri" w:cs="Calibri"/>
          <w:lang w:val="en-GB"/>
        </w:rPr>
        <w:t>(Duchemin et al. 2008)</w:t>
      </w:r>
      <w:r w:rsidR="00CF5848">
        <w:rPr>
          <w:lang w:val="en-GB"/>
        </w:rPr>
        <w:fldChar w:fldCharType="end"/>
      </w:r>
      <w:r w:rsidR="00CF5848">
        <w:rPr>
          <w:lang w:val="en-GB"/>
        </w:rPr>
        <w:t xml:space="preserve">. </w:t>
      </w:r>
      <w:r w:rsidR="00747332">
        <w:rPr>
          <w:lang w:val="en-GB"/>
        </w:rPr>
        <w:t>For each femur, numerical failure load was compared to experimental failure load.</w:t>
      </w:r>
      <w:r>
        <w:rPr>
          <w:lang w:val="en-GB"/>
        </w:rPr>
        <w:t xml:space="preserve"> </w:t>
      </w:r>
      <w:r w:rsidR="00122066">
        <w:rPr>
          <w:lang w:val="en-GB"/>
        </w:rPr>
        <w:t xml:space="preserve">Results were compared with the failure loads obtained using </w:t>
      </w:r>
      <w:r w:rsidR="00F80399">
        <w:rPr>
          <w:lang w:val="en-GB"/>
        </w:rPr>
        <w:t xml:space="preserve">a non-linear </w:t>
      </w:r>
      <w:r w:rsidR="00122066">
        <w:rPr>
          <w:lang w:val="en-GB"/>
        </w:rPr>
        <w:t>model on the same dataset</w:t>
      </w:r>
      <w:r w:rsidR="001B5034">
        <w:rPr>
          <w:lang w:val="en-GB"/>
        </w:rPr>
        <w:t>, referred to as “Leuven model”</w:t>
      </w:r>
      <w:r w:rsidR="00122066">
        <w:rPr>
          <w:lang w:val="en-GB"/>
        </w:rPr>
        <w:t xml:space="preserve"> </w:t>
      </w:r>
      <w:r w:rsidR="00122066">
        <w:rPr>
          <w:lang w:val="en-GB"/>
        </w:rPr>
        <w:fldChar w:fldCharType="begin"/>
      </w:r>
      <w:r w:rsidR="00122066">
        <w:rPr>
          <w:lang w:val="en-GB"/>
        </w:rPr>
        <w:instrText xml:space="preserve"> ADDIN ZOTERO_ITEM CSL_CITATION {"citationID":"CFuoUoEj","properties":{"formattedCitation":"(Gardegaront et al. 2024)","plainCitation":"(Gardegaront et al. 2024)","noteIndex":0},"citationItems":[{"id":868,"uris":["http://zotero.org/users/local/wlG95xIX/items/J944MYIQ"],"itemData":{"id":868,"type":"article-journal","abstract":"Introduction\nMetastases increase the risk of fracture when affecting the femur. Consequently, clinicians need to know if the patient's femur can withstand the stress of daily activities. The current tools used in clinics are not sufficiently precise. A new method, the CT-scan-based finite element analysis, gives good predictive results. However, none of the existing models were tested for reproducibility. This is a critical issue to address in order to apply the technique on a large cohort around the world to help evaluate bone metastatic fracture risk in patients. The aim of this study is then to evaluate 1) the reproducibility 2) the transposition of the reproduced model to another dataset and 3) the global sensitivity of one of the most promising models of the literature (original model).\nMethods\nThe model was reproduced based on the paper describing it and discussion with authors to avoid reproduction errors. The reproducibility was evaluated by comparing the results given in the original model by the original first team (Leuven, Belgium) and the reproduced model made by another team (Lyon, France) on the same dataset of CT-scans of ex vivo femurs. The transposition of the model was evaluated by comparing the results of the reproduced model on two different datasets. The global sensitivity analysis was done by using the Morris method and evaluates the influence of the density calibration coefficient, the segmentation, the orientations and the length of the femur.\nResults\nThe original and reproduced models are highly correlated (r2 = 0.95), even though the reproduced model gives systematically higher failure loads. When using the reproduced model on another dataset, predictions are less accurate (r2 with the experimental failure load decreases, errors increase). The global sensitivity analysis showed high influence of the density calibration coefficient (mean variation of failure load of 84 %) and non-negligible influence of the segmentation, orientation and length of the femur (mean variation of failure load between 7 and 10 %).\nConclusion\nThis study showed that, although being validated, the reproduced model underperformed when using another dataset. The difference in performance depending on the dataset is commonly the cause of overfitting when creating the model. However, the dataset used in the original paper (Sas et al., 2020a) and the Leuven's dataset gave similar performance, which indicates a lesser probability for the overfitting cause. Also, the model is highly sensitive to density parameters and automation of measurement may minimize the uncertainty on failure load. An uncertainty propagation analysis would give the actual precision of such model and improve our understanding of its behavior and is part of future work.","container-title":"Journal of the Mechanical Behavior of Biomedical Materials","DOI":"10.1016/j.jmbbm.2024.106676","ISSN":"1751-6161","journalAbbreviation":"Journal of the Mechanical Behavior of Biomedical Materials","page":"106676","title":"Inter-laboratory reproduction and sensitivity study of a finite element model to quantify human femur failure load: Case of metastases","volume":"158","author":[{"family":"Gardegaront","given":"Marc"},{"family":"Sas","given":"Amelie"},{"family":"Brizard","given":"Denis"},{"family":"Levillain","given":"Aurélie"},{"family":"Bermond","given":"François"},{"family":"Confavreux","given":"Cyrille B."},{"family":"Pialat","given":"Jean-Baptiste"},{"family":"Lenthe","given":"G. Harry","non-dropping-particle":"van"},{"family":"Follet","given":"Hélène"},{"family":"Mitton","given":"David"}],"issued":{"date-parts":[["2024",10,1]]}}}],"schema":"https://github.com/citation-style-language/schema/raw/master/csl-citation.json"} </w:instrText>
      </w:r>
      <w:r w:rsidR="00122066">
        <w:rPr>
          <w:lang w:val="en-GB"/>
        </w:rPr>
        <w:fldChar w:fldCharType="separate"/>
      </w:r>
      <w:r w:rsidR="00122066" w:rsidRPr="00122066">
        <w:rPr>
          <w:rFonts w:ascii="Calibri" w:hAnsi="Calibri" w:cs="Calibri"/>
          <w:lang w:val="en-GB"/>
        </w:rPr>
        <w:t>(Gardegaront et al. 2024)</w:t>
      </w:r>
      <w:r w:rsidR="00122066">
        <w:rPr>
          <w:lang w:val="en-GB"/>
        </w:rPr>
        <w:fldChar w:fldCharType="end"/>
      </w:r>
      <w:r w:rsidR="00122066">
        <w:rPr>
          <w:lang w:val="en-GB"/>
        </w:rPr>
        <w:t>.</w:t>
      </w:r>
    </w:p>
    <w:p w14:paraId="44C800D8" w14:textId="15305D50" w:rsidR="000F31C6" w:rsidRDefault="006470E2" w:rsidP="000F31C6">
      <w:pPr>
        <w:pStyle w:val="Paragraphedeliste"/>
        <w:numPr>
          <w:ilvl w:val="0"/>
          <w:numId w:val="1"/>
        </w:numPr>
        <w:jc w:val="both"/>
        <w:rPr>
          <w:u w:val="single"/>
          <w:lang w:val="en-GB"/>
        </w:rPr>
      </w:pPr>
      <w:r w:rsidRPr="1F32EFB5">
        <w:rPr>
          <w:u w:val="single"/>
          <w:lang w:val="en-GB"/>
        </w:rPr>
        <w:t>Results and Discussion</w:t>
      </w:r>
    </w:p>
    <w:p w14:paraId="54D2FC4B" w14:textId="7D3585CE" w:rsidR="00C20869" w:rsidRDefault="001B4338" w:rsidP="006470E2">
      <w:pPr>
        <w:jc w:val="both"/>
        <w:rPr>
          <w:lang w:val="en-GB"/>
        </w:rPr>
      </w:pPr>
      <w:r w:rsidRPr="1F32EFB5">
        <w:rPr>
          <w:lang w:val="en-GB"/>
        </w:rPr>
        <w:t xml:space="preserve">A Bland-Altman plot comparing the numerical and experimental failure loads is shown in Figure </w:t>
      </w:r>
      <w:r w:rsidR="00A10475">
        <w:rPr>
          <w:lang w:val="en-GB"/>
        </w:rPr>
        <w:t>S</w:t>
      </w:r>
      <w:r w:rsidRPr="1F32EFB5">
        <w:rPr>
          <w:lang w:val="en-GB"/>
        </w:rPr>
        <w:t>1</w:t>
      </w:r>
      <w:r w:rsidR="00837FB8" w:rsidRPr="1F32EFB5">
        <w:rPr>
          <w:lang w:val="en-GB"/>
        </w:rPr>
        <w:t xml:space="preserve">, for </w:t>
      </w:r>
      <w:r w:rsidR="001B5034">
        <w:rPr>
          <w:lang w:val="en-GB"/>
        </w:rPr>
        <w:t>Lyon</w:t>
      </w:r>
      <w:r w:rsidR="00312BD3">
        <w:rPr>
          <w:lang w:val="en-GB"/>
        </w:rPr>
        <w:t xml:space="preserve"> and </w:t>
      </w:r>
      <w:r w:rsidR="001B5034">
        <w:rPr>
          <w:lang w:val="en-GB"/>
        </w:rPr>
        <w:t>Leuven</w:t>
      </w:r>
      <w:r w:rsidR="00837FB8" w:rsidRPr="1F32EFB5">
        <w:rPr>
          <w:lang w:val="en-GB"/>
        </w:rPr>
        <w:t xml:space="preserve"> models</w:t>
      </w:r>
      <w:r w:rsidRPr="1F32EFB5">
        <w:rPr>
          <w:lang w:val="en-GB"/>
        </w:rPr>
        <w:t xml:space="preserve">. </w:t>
      </w:r>
      <w:r w:rsidR="00837FB8" w:rsidRPr="1F32EFB5">
        <w:rPr>
          <w:lang w:val="en-GB"/>
        </w:rPr>
        <w:t xml:space="preserve">For </w:t>
      </w:r>
      <w:r w:rsidR="001B5034">
        <w:rPr>
          <w:lang w:val="en-GB"/>
        </w:rPr>
        <w:t>Lyon</w:t>
      </w:r>
      <w:r w:rsidR="00312BD3" w:rsidRPr="1F32EFB5">
        <w:rPr>
          <w:lang w:val="en-GB"/>
        </w:rPr>
        <w:t xml:space="preserve"> </w:t>
      </w:r>
      <w:r w:rsidR="00837FB8" w:rsidRPr="1F32EFB5">
        <w:rPr>
          <w:lang w:val="en-GB"/>
        </w:rPr>
        <w:t>model, t</w:t>
      </w:r>
      <w:r w:rsidR="0030274B" w:rsidRPr="1F32EFB5">
        <w:rPr>
          <w:lang w:val="en-GB"/>
        </w:rPr>
        <w:t xml:space="preserve">he average bias was </w:t>
      </w:r>
      <w:r w:rsidR="00A908B4">
        <w:rPr>
          <w:lang w:val="en-GB"/>
        </w:rPr>
        <w:t>-795 N</w:t>
      </w:r>
      <w:r w:rsidR="00837FB8" w:rsidRPr="1F32EFB5">
        <w:rPr>
          <w:lang w:val="en-GB"/>
        </w:rPr>
        <w:t>, but the numerical failure load was 37% higher compared to experimental failure load</w:t>
      </w:r>
      <w:r w:rsidR="00190162">
        <w:rPr>
          <w:lang w:val="en-GB"/>
        </w:rPr>
        <w:t xml:space="preserve"> for intact femurs</w:t>
      </w:r>
      <w:r w:rsidR="00837FB8" w:rsidRPr="1F32EFB5">
        <w:rPr>
          <w:lang w:val="en-GB"/>
        </w:rPr>
        <w:t>, while it was 7% lower for femurs with defects.</w:t>
      </w:r>
      <w:r w:rsidR="00C20869" w:rsidRPr="1F32EFB5">
        <w:rPr>
          <w:lang w:val="en-GB"/>
        </w:rPr>
        <w:t xml:space="preserve"> The average bias was lower compared to </w:t>
      </w:r>
      <w:r w:rsidR="001B5034">
        <w:rPr>
          <w:lang w:val="en-GB"/>
        </w:rPr>
        <w:t>Leuven</w:t>
      </w:r>
      <w:r w:rsidR="00CB7388">
        <w:rPr>
          <w:lang w:val="en-GB"/>
        </w:rPr>
        <w:t xml:space="preserve"> </w:t>
      </w:r>
      <w:r w:rsidR="00C20869" w:rsidRPr="1F32EFB5">
        <w:rPr>
          <w:lang w:val="en-GB"/>
        </w:rPr>
        <w:t>model (</w:t>
      </w:r>
      <w:r w:rsidR="00190162">
        <w:rPr>
          <w:lang w:val="en-GB"/>
        </w:rPr>
        <w:t>-2941 N</w:t>
      </w:r>
      <w:r w:rsidR="00C20869" w:rsidRPr="1F32EFB5">
        <w:rPr>
          <w:lang w:val="en-GB"/>
        </w:rPr>
        <w:t>).</w:t>
      </w:r>
      <w:r w:rsidR="00837FB8" w:rsidRPr="1F32EFB5">
        <w:rPr>
          <w:lang w:val="en-GB"/>
        </w:rPr>
        <w:t xml:space="preserve"> T</w:t>
      </w:r>
      <w:r w:rsidR="0030274B" w:rsidRPr="1F32EFB5">
        <w:rPr>
          <w:lang w:val="en-GB"/>
        </w:rPr>
        <w:t>he limits of agreement were [</w:t>
      </w:r>
      <w:r w:rsidR="001B46DA">
        <w:rPr>
          <w:lang w:val="en-GB"/>
        </w:rPr>
        <w:t>-5671 N; 4079 N</w:t>
      </w:r>
      <w:r w:rsidR="0030274B" w:rsidRPr="1F32EFB5">
        <w:rPr>
          <w:lang w:val="en-GB"/>
        </w:rPr>
        <w:t>]</w:t>
      </w:r>
      <w:r w:rsidR="00C20869" w:rsidRPr="1F32EFB5">
        <w:rPr>
          <w:lang w:val="en-GB"/>
        </w:rPr>
        <w:t xml:space="preserve"> for </w:t>
      </w:r>
      <w:r w:rsidR="001B5034">
        <w:rPr>
          <w:lang w:val="en-GB"/>
        </w:rPr>
        <w:t>Lyon</w:t>
      </w:r>
      <w:r w:rsidR="00F94B58" w:rsidRPr="1F32EFB5">
        <w:rPr>
          <w:lang w:val="en-GB"/>
        </w:rPr>
        <w:t xml:space="preserve"> </w:t>
      </w:r>
      <w:r w:rsidR="00C20869" w:rsidRPr="1F32EFB5">
        <w:rPr>
          <w:lang w:val="en-GB"/>
        </w:rPr>
        <w:t>model</w:t>
      </w:r>
      <w:r w:rsidR="00837FB8" w:rsidRPr="1F32EFB5">
        <w:rPr>
          <w:lang w:val="en-GB"/>
        </w:rPr>
        <w:t xml:space="preserve">, in the same range as for </w:t>
      </w:r>
      <w:r w:rsidR="00F94B58">
        <w:rPr>
          <w:lang w:val="en-GB"/>
        </w:rPr>
        <w:t xml:space="preserve">the </w:t>
      </w:r>
      <w:r w:rsidR="001B5034">
        <w:rPr>
          <w:lang w:val="en-GB"/>
        </w:rPr>
        <w:t>Leuven</w:t>
      </w:r>
      <w:r w:rsidR="00F94B58" w:rsidRPr="1F32EFB5">
        <w:rPr>
          <w:lang w:val="en-GB"/>
        </w:rPr>
        <w:t xml:space="preserve"> </w:t>
      </w:r>
      <w:r w:rsidR="00837FB8" w:rsidRPr="1F32EFB5">
        <w:rPr>
          <w:lang w:val="en-GB"/>
        </w:rPr>
        <w:t>model ([</w:t>
      </w:r>
      <w:r w:rsidR="004B33E2">
        <w:rPr>
          <w:lang w:val="en-GB"/>
        </w:rPr>
        <w:t>-7436 N; 1554 N</w:t>
      </w:r>
      <w:r w:rsidR="0015222D" w:rsidRPr="1F32EFB5">
        <w:rPr>
          <w:lang w:val="en-GB"/>
        </w:rPr>
        <w:t>])</w:t>
      </w:r>
      <w:r w:rsidR="0030274B" w:rsidRPr="1F32EFB5">
        <w:rPr>
          <w:lang w:val="en-GB"/>
        </w:rPr>
        <w:t xml:space="preserve">. </w:t>
      </w:r>
      <w:r w:rsidR="004E36EB" w:rsidRPr="1F32EFB5">
        <w:rPr>
          <w:lang w:val="en-GB"/>
        </w:rPr>
        <w:t xml:space="preserve">A correlation plot between numerical and experimental failure loads is given in Figure </w:t>
      </w:r>
      <w:r w:rsidR="00A10475">
        <w:rPr>
          <w:lang w:val="en-GB"/>
        </w:rPr>
        <w:t>S</w:t>
      </w:r>
      <w:r w:rsidR="0015222D" w:rsidRPr="1F32EFB5">
        <w:rPr>
          <w:lang w:val="en-GB"/>
        </w:rPr>
        <w:t>2, for both models</w:t>
      </w:r>
      <w:r w:rsidR="004E36EB" w:rsidRPr="1F32EFB5">
        <w:rPr>
          <w:lang w:val="en-GB"/>
        </w:rPr>
        <w:t xml:space="preserve">. </w:t>
      </w:r>
      <w:r w:rsidR="0015222D" w:rsidRPr="1F32EFB5">
        <w:rPr>
          <w:lang w:val="en-GB"/>
        </w:rPr>
        <w:t>The coefficient</w:t>
      </w:r>
      <w:r w:rsidR="0074554E">
        <w:rPr>
          <w:lang w:val="en-GB"/>
        </w:rPr>
        <w:t>s</w:t>
      </w:r>
      <w:r w:rsidR="0015222D" w:rsidRPr="1F32EFB5">
        <w:rPr>
          <w:lang w:val="en-GB"/>
        </w:rPr>
        <w:t xml:space="preserve"> of determination </w:t>
      </w:r>
      <w:r w:rsidR="0074554E">
        <w:rPr>
          <w:lang w:val="en-GB"/>
        </w:rPr>
        <w:t>were in the same order of magnitude</w:t>
      </w:r>
      <w:r w:rsidR="0015222D" w:rsidRPr="1F32EFB5">
        <w:rPr>
          <w:lang w:val="en-GB"/>
        </w:rPr>
        <w:t xml:space="preserve"> for </w:t>
      </w:r>
      <w:r w:rsidR="001B5034">
        <w:rPr>
          <w:lang w:val="en-GB"/>
        </w:rPr>
        <w:t>Lyon</w:t>
      </w:r>
      <w:r w:rsidR="005625D6">
        <w:rPr>
          <w:lang w:val="en-GB"/>
        </w:rPr>
        <w:t xml:space="preserve"> </w:t>
      </w:r>
      <w:r w:rsidR="0015222D" w:rsidRPr="1F32EFB5">
        <w:rPr>
          <w:lang w:val="en-GB"/>
        </w:rPr>
        <w:t xml:space="preserve">(R² = 0.48) </w:t>
      </w:r>
      <w:r w:rsidR="00E01D39">
        <w:rPr>
          <w:lang w:val="en-GB"/>
        </w:rPr>
        <w:t xml:space="preserve">and </w:t>
      </w:r>
      <w:r w:rsidR="001B5034">
        <w:rPr>
          <w:lang w:val="en-GB"/>
        </w:rPr>
        <w:t>Leuven</w:t>
      </w:r>
      <w:r w:rsidR="0015222D" w:rsidRPr="1F32EFB5">
        <w:rPr>
          <w:lang w:val="en-GB"/>
        </w:rPr>
        <w:t xml:space="preserve"> (R² = 0.61)</w:t>
      </w:r>
      <w:r w:rsidR="00E01D39">
        <w:rPr>
          <w:lang w:val="en-GB"/>
        </w:rPr>
        <w:t xml:space="preserve"> </w:t>
      </w:r>
      <w:r w:rsidR="00E01D39" w:rsidRPr="1F32EFB5">
        <w:rPr>
          <w:lang w:val="en-GB"/>
        </w:rPr>
        <w:t>model</w:t>
      </w:r>
      <w:r w:rsidR="00E01D39">
        <w:rPr>
          <w:lang w:val="en-GB"/>
        </w:rPr>
        <w:t xml:space="preserve">s. </w:t>
      </w:r>
    </w:p>
    <w:p w14:paraId="033D6585" w14:textId="50B38621" w:rsidR="006470E2" w:rsidRPr="006470E2" w:rsidRDefault="00C20869" w:rsidP="006470E2">
      <w:pPr>
        <w:jc w:val="both"/>
        <w:rPr>
          <w:lang w:val="en-GB"/>
        </w:rPr>
      </w:pPr>
      <w:r>
        <w:rPr>
          <w:lang w:val="en-GB"/>
        </w:rPr>
        <w:lastRenderedPageBreak/>
        <w:t xml:space="preserve">Although the performance of </w:t>
      </w:r>
      <w:r w:rsidR="001B5034">
        <w:rPr>
          <w:lang w:val="en-GB"/>
        </w:rPr>
        <w:t>Lyon</w:t>
      </w:r>
      <w:r w:rsidR="00F94B58">
        <w:rPr>
          <w:lang w:val="en-GB"/>
        </w:rPr>
        <w:t xml:space="preserve"> </w:t>
      </w:r>
      <w:r>
        <w:rPr>
          <w:lang w:val="en-GB"/>
        </w:rPr>
        <w:t xml:space="preserve">model seems to be slightly inferior compared to </w:t>
      </w:r>
      <w:r w:rsidR="001B5034">
        <w:rPr>
          <w:lang w:val="en-GB"/>
        </w:rPr>
        <w:t>Leuven</w:t>
      </w:r>
      <w:r w:rsidR="00F94B58">
        <w:rPr>
          <w:lang w:val="en-GB"/>
        </w:rPr>
        <w:t xml:space="preserve"> </w:t>
      </w:r>
      <w:r>
        <w:rPr>
          <w:lang w:val="en-GB"/>
        </w:rPr>
        <w:t xml:space="preserve">model in terms of correlation with experimental data, the limits of agreement between numerical and experimental failure loads are in the same range. </w:t>
      </w:r>
      <w:r w:rsidR="00771496">
        <w:rPr>
          <w:lang w:val="en-GB"/>
        </w:rPr>
        <w:t xml:space="preserve">The higher bias for </w:t>
      </w:r>
      <w:r w:rsidR="001B5034">
        <w:rPr>
          <w:lang w:val="en-GB"/>
        </w:rPr>
        <w:t>Leuven</w:t>
      </w:r>
      <w:r w:rsidR="00771496">
        <w:rPr>
          <w:lang w:val="en-GB"/>
        </w:rPr>
        <w:t xml:space="preserve"> model can be due to the experimental conditions that differ compared to the dataset used to validate the model (length from the top of the femoral head to the distal diaphysis, and orientation of the setup) </w:t>
      </w:r>
      <w:r w:rsidR="00771496">
        <w:rPr>
          <w:lang w:val="en-GB"/>
        </w:rPr>
        <w:fldChar w:fldCharType="begin"/>
      </w:r>
      <w:r w:rsidR="00771496">
        <w:rPr>
          <w:lang w:val="en-GB"/>
        </w:rPr>
        <w:instrText xml:space="preserve"> ADDIN ZOTERO_ITEM CSL_CITATION {"citationID":"ezsTvr8c","properties":{"formattedCitation":"(Gardegaront et al. 2024)","plainCitation":"(Gardegaront et al. 2024)","noteIndex":0},"citationItems":[{"id":868,"uris":["http://zotero.org/users/local/wlG95xIX/items/J944MYIQ"],"itemData":{"id":868,"type":"article-journal","abstract":"Introduction\nMetastases increase the risk of fracture when affecting the femur. Consequently, clinicians need to know if the patient's femur can withstand the stress of daily activities. The current tools used in clinics are not sufficiently precise. A new method, the CT-scan-based finite element analysis, gives good predictive results. However, none of the existing models were tested for reproducibility. This is a critical issue to address in order to apply the technique on a large cohort around the world to help evaluate bone metastatic fracture risk in patients. The aim of this study is then to evaluate 1) the reproducibility 2) the transposition of the reproduced model to another dataset and 3) the global sensitivity of one of the most promising models of the literature (original model).\nMethods\nThe model was reproduced based on the paper describing it and discussion with authors to avoid reproduction errors. The reproducibility was evaluated by comparing the results given in the original model by the original first team (Leuven, Belgium) and the reproduced model made by another team (Lyon, France) on the same dataset of CT-scans of ex vivo femurs. The transposition of the model was evaluated by comparing the results of the reproduced model on two different datasets. The global sensitivity analysis was done by using the Morris method and evaluates the influence of the density calibration coefficient, the segmentation, the orientations and the length of the femur.\nResults\nThe original and reproduced models are highly correlated (r2 = 0.95), even though the reproduced model gives systematically higher failure loads. When using the reproduced model on another dataset, predictions are less accurate (r2 with the experimental failure load decreases, errors increase). The global sensitivity analysis showed high influence of the density calibration coefficient (mean variation of failure load of 84 %) and non-negligible influence of the segmentation, orientation and length of the femur (mean variation of failure load between 7 and 10 %).\nConclusion\nThis study showed that, although being validated, the reproduced model underperformed when using another dataset. The difference in performance depending on the dataset is commonly the cause of overfitting when creating the model. However, the dataset used in the original paper (Sas et al., 2020a) and the Leuven's dataset gave similar performance, which indicates a lesser probability for the overfitting cause. Also, the model is highly sensitive to density parameters and automation of measurement may minimize the uncertainty on failure load. An uncertainty propagation analysis would give the actual precision of such model and improve our understanding of its behavior and is part of future work.","container-title":"Journal of the Mechanical Behavior of Biomedical Materials","DOI":"10.1016/j.jmbbm.2024.106676","ISSN":"1751-6161","journalAbbreviation":"Journal of the Mechanical Behavior of Biomedical Materials","page":"106676","title":"Inter-laboratory reproduction and sensitivity study of a finite element model to quantify human femur failure load: Case of metastases","volume":"158","author":[{"family":"Gardegaront","given":"Marc"},{"family":"Sas","given":"Amelie"},{"family":"Brizard","given":"Denis"},{"family":"Levillain","given":"Aurélie"},{"family":"Bermond","given":"François"},{"family":"Confavreux","given":"Cyrille B."},{"family":"Pialat","given":"Jean-Baptiste"},{"family":"Lenthe","given":"G. Harry","non-dropping-particle":"van"},{"family":"Follet","given":"Hélène"},{"family":"Mitton","given":"David"}],"issued":{"date-parts":[["2024",10,1]]}}}],"schema":"https://github.com/citation-style-language/schema/raw/master/csl-citation.json"} </w:instrText>
      </w:r>
      <w:r w:rsidR="00771496">
        <w:rPr>
          <w:lang w:val="en-GB"/>
        </w:rPr>
        <w:fldChar w:fldCharType="separate"/>
      </w:r>
      <w:r w:rsidR="00771496" w:rsidRPr="00305C19">
        <w:rPr>
          <w:rFonts w:ascii="Calibri" w:hAnsi="Calibri" w:cs="Calibri"/>
          <w:lang w:val="en-GB"/>
        </w:rPr>
        <w:t>(Gardegaront et al. 2024)</w:t>
      </w:r>
      <w:r w:rsidR="00771496">
        <w:rPr>
          <w:lang w:val="en-GB"/>
        </w:rPr>
        <w:fldChar w:fldCharType="end"/>
      </w:r>
      <w:r w:rsidR="00771496">
        <w:rPr>
          <w:lang w:val="en-GB"/>
        </w:rPr>
        <w:t xml:space="preserve">. </w:t>
      </w:r>
      <w:r>
        <w:rPr>
          <w:lang w:val="en-GB"/>
        </w:rPr>
        <w:t xml:space="preserve">The coefficient of determination for </w:t>
      </w:r>
      <w:r w:rsidR="001B5034">
        <w:rPr>
          <w:lang w:val="en-GB"/>
        </w:rPr>
        <w:t xml:space="preserve">Lyon </w:t>
      </w:r>
      <w:r>
        <w:rPr>
          <w:lang w:val="en-GB"/>
        </w:rPr>
        <w:t>model</w:t>
      </w:r>
      <w:r w:rsidR="00EA3673">
        <w:rPr>
          <w:lang w:val="en-GB"/>
        </w:rPr>
        <w:t xml:space="preserve"> (R² = 0.48)</w:t>
      </w:r>
      <w:r>
        <w:rPr>
          <w:lang w:val="en-GB"/>
        </w:rPr>
        <w:t xml:space="preserve"> is lower compared to the model developed by </w:t>
      </w:r>
      <w:proofErr w:type="spellStart"/>
      <w:r>
        <w:rPr>
          <w:lang w:val="en-GB"/>
        </w:rPr>
        <w:t>Duchemin</w:t>
      </w:r>
      <w:proofErr w:type="spellEnd"/>
      <w:r>
        <w:rPr>
          <w:lang w:val="en-GB"/>
        </w:rPr>
        <w:t xml:space="preserve"> et al</w:t>
      </w:r>
      <w:r w:rsidR="00EA3673">
        <w:rPr>
          <w:lang w:val="en-GB"/>
        </w:rPr>
        <w:t xml:space="preserve"> (R² = 0.84)</w:t>
      </w:r>
      <w:r>
        <w:rPr>
          <w:lang w:val="en-GB"/>
        </w:rPr>
        <w:t xml:space="preserve"> </w:t>
      </w:r>
      <w:r>
        <w:rPr>
          <w:lang w:val="en-GB"/>
        </w:rPr>
        <w:fldChar w:fldCharType="begin"/>
      </w:r>
      <w:r w:rsidR="00305C19">
        <w:rPr>
          <w:lang w:val="en-GB"/>
        </w:rPr>
        <w:instrText xml:space="preserve"> ADDIN ZOTERO_ITEM CSL_CITATION {"citationID":"4NDFGCjQ","properties":{"formattedCitation":"(Duchemin et al. 2008)","plainCitation":"(Duchemin et al. 2008)","noteIndex":0},"citationItems":[{"id":849,"uris":["http://zotero.org/users/local/wlG95xIX/items/BKILSE43"],"itemData":{"id":849,"type":"article-journal","container-title":"Computer Methods in Biomechanics and Biomedical Engineering","DOI":"10.1080/10255840701535965","ISSN":"1025-5842","issue":"2","journalAbbreviation":"Computer Methods in Biomechanics and Biomedical Engineering","note":"publisher: Informa UK Limited","page":"105-111","title":"An anatomical subject-specific FE-model for hip fracture load prediction","volume":"11","author":[{"family":"Duchemin","given":"L."},{"family":"Mitton","given":"D."},{"family":"Jolivet","given":"E."},{"family":"Bousson","given":"V."},{"family":"Laredo","given":"J. D."},{"family":"Skalli","given":"W."}],"issued":{"date-parts":[["2008"]]}}}],"schema":"https://github.com/citation-style-language/schema/raw/master/csl-citation.json"} </w:instrText>
      </w:r>
      <w:r>
        <w:rPr>
          <w:lang w:val="en-GB"/>
        </w:rPr>
        <w:fldChar w:fldCharType="separate"/>
      </w:r>
      <w:r w:rsidRPr="00CB544F">
        <w:rPr>
          <w:rFonts w:ascii="Calibri" w:hAnsi="Calibri" w:cs="Calibri"/>
          <w:lang w:val="en-GB"/>
        </w:rPr>
        <w:t>(Duchemin et al. 2008)</w:t>
      </w:r>
      <w:r>
        <w:rPr>
          <w:lang w:val="en-GB"/>
        </w:rPr>
        <w:fldChar w:fldCharType="end"/>
      </w:r>
      <w:r>
        <w:rPr>
          <w:lang w:val="en-GB"/>
        </w:rPr>
        <w:t xml:space="preserve">. </w:t>
      </w:r>
      <w:r w:rsidR="00EA3673">
        <w:rPr>
          <w:lang w:val="en-GB"/>
        </w:rPr>
        <w:t xml:space="preserve">This difference can be explained by a </w:t>
      </w:r>
      <w:r w:rsidR="001E14BC">
        <w:rPr>
          <w:lang w:val="en-GB"/>
        </w:rPr>
        <w:t>(</w:t>
      </w:r>
      <w:proofErr w:type="spellStart"/>
      <w:r w:rsidR="001E14BC">
        <w:rPr>
          <w:lang w:val="en-GB"/>
        </w:rPr>
        <w:t>i</w:t>
      </w:r>
      <w:proofErr w:type="spellEnd"/>
      <w:r w:rsidR="001E14BC">
        <w:rPr>
          <w:lang w:val="en-GB"/>
        </w:rPr>
        <w:t xml:space="preserve">) </w:t>
      </w:r>
      <w:r w:rsidR="00EA3673">
        <w:rPr>
          <w:lang w:val="en-GB"/>
        </w:rPr>
        <w:t xml:space="preserve">calibration of the original model on a specific dataset, </w:t>
      </w:r>
      <w:r w:rsidR="00305C19">
        <w:rPr>
          <w:lang w:val="en-GB"/>
        </w:rPr>
        <w:t xml:space="preserve">which can </w:t>
      </w:r>
      <w:r w:rsidR="00EA3673">
        <w:rPr>
          <w:lang w:val="en-GB"/>
        </w:rPr>
        <w:t>result in a potential overfitting</w:t>
      </w:r>
      <w:r w:rsidR="001E14BC">
        <w:rPr>
          <w:lang w:val="en-GB"/>
        </w:rPr>
        <w:t xml:space="preserve">, and (ii) </w:t>
      </w:r>
      <w:r w:rsidR="00DB3E2E">
        <w:rPr>
          <w:lang w:val="en-GB"/>
        </w:rPr>
        <w:t xml:space="preserve">different experimental conditions </w:t>
      </w:r>
      <w:r w:rsidR="00512CD1">
        <w:rPr>
          <w:lang w:val="en-GB"/>
        </w:rPr>
        <w:t>between each dataset</w:t>
      </w:r>
      <w:r w:rsidR="00EA3673">
        <w:rPr>
          <w:lang w:val="en-GB"/>
        </w:rPr>
        <w:t xml:space="preserve">. </w:t>
      </w:r>
      <w:r w:rsidR="00305C19">
        <w:rPr>
          <w:lang w:val="en-GB"/>
        </w:rPr>
        <w:t xml:space="preserve">Indeed, transposing a model to another dataset can show different performances </w:t>
      </w:r>
      <w:r w:rsidR="00305C19">
        <w:rPr>
          <w:lang w:val="en-GB"/>
        </w:rPr>
        <w:fldChar w:fldCharType="begin"/>
      </w:r>
      <w:r w:rsidR="00305C19">
        <w:rPr>
          <w:lang w:val="en-GB"/>
        </w:rPr>
        <w:instrText xml:space="preserve"> ADDIN ZOTERO_ITEM CSL_CITATION {"citationID":"ezsTvr8c","properties":{"formattedCitation":"(Gardegaront et al. 2024)","plainCitation":"(Gardegaront et al. 2024)","noteIndex":0},"citationItems":[{"id":868,"uris":["http://zotero.org/users/local/wlG95xIX/items/J944MYIQ"],"itemData":{"id":868,"type":"article-journal","abstract":"Introduction\nMetastases increase the risk of fracture when affecting the femur. Consequently, clinicians need to know if the patient's femur can withstand the stress of daily activities. The current tools used in clinics are not sufficiently precise. A new method, the CT-scan-based finite element analysis, gives good predictive results. However, none of the existing models were tested for reproducibility. This is a critical issue to address in order to apply the technique on a large cohort around the world to help evaluate bone metastatic fracture risk in patients. The aim of this study is then to evaluate 1) the reproducibility 2) the transposition of the reproduced model to another dataset and 3) the global sensitivity of one of the most promising models of the literature (original model).\nMethods\nThe model was reproduced based on the paper describing it and discussion with authors to avoid reproduction errors. The reproducibility was evaluated by comparing the results given in the original model by the original first team (Leuven, Belgium) and the reproduced model made by another team (Lyon, France) on the same dataset of CT-scans of ex vivo femurs. The transposition of the model was evaluated by comparing the results of the reproduced model on two different datasets. The global sensitivity analysis was done by using the Morris method and evaluates the influence of the density calibration coefficient, the segmentation, the orientations and the length of the femur.\nResults\nThe original and reproduced models are highly correlated (r2 = 0.95), even though the reproduced model gives systematically higher failure loads. When using the reproduced model on another dataset, predictions are less accurate (r2 with the experimental failure load decreases, errors increase). The global sensitivity analysis showed high influence of the density calibration coefficient (mean variation of failure load of 84 %) and non-negligible influence of the segmentation, orientation and length of the femur (mean variation of failure load between 7 and 10 %).\nConclusion\nThis study showed that, although being validated, the reproduced model underperformed when using another dataset. The difference in performance depending on the dataset is commonly the cause of overfitting when creating the model. However, the dataset used in the original paper (Sas et al., 2020a) and the Leuven's dataset gave similar performance, which indicates a lesser probability for the overfitting cause. Also, the model is highly sensitive to density parameters and automation of measurement may minimize the uncertainty on failure load. An uncertainty propagation analysis would give the actual precision of such model and improve our understanding of its behavior and is part of future work.","container-title":"Journal of the Mechanical Behavior of Biomedical Materials","DOI":"10.1016/j.jmbbm.2024.106676","ISSN":"1751-6161","journalAbbreviation":"Journal of the Mechanical Behavior of Biomedical Materials","page":"106676","title":"Inter-laboratory reproduction and sensitivity study of a finite element model to quantify human femur failure load: Case of metastases","volume":"158","author":[{"family":"Gardegaront","given":"Marc"},{"family":"Sas","given":"Amelie"},{"family":"Brizard","given":"Denis"},{"family":"Levillain","given":"Aurélie"},{"family":"Bermond","given":"François"},{"family":"Confavreux","given":"Cyrille B."},{"family":"Pialat","given":"Jean-Baptiste"},{"family":"Lenthe","given":"G. Harry","non-dropping-particle":"van"},{"family":"Follet","given":"Hélène"},{"family":"Mitton","given":"David"}],"issued":{"date-parts":[["2024",10,1]]}}}],"schema":"https://github.com/citation-style-language/schema/raw/master/csl-citation.json"} </w:instrText>
      </w:r>
      <w:r w:rsidR="00305C19">
        <w:rPr>
          <w:lang w:val="en-GB"/>
        </w:rPr>
        <w:fldChar w:fldCharType="separate"/>
      </w:r>
      <w:r w:rsidR="00305C19" w:rsidRPr="00305C19">
        <w:rPr>
          <w:rFonts w:ascii="Calibri" w:hAnsi="Calibri" w:cs="Calibri"/>
          <w:lang w:val="en-GB"/>
        </w:rPr>
        <w:t>(Gardegaront et al. 2024)</w:t>
      </w:r>
      <w:r w:rsidR="00305C19">
        <w:rPr>
          <w:lang w:val="en-GB"/>
        </w:rPr>
        <w:fldChar w:fldCharType="end"/>
      </w:r>
      <w:r w:rsidR="00305C19">
        <w:rPr>
          <w:lang w:val="en-GB"/>
        </w:rPr>
        <w:t>.</w:t>
      </w:r>
    </w:p>
    <w:p w14:paraId="55F1C88E" w14:textId="77777777" w:rsidR="000F51FC" w:rsidRPr="00122066" w:rsidRDefault="000F51FC" w:rsidP="000F51FC">
      <w:pPr>
        <w:keepNext/>
        <w:jc w:val="both"/>
        <w:rPr>
          <w:lang w:val="en-GB"/>
        </w:rPr>
      </w:pPr>
      <w:r>
        <w:rPr>
          <w:noProof/>
          <w:lang w:val="en-GB"/>
        </w:rPr>
        <w:drawing>
          <wp:inline distT="0" distB="0" distL="0" distR="0" wp14:anchorId="2645D5D5" wp14:editId="5F4B528F">
            <wp:extent cx="5760720" cy="28803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08CA2E95" w14:textId="75684E88" w:rsidR="00BF2629" w:rsidRDefault="000F51FC" w:rsidP="00BF2629">
      <w:pPr>
        <w:pStyle w:val="Lgende"/>
        <w:rPr>
          <w:lang w:val="en-GB"/>
        </w:rPr>
      </w:pPr>
      <w:r w:rsidRPr="1F32EFB5">
        <w:rPr>
          <w:lang w:val="en-GB"/>
        </w:rPr>
        <w:t xml:space="preserve">Figure </w:t>
      </w:r>
      <w:r w:rsidR="00A10475">
        <w:rPr>
          <w:lang w:val="en-GB"/>
        </w:rPr>
        <w:t>S</w:t>
      </w:r>
      <w:r>
        <w:fldChar w:fldCharType="begin"/>
      </w:r>
      <w:r w:rsidRPr="1F32EFB5">
        <w:rPr>
          <w:lang w:val="en-GB"/>
        </w:rPr>
        <w:instrText xml:space="preserve"> SEQ Figure \* ARABIC </w:instrText>
      </w:r>
      <w:r>
        <w:fldChar w:fldCharType="separate"/>
      </w:r>
      <w:r w:rsidR="00837FB8" w:rsidRPr="1F32EFB5">
        <w:rPr>
          <w:noProof/>
          <w:lang w:val="en-GB"/>
        </w:rPr>
        <w:t>1</w:t>
      </w:r>
      <w:r>
        <w:fldChar w:fldCharType="end"/>
      </w:r>
      <w:r w:rsidRPr="1F32EFB5">
        <w:rPr>
          <w:lang w:val="en-GB"/>
        </w:rPr>
        <w:t xml:space="preserve"> </w:t>
      </w:r>
      <w:r w:rsidR="00BF2629" w:rsidRPr="1F32EFB5">
        <w:rPr>
          <w:lang w:val="en-GB"/>
        </w:rPr>
        <w:t>–</w:t>
      </w:r>
      <w:r w:rsidRPr="1F32EFB5">
        <w:rPr>
          <w:lang w:val="en-GB"/>
        </w:rPr>
        <w:t>Bland-Altman</w:t>
      </w:r>
      <w:r w:rsidR="00BF2629" w:rsidRPr="1F32EFB5">
        <w:rPr>
          <w:lang w:val="en-GB"/>
        </w:rPr>
        <w:t xml:space="preserve"> plot showing agreement between numerical and experimental failure</w:t>
      </w:r>
      <w:r w:rsidR="00837FB8" w:rsidRPr="1F32EFB5">
        <w:rPr>
          <w:lang w:val="en-GB"/>
        </w:rPr>
        <w:t xml:space="preserve"> loads obtained using </w:t>
      </w:r>
      <w:r w:rsidR="004B4AA0">
        <w:rPr>
          <w:lang w:val="en-GB"/>
        </w:rPr>
        <w:t>Lyon</w:t>
      </w:r>
      <w:r w:rsidR="00484A59" w:rsidRPr="1F32EFB5">
        <w:rPr>
          <w:lang w:val="en-GB"/>
        </w:rPr>
        <w:t xml:space="preserve"> </w:t>
      </w:r>
      <w:r w:rsidR="00837FB8" w:rsidRPr="1F32EFB5">
        <w:rPr>
          <w:lang w:val="en-GB"/>
        </w:rPr>
        <w:t xml:space="preserve">model (left) and </w:t>
      </w:r>
      <w:r w:rsidR="004B4AA0">
        <w:rPr>
          <w:lang w:val="en-GB"/>
        </w:rPr>
        <w:t>Leuven</w:t>
      </w:r>
      <w:r w:rsidR="00484A59" w:rsidRPr="1F32EFB5">
        <w:rPr>
          <w:lang w:val="en-GB"/>
        </w:rPr>
        <w:t xml:space="preserve"> </w:t>
      </w:r>
      <w:r w:rsidR="00837FB8" w:rsidRPr="1F32EFB5">
        <w:rPr>
          <w:lang w:val="en-GB"/>
        </w:rPr>
        <w:t>model (right)</w:t>
      </w:r>
      <w:r w:rsidR="00BF2629" w:rsidRPr="1F32EFB5">
        <w:rPr>
          <w:lang w:val="en-GB"/>
        </w:rPr>
        <w:t xml:space="preserve">. </w:t>
      </w:r>
      <w:r w:rsidR="00A503F6">
        <w:rPr>
          <w:lang w:val="en-GB"/>
        </w:rPr>
        <w:t>D</w:t>
      </w:r>
      <w:r w:rsidR="00BF2629" w:rsidRPr="1F32EFB5">
        <w:rPr>
          <w:lang w:val="en-GB"/>
        </w:rPr>
        <w:t>ifferences</w:t>
      </w:r>
      <w:r w:rsidR="00372960">
        <w:rPr>
          <w:lang w:val="en-GB"/>
        </w:rPr>
        <w:t xml:space="preserve"> (numerical failure load – experimental failure load)</w:t>
      </w:r>
      <w:r w:rsidR="00BF2629" w:rsidRPr="1F32EFB5">
        <w:rPr>
          <w:lang w:val="en-GB"/>
        </w:rPr>
        <w:t xml:space="preserve"> are displaye</w:t>
      </w:r>
      <w:r w:rsidR="0030274B" w:rsidRPr="1F32EFB5">
        <w:rPr>
          <w:lang w:val="en-GB"/>
        </w:rPr>
        <w:t>d</w:t>
      </w:r>
      <w:r w:rsidR="00BF2629" w:rsidRPr="1F32EFB5">
        <w:rPr>
          <w:lang w:val="en-GB"/>
        </w:rPr>
        <w:t>. The dashed grey line indicates the mean difference, the red dash lines indicate the upper and lower limits of agreement.</w:t>
      </w:r>
      <w:r w:rsidR="00A10475">
        <w:rPr>
          <w:lang w:val="en-GB"/>
        </w:rPr>
        <w:t xml:space="preserve"> </w:t>
      </w:r>
      <w:r w:rsidR="00556676">
        <w:rPr>
          <w:lang w:val="en-GB"/>
        </w:rPr>
        <w:t xml:space="preserve">Blue circles: intact femurs; </w:t>
      </w:r>
      <w:r w:rsidR="00484A59">
        <w:rPr>
          <w:lang w:val="en-GB"/>
        </w:rPr>
        <w:t>o</w:t>
      </w:r>
      <w:r w:rsidR="00556676">
        <w:rPr>
          <w:lang w:val="en-GB"/>
        </w:rPr>
        <w:t xml:space="preserve">range squares: </w:t>
      </w:r>
      <w:r w:rsidR="00AB7943">
        <w:rPr>
          <w:lang w:val="en-GB"/>
        </w:rPr>
        <w:t>femurs with defect.</w:t>
      </w:r>
      <w:r w:rsidR="00556676">
        <w:rPr>
          <w:lang w:val="en-GB"/>
        </w:rPr>
        <w:t xml:space="preserve"> </w:t>
      </w:r>
    </w:p>
    <w:p w14:paraId="507580E8" w14:textId="77777777" w:rsidR="00837FB8" w:rsidRPr="00305C19" w:rsidRDefault="00837FB8" w:rsidP="00837FB8">
      <w:pPr>
        <w:keepNext/>
        <w:rPr>
          <w:lang w:val="en-GB"/>
        </w:rPr>
      </w:pPr>
      <w:r>
        <w:rPr>
          <w:noProof/>
          <w:lang w:val="en-GB"/>
        </w:rPr>
        <w:drawing>
          <wp:inline distT="0" distB="0" distL="0" distR="0" wp14:anchorId="6F680506" wp14:editId="2B4BC7BC">
            <wp:extent cx="3350178" cy="2791815"/>
            <wp:effectExtent l="0" t="0" r="317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a:extLst>
                        <a:ext uri="{28A0092B-C50C-407E-A947-70E740481C1C}">
                          <a14:useLocalDpi xmlns:a14="http://schemas.microsoft.com/office/drawing/2010/main" val="0"/>
                        </a:ext>
                      </a:extLst>
                    </a:blip>
                    <a:stretch>
                      <a:fillRect/>
                    </a:stretch>
                  </pic:blipFill>
                  <pic:spPr>
                    <a:xfrm>
                      <a:off x="0" y="0"/>
                      <a:ext cx="3350178" cy="2791815"/>
                    </a:xfrm>
                    <a:prstGeom prst="rect">
                      <a:avLst/>
                    </a:prstGeom>
                  </pic:spPr>
                </pic:pic>
              </a:graphicData>
            </a:graphic>
          </wp:inline>
        </w:drawing>
      </w:r>
    </w:p>
    <w:p w14:paraId="169EB9CB" w14:textId="496B585B" w:rsidR="00837FB8" w:rsidRDefault="00837FB8" w:rsidP="00837FB8">
      <w:pPr>
        <w:pStyle w:val="Lgende"/>
        <w:rPr>
          <w:lang w:val="en-GB"/>
        </w:rPr>
      </w:pPr>
      <w:r w:rsidRPr="00837FB8">
        <w:rPr>
          <w:lang w:val="en-GB"/>
        </w:rPr>
        <w:t xml:space="preserve">Figure </w:t>
      </w:r>
      <w:r w:rsidR="00A10475">
        <w:rPr>
          <w:lang w:val="en-GB"/>
        </w:rPr>
        <w:t>S</w:t>
      </w:r>
      <w:r>
        <w:fldChar w:fldCharType="begin"/>
      </w:r>
      <w:r w:rsidRPr="00837FB8">
        <w:rPr>
          <w:lang w:val="en-GB"/>
        </w:rPr>
        <w:instrText xml:space="preserve"> SEQ Figure \* ARABIC </w:instrText>
      </w:r>
      <w:r>
        <w:fldChar w:fldCharType="separate"/>
      </w:r>
      <w:r w:rsidRPr="00837FB8">
        <w:rPr>
          <w:noProof/>
          <w:lang w:val="en-GB"/>
        </w:rPr>
        <w:t>2</w:t>
      </w:r>
      <w:r>
        <w:fldChar w:fldCharType="end"/>
      </w:r>
      <w:r w:rsidRPr="00837FB8">
        <w:rPr>
          <w:lang w:val="en-GB"/>
        </w:rPr>
        <w:t xml:space="preserve"> - </w:t>
      </w:r>
      <w:r>
        <w:rPr>
          <w:lang w:val="en-GB"/>
        </w:rPr>
        <w:t xml:space="preserve">Correlation plot between numerical and experimental failure loads obtained using </w:t>
      </w:r>
      <w:r w:rsidR="004B4AA0">
        <w:rPr>
          <w:lang w:val="en-GB"/>
        </w:rPr>
        <w:t>Lyon</w:t>
      </w:r>
      <w:r>
        <w:rPr>
          <w:lang w:val="en-GB"/>
        </w:rPr>
        <w:t xml:space="preserve"> model (blue) and </w:t>
      </w:r>
      <w:r w:rsidR="004B4AA0">
        <w:rPr>
          <w:lang w:val="en-GB"/>
        </w:rPr>
        <w:t>Leuven</w:t>
      </w:r>
      <w:r>
        <w:rPr>
          <w:lang w:val="en-GB"/>
        </w:rPr>
        <w:t xml:space="preserve"> model (orange). Circles: intact femurs; Squares: femurs with defect. Regression equations are displayed.</w:t>
      </w:r>
    </w:p>
    <w:p w14:paraId="2EDD162A" w14:textId="624A61A2" w:rsidR="00837FB8" w:rsidRPr="00C20869" w:rsidRDefault="00837FB8" w:rsidP="00837FB8">
      <w:pPr>
        <w:pStyle w:val="Lgende"/>
        <w:rPr>
          <w:i w:val="0"/>
          <w:iCs w:val="0"/>
          <w:lang w:val="en-GB"/>
        </w:rPr>
      </w:pPr>
    </w:p>
    <w:p w14:paraId="4B324128" w14:textId="0B746505" w:rsidR="000F31C6" w:rsidRDefault="006470E2" w:rsidP="000F51FC">
      <w:pPr>
        <w:pStyle w:val="Lgende"/>
        <w:jc w:val="both"/>
        <w:rPr>
          <w:i w:val="0"/>
          <w:iCs w:val="0"/>
          <w:color w:val="auto"/>
          <w:sz w:val="22"/>
          <w:szCs w:val="22"/>
          <w:u w:val="single"/>
          <w:lang w:val="en-GB"/>
        </w:rPr>
      </w:pPr>
      <w:r w:rsidRPr="006470E2">
        <w:rPr>
          <w:i w:val="0"/>
          <w:iCs w:val="0"/>
          <w:color w:val="auto"/>
          <w:sz w:val="22"/>
          <w:szCs w:val="22"/>
          <w:u w:val="single"/>
          <w:lang w:val="en-GB"/>
        </w:rPr>
        <w:t>References</w:t>
      </w:r>
    </w:p>
    <w:p w14:paraId="5072A3CA" w14:textId="77777777" w:rsidR="00305C19" w:rsidRPr="00305C19" w:rsidRDefault="006470E2" w:rsidP="00305C19">
      <w:pPr>
        <w:pStyle w:val="Bibliographie"/>
        <w:rPr>
          <w:rFonts w:ascii="Calibri" w:hAnsi="Calibri" w:cs="Calibri"/>
          <w:lang w:val="en-GB"/>
        </w:rPr>
      </w:pPr>
      <w:r>
        <w:rPr>
          <w:lang w:val="en-GB"/>
        </w:rPr>
        <w:fldChar w:fldCharType="begin"/>
      </w:r>
      <w:r w:rsidRPr="001B4338">
        <w:rPr>
          <w:lang w:val="en-GB"/>
        </w:rPr>
        <w:instrText xml:space="preserve"> ADDIN ZOTERO_BIBL {"uncited":[],"omitted":[],"custom":[]} CSL_BIBLIOGRAPHY </w:instrText>
      </w:r>
      <w:r>
        <w:rPr>
          <w:lang w:val="en-GB"/>
        </w:rPr>
        <w:fldChar w:fldCharType="separate"/>
      </w:r>
      <w:r w:rsidR="00305C19" w:rsidRPr="00305C19">
        <w:rPr>
          <w:rFonts w:ascii="Calibri" w:hAnsi="Calibri" w:cs="Calibri"/>
          <w:lang w:val="en-GB"/>
        </w:rPr>
        <w:t>Duchemin L, Mitton D, Jolivet E, Bousson V, Laredo JD, Skalli W. 2008. An anatomical subject-specific FE-model for hip fracture load prediction. Computer Methods in Biomechanics and Biomedical Engineering. 11(2):105–111. https://doi.org/10.1080/10255840701535965</w:t>
      </w:r>
    </w:p>
    <w:p w14:paraId="59024DFB" w14:textId="77777777" w:rsidR="00305C19" w:rsidRPr="00305C19" w:rsidRDefault="00305C19" w:rsidP="00305C19">
      <w:pPr>
        <w:pStyle w:val="Bibliographie"/>
        <w:rPr>
          <w:rFonts w:ascii="Calibri" w:hAnsi="Calibri" w:cs="Calibri"/>
          <w:lang w:val="en-GB"/>
        </w:rPr>
      </w:pPr>
      <w:r w:rsidRPr="00305C19">
        <w:rPr>
          <w:rFonts w:ascii="Calibri" w:hAnsi="Calibri" w:cs="Calibri"/>
          <w:lang w:val="en-GB"/>
        </w:rPr>
        <w:t>Faulkner KG, Glüer CC, Grampp S, Genant HK. 1993. Cross-calibration of liquid and solid QCT calibration standards: corrections to the UCSF normative data. Osteoporos Int. 3(1):36–42. https://doi.org/10.1007/BF01623175</w:t>
      </w:r>
    </w:p>
    <w:p w14:paraId="4876689B" w14:textId="77777777" w:rsidR="00305C19" w:rsidRPr="00305C19" w:rsidRDefault="00305C19" w:rsidP="00305C19">
      <w:pPr>
        <w:pStyle w:val="Bibliographie"/>
        <w:rPr>
          <w:rFonts w:ascii="Calibri" w:hAnsi="Calibri" w:cs="Calibri"/>
          <w:lang w:val="en-GB"/>
        </w:rPr>
      </w:pPr>
      <w:r w:rsidRPr="00305C19">
        <w:rPr>
          <w:rFonts w:ascii="Calibri" w:hAnsi="Calibri" w:cs="Calibri"/>
          <w:lang w:val="en-GB"/>
        </w:rPr>
        <w:t>Gardegaront M, Sas A, Brizard D, Levillain A, Bermond F, Confavreux CB, Pialat J-B, van Lenthe GH, Follet H, Mitton D. 2024. Inter-laboratory reproduction and sensitivity study of a finite element model to quantify human femur failure load: Case of metastases. Journal of the Mechanical Behavior of Biomedical Materials. 158:106676. https://doi.org/10.1016/j.jmbbm.2024.106676</w:t>
      </w:r>
    </w:p>
    <w:p w14:paraId="0197D4A9" w14:textId="77777777" w:rsidR="00305C19" w:rsidRPr="00305C19" w:rsidRDefault="00305C19" w:rsidP="00305C19">
      <w:pPr>
        <w:pStyle w:val="Bibliographie"/>
        <w:rPr>
          <w:rFonts w:ascii="Calibri" w:hAnsi="Calibri" w:cs="Calibri"/>
          <w:lang w:val="en-GB"/>
        </w:rPr>
      </w:pPr>
      <w:r w:rsidRPr="00305C19">
        <w:rPr>
          <w:rFonts w:ascii="Calibri" w:hAnsi="Calibri" w:cs="Calibri"/>
          <w:lang w:val="en-GB"/>
        </w:rPr>
        <w:t>Myronenko A, Xubo Song. 2010. Point Set Registration: Coherent Point Drift. IEEE Trans Pattern Anal Mach Intell. 32(12):2262–2275. https://doi.org/10.1109/TPAMI.2010.46</w:t>
      </w:r>
    </w:p>
    <w:p w14:paraId="38C5FC69" w14:textId="77777777" w:rsidR="00305C19" w:rsidRPr="00305C19" w:rsidRDefault="00305C19" w:rsidP="00305C19">
      <w:pPr>
        <w:pStyle w:val="Bibliographie"/>
        <w:rPr>
          <w:rFonts w:ascii="Calibri" w:hAnsi="Calibri" w:cs="Calibri"/>
          <w:lang w:val="en-GB"/>
        </w:rPr>
      </w:pPr>
      <w:r w:rsidRPr="00305C19">
        <w:rPr>
          <w:rFonts w:ascii="Calibri" w:hAnsi="Calibri" w:cs="Calibri"/>
          <w:lang w:val="en-GB"/>
        </w:rPr>
        <w:t>Riglet L, Confavreux C, Chaudier P, Pialat J-B, Bermond F, Gardegaront M, Follet H, Mitton D. 2020. Ex vivo experiments on femurs to assess metastatic bone strength. Computer Methods in Biomechanics and Biomedical Engineering. 23(sup1):S260–S261. https://doi.org/10.1080/10255842.2020.1815312</w:t>
      </w:r>
    </w:p>
    <w:p w14:paraId="0B5436F4" w14:textId="1985FF0A" w:rsidR="006470E2" w:rsidRPr="006470E2" w:rsidRDefault="006470E2" w:rsidP="006470E2">
      <w:pPr>
        <w:rPr>
          <w:lang w:val="en-GB"/>
        </w:rPr>
      </w:pPr>
      <w:r>
        <w:rPr>
          <w:lang w:val="en-GB"/>
        </w:rPr>
        <w:fldChar w:fldCharType="end"/>
      </w:r>
    </w:p>
    <w:sectPr w:rsidR="006470E2" w:rsidRPr="006470E2" w:rsidSect="00CD25C6">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B0D6E"/>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CC6"/>
    <w:rsid w:val="00047BC2"/>
    <w:rsid w:val="00065FCC"/>
    <w:rsid w:val="000F31C6"/>
    <w:rsid w:val="000F51FC"/>
    <w:rsid w:val="00106E51"/>
    <w:rsid w:val="00122066"/>
    <w:rsid w:val="00126352"/>
    <w:rsid w:val="0015222D"/>
    <w:rsid w:val="00190162"/>
    <w:rsid w:val="001954B6"/>
    <w:rsid w:val="001B4338"/>
    <w:rsid w:val="001B46DA"/>
    <w:rsid w:val="001B5034"/>
    <w:rsid w:val="001E14BC"/>
    <w:rsid w:val="001E3F44"/>
    <w:rsid w:val="001F10A8"/>
    <w:rsid w:val="00226CC6"/>
    <w:rsid w:val="00286A53"/>
    <w:rsid w:val="002A5242"/>
    <w:rsid w:val="002C4648"/>
    <w:rsid w:val="002C6E9D"/>
    <w:rsid w:val="0030274B"/>
    <w:rsid w:val="00305C19"/>
    <w:rsid w:val="00312BD3"/>
    <w:rsid w:val="00372960"/>
    <w:rsid w:val="00410BE4"/>
    <w:rsid w:val="00484A59"/>
    <w:rsid w:val="00491AA1"/>
    <w:rsid w:val="00492F57"/>
    <w:rsid w:val="004B0A3B"/>
    <w:rsid w:val="004B33E2"/>
    <w:rsid w:val="004B4AA0"/>
    <w:rsid w:val="004B55E7"/>
    <w:rsid w:val="004D33B1"/>
    <w:rsid w:val="004E36EB"/>
    <w:rsid w:val="004F306A"/>
    <w:rsid w:val="00512CD1"/>
    <w:rsid w:val="00556676"/>
    <w:rsid w:val="005625D6"/>
    <w:rsid w:val="00574544"/>
    <w:rsid w:val="005A6B95"/>
    <w:rsid w:val="005D157F"/>
    <w:rsid w:val="005F3EDB"/>
    <w:rsid w:val="006470E2"/>
    <w:rsid w:val="00721A19"/>
    <w:rsid w:val="0074554E"/>
    <w:rsid w:val="00747332"/>
    <w:rsid w:val="00771496"/>
    <w:rsid w:val="00784B14"/>
    <w:rsid w:val="007B3396"/>
    <w:rsid w:val="007C671B"/>
    <w:rsid w:val="007F439E"/>
    <w:rsid w:val="00837FB8"/>
    <w:rsid w:val="00906E1B"/>
    <w:rsid w:val="009633A1"/>
    <w:rsid w:val="00A10475"/>
    <w:rsid w:val="00A37507"/>
    <w:rsid w:val="00A503F6"/>
    <w:rsid w:val="00A7534F"/>
    <w:rsid w:val="00A908B4"/>
    <w:rsid w:val="00AB7943"/>
    <w:rsid w:val="00AF6F42"/>
    <w:rsid w:val="00B220B5"/>
    <w:rsid w:val="00BA0444"/>
    <w:rsid w:val="00BF2629"/>
    <w:rsid w:val="00BF6F4E"/>
    <w:rsid w:val="00C20869"/>
    <w:rsid w:val="00CB544F"/>
    <w:rsid w:val="00CB7388"/>
    <w:rsid w:val="00CD25C6"/>
    <w:rsid w:val="00CF5848"/>
    <w:rsid w:val="00D434FD"/>
    <w:rsid w:val="00D973C4"/>
    <w:rsid w:val="00DB3E2E"/>
    <w:rsid w:val="00DE2BB7"/>
    <w:rsid w:val="00E01D39"/>
    <w:rsid w:val="00E464EC"/>
    <w:rsid w:val="00E84D4F"/>
    <w:rsid w:val="00EA3673"/>
    <w:rsid w:val="00EF65DC"/>
    <w:rsid w:val="00F80399"/>
    <w:rsid w:val="00F94B58"/>
    <w:rsid w:val="00FB3F9E"/>
    <w:rsid w:val="00FC601E"/>
    <w:rsid w:val="18C999C2"/>
    <w:rsid w:val="1BC364FA"/>
    <w:rsid w:val="1F32EFB5"/>
    <w:rsid w:val="2ECF4C00"/>
    <w:rsid w:val="30C27B5B"/>
    <w:rsid w:val="3E8196CC"/>
    <w:rsid w:val="44B22C7A"/>
    <w:rsid w:val="5208486A"/>
    <w:rsid w:val="5D183431"/>
    <w:rsid w:val="7025B7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9561"/>
  <w15:chartTrackingRefBased/>
  <w15:docId w15:val="{12B3928F-C065-4861-9C66-3DEB4274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6A53"/>
    <w:pPr>
      <w:ind w:left="720"/>
      <w:contextualSpacing/>
    </w:pPr>
  </w:style>
  <w:style w:type="paragraph" w:styleId="Lgende">
    <w:name w:val="caption"/>
    <w:basedOn w:val="Normal"/>
    <w:next w:val="Normal"/>
    <w:uiPriority w:val="35"/>
    <w:unhideWhenUsed/>
    <w:qFormat/>
    <w:rsid w:val="000F51FC"/>
    <w:pPr>
      <w:spacing w:after="200" w:line="240" w:lineRule="auto"/>
    </w:pPr>
    <w:rPr>
      <w:i/>
      <w:iCs/>
      <w:color w:val="44546A" w:themeColor="text2"/>
      <w:sz w:val="18"/>
      <w:szCs w:val="18"/>
    </w:rPr>
  </w:style>
  <w:style w:type="paragraph" w:styleId="Bibliographie">
    <w:name w:val="Bibliography"/>
    <w:basedOn w:val="Normal"/>
    <w:next w:val="Normal"/>
    <w:uiPriority w:val="37"/>
    <w:unhideWhenUsed/>
    <w:rsid w:val="006470E2"/>
    <w:pPr>
      <w:spacing w:after="240" w:line="240" w:lineRule="auto"/>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106E51"/>
    <w:rPr>
      <w:b/>
      <w:bCs/>
    </w:rPr>
  </w:style>
  <w:style w:type="character" w:customStyle="1" w:styleId="ObjetducommentaireCar">
    <w:name w:val="Objet du commentaire Car"/>
    <w:basedOn w:val="CommentaireCar"/>
    <w:link w:val="Objetducommentaire"/>
    <w:uiPriority w:val="99"/>
    <w:semiHidden/>
    <w:rsid w:val="00106E51"/>
    <w:rPr>
      <w:b/>
      <w:bCs/>
      <w:sz w:val="20"/>
      <w:szCs w:val="20"/>
    </w:rPr>
  </w:style>
  <w:style w:type="character" w:styleId="Numrodeligne">
    <w:name w:val="line number"/>
    <w:basedOn w:val="Policepardfaut"/>
    <w:uiPriority w:val="99"/>
    <w:semiHidden/>
    <w:unhideWhenUsed/>
    <w:rsid w:val="00906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587707561AD949A2FCFE0F8D71A07C" ma:contentTypeVersion="19" ma:contentTypeDescription="Crée un document." ma:contentTypeScope="" ma:versionID="d0b9854e4793c75c52d30b9620ff2268">
  <xsd:schema xmlns:xsd="http://www.w3.org/2001/XMLSchema" xmlns:xs="http://www.w3.org/2001/XMLSchema" xmlns:p="http://schemas.microsoft.com/office/2006/metadata/properties" xmlns:ns2="bcf29d90-960d-4117-9889-8360c47084bc" xmlns:ns3="7dd7597e-eef9-46f5-96e8-fc6ed9ad62fb" targetNamespace="http://schemas.microsoft.com/office/2006/metadata/properties" ma:root="true" ma:fieldsID="e5887e3a52b32f9c8a108864114a6f24" ns2:_="" ns3:_="">
    <xsd:import namespace="bcf29d90-960d-4117-9889-8360c47084bc"/>
    <xsd:import namespace="7dd7597e-eef9-46f5-96e8-fc6ed9ad62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29d90-960d-4117-9889-8360c4708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9960c4f-5b56-4a17-8387-31c663994492"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7597e-eef9-46f5-96e8-fc6ed9ad62f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8e5ed-712a-4ebc-a8e8-f84edd9a9d2e}" ma:internalName="TaxCatchAll" ma:showField="CatchAllData" ma:web="7dd7597e-eef9-46f5-96e8-fc6ed9ad62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f29d90-960d-4117-9889-8360c47084bc">
      <Terms xmlns="http://schemas.microsoft.com/office/infopath/2007/PartnerControls"/>
    </lcf76f155ced4ddcb4097134ff3c332f>
    <TaxCatchAll xmlns="7dd7597e-eef9-46f5-96e8-fc6ed9ad62fb" xsi:nil="true"/>
  </documentManagement>
</p:properties>
</file>

<file path=customXml/itemProps1.xml><?xml version="1.0" encoding="utf-8"?>
<ds:datastoreItem xmlns:ds="http://schemas.openxmlformats.org/officeDocument/2006/customXml" ds:itemID="{EBF44A24-17A4-48CC-8ED6-7EE3F8D2E3DA}">
  <ds:schemaRefs>
    <ds:schemaRef ds:uri="http://schemas.microsoft.com/sharepoint/v3/contenttype/forms"/>
  </ds:schemaRefs>
</ds:datastoreItem>
</file>

<file path=customXml/itemProps2.xml><?xml version="1.0" encoding="utf-8"?>
<ds:datastoreItem xmlns:ds="http://schemas.openxmlformats.org/officeDocument/2006/customXml" ds:itemID="{C301A77D-40EE-4BE1-9D16-2B3A6F7AF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29d90-960d-4117-9889-8360c47084bc"/>
    <ds:schemaRef ds:uri="7dd7597e-eef9-46f5-96e8-fc6ed9ad6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1575F-8A52-43CF-84EA-0E7418D39225}">
  <ds:schemaRefs>
    <ds:schemaRef ds:uri="http://schemas.microsoft.com/office/2006/metadata/properties"/>
    <ds:schemaRef ds:uri="http://schemas.microsoft.com/office/infopath/2007/PartnerControls"/>
    <ds:schemaRef ds:uri="bcf29d90-960d-4117-9889-8360c47084bc"/>
    <ds:schemaRef ds:uri="7dd7597e-eef9-46f5-96e8-fc6ed9ad62fb"/>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4951</Words>
  <Characters>27233</Characters>
  <Application>Microsoft Office Word</Application>
  <DocSecurity>0</DocSecurity>
  <Lines>226</Lines>
  <Paragraphs>64</Paragraphs>
  <ScaleCrop>false</ScaleCrop>
  <Company/>
  <LinksUpToDate>false</LinksUpToDate>
  <CharactersWithSpaces>32120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Levillain</dc:creator>
  <cp:keywords/>
  <dc:description/>
  <cp:lastModifiedBy>Aurélie Levillain</cp:lastModifiedBy>
  <cp:revision>4</cp:revision>
  <dcterms:created xsi:type="dcterms:W3CDTF">2026-06-22T08:26:00Z</dcterms:created>
  <dcterms:modified xsi:type="dcterms:W3CDTF">2026-06-22T08:28:00Z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id="BD5utbsX"/&gt;&lt;style id="http://www.zotero.org/styles/taylor-and-francis-council-of-science-editors-author-date" hasBibliography="1" bibliographyStyleHasBeenSet="1"/&gt;&lt;prefs&gt;&lt;pref name="fieldType" va</vt:lpwstr>
  </property>
  <property fmtid="{D5CDD505-2E9C-101B-9397-08002B2CF9AE}" pid="3" name="ZOTERO_PREF_2">
    <vt:lpwstr>lue="Field"/&gt;&lt;/prefs&gt;&lt;/data&gt;</vt:lpwstr>
  </property>
  <property fmtid="{D5CDD505-2E9C-101B-9397-08002B2CF9AE}" pid="4" name="ContentTypeId">
    <vt:lpwstr>0x0101005E587707561AD949A2FCFE0F8D71A07C</vt:lpwstr>
  </property>
  <property fmtid="{D5CDD505-2E9C-101B-9397-08002B2CF9AE}" pid="5" name="MediaServiceImageTags">
    <vt:lpwstr/>
  </property>
</Properties>
</file>