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B555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Supplementary Materials</w:t>
      </w:r>
    </w:p>
    <w:p w14:paraId="5D3C664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Appendix S1</w:t>
      </w:r>
    </w:p>
    <w:p w14:paraId="0AAB735D">
      <w:pP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All ICA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examinations were performed by experienced interventional cardiologists. After local anesthesia with 2% lidocaine, vascular access was obtained via the right radial artery using a 6F sheath. Heparin (3,000 U) and nitroglycerin (200 μg) were administered intra-sheath before angiography. Based on angiographic stenosis severity, target segments were selected for FFR assessment. A guiding catheter was positioned at the coronary ostium, and a pressure wire was advanced distal to the lesion to record baseline FFR, followed by hyperemic FFR after intravenous adenosine infusion (140–180 μg/kg/min). FFR measurements were interpreted independently by two physicians, with disagreements resolved by a senior reader.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For smaller branches, FFR values were assigned to the corresponding major coronary artery (LAD, LCX, or RCA).</w:t>
      </w:r>
    </w:p>
    <w:p w14:paraId="7F0A3B33">
      <w:pP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0C29FD09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II.</w:t>
      </w:r>
    </w:p>
    <w:tbl>
      <w:tblPr>
        <w:tblStyle w:val="3"/>
        <w:tblW w:w="543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649"/>
        <w:gridCol w:w="1681"/>
        <w:gridCol w:w="860"/>
      </w:tblGrid>
      <w:tr w14:paraId="1DEE4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1242" w:type="dxa"/>
            <w:vMerge w:val="restart"/>
            <w:tcBorders>
              <w:top w:val="single" w:color="000000" w:sz="12" w:space="0"/>
            </w:tcBorders>
            <w:vAlign w:val="center"/>
          </w:tcPr>
          <w:p w14:paraId="0DC1EE30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3330" w:type="dxa"/>
            <w:gridSpan w:val="2"/>
            <w:tcBorders>
              <w:top w:val="single" w:color="000000" w:sz="12" w:space="0"/>
              <w:bottom w:val="nil"/>
            </w:tcBorders>
            <w:vAlign w:val="center"/>
          </w:tcPr>
          <w:p w14:paraId="5A747741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Vessel</w:t>
            </w:r>
          </w:p>
        </w:tc>
        <w:tc>
          <w:tcPr>
            <w:tcW w:w="860" w:type="dxa"/>
            <w:vMerge w:val="restart"/>
            <w:tcBorders>
              <w:top w:val="single" w:color="000000" w:sz="12" w:space="0"/>
            </w:tcBorders>
            <w:vAlign w:val="center"/>
          </w:tcPr>
          <w:p w14:paraId="74931264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20"/>
                <w:szCs w:val="20"/>
                <w:vertAlign w:val="baseline"/>
                <w:lang w:val="en-US" w:eastAsia="zh-CN"/>
              </w:rPr>
              <w:t xml:space="preserve">p -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0"/>
                <w:szCs w:val="20"/>
                <w:vertAlign w:val="baseline"/>
                <w:lang w:val="en-US" w:eastAsia="zh-CN"/>
              </w:rPr>
              <w:t>value</w:t>
            </w:r>
          </w:p>
        </w:tc>
      </w:tr>
      <w:tr w14:paraId="2E051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242" w:type="dxa"/>
            <w:vMerge w:val="continue"/>
            <w:tcBorders>
              <w:bottom w:val="single" w:color="000000" w:sz="12" w:space="0"/>
            </w:tcBorders>
            <w:vAlign w:val="center"/>
          </w:tcPr>
          <w:p w14:paraId="5E2D6F71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1649" w:type="dxa"/>
            <w:tcBorders>
              <w:top w:val="nil"/>
              <w:bottom w:val="single" w:color="000000" w:sz="12" w:space="0"/>
            </w:tcBorders>
            <w:vAlign w:val="center"/>
          </w:tcPr>
          <w:p w14:paraId="1DA97807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FFR &gt; 0.8 (n=139)</w:t>
            </w:r>
          </w:p>
        </w:tc>
        <w:tc>
          <w:tcPr>
            <w:tcW w:w="1681" w:type="dxa"/>
            <w:tcBorders>
              <w:top w:val="nil"/>
              <w:bottom w:val="single" w:color="000000" w:sz="12" w:space="0"/>
            </w:tcBorders>
            <w:vAlign w:val="center"/>
          </w:tcPr>
          <w:p w14:paraId="10808427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FFR ≤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0.8 (n=151)</w:t>
            </w:r>
          </w:p>
        </w:tc>
        <w:tc>
          <w:tcPr>
            <w:tcW w:w="860" w:type="dxa"/>
            <w:vMerge w:val="continue"/>
            <w:tcBorders>
              <w:bottom w:val="single" w:color="000000" w:sz="12" w:space="0"/>
            </w:tcBorders>
            <w:vAlign w:val="center"/>
          </w:tcPr>
          <w:p w14:paraId="4CDE55BA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</w:tr>
      <w:tr w14:paraId="31AE7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242" w:type="dxa"/>
            <w:vAlign w:val="center"/>
          </w:tcPr>
          <w:p w14:paraId="688BE0A4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LL(mm)</w:t>
            </w:r>
          </w:p>
        </w:tc>
        <w:tc>
          <w:tcPr>
            <w:tcW w:w="1649" w:type="dxa"/>
            <w:vAlign w:val="center"/>
          </w:tcPr>
          <w:p w14:paraId="04429EB4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19.20 (10.95-34.65)</w:t>
            </w:r>
          </w:p>
        </w:tc>
        <w:tc>
          <w:tcPr>
            <w:tcW w:w="1681" w:type="dxa"/>
            <w:vAlign w:val="center"/>
          </w:tcPr>
          <w:p w14:paraId="5B34869D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32.70 (17.55-46.80)</w:t>
            </w:r>
          </w:p>
        </w:tc>
        <w:tc>
          <w:tcPr>
            <w:tcW w:w="860" w:type="dxa"/>
            <w:vAlign w:val="center"/>
          </w:tcPr>
          <w:p w14:paraId="5E31B9AA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&lt;0.001</w:t>
            </w:r>
          </w:p>
        </w:tc>
      </w:tr>
      <w:tr w14:paraId="20685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242" w:type="dxa"/>
            <w:vAlign w:val="center"/>
          </w:tcPr>
          <w:p w14:paraId="6058774B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LV(mm³)</w:t>
            </w:r>
          </w:p>
        </w:tc>
        <w:tc>
          <w:tcPr>
            <w:tcW w:w="1649" w:type="dxa"/>
            <w:vAlign w:val="center"/>
          </w:tcPr>
          <w:p w14:paraId="29AFD15C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731.55 (536.67-902.31)</w:t>
            </w:r>
          </w:p>
        </w:tc>
        <w:tc>
          <w:tcPr>
            <w:tcW w:w="1681" w:type="dxa"/>
            <w:vAlign w:val="center"/>
          </w:tcPr>
          <w:p w14:paraId="3F4588DF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614.60 (457.88-765.86)</w:t>
            </w:r>
          </w:p>
        </w:tc>
        <w:tc>
          <w:tcPr>
            <w:tcW w:w="860" w:type="dxa"/>
            <w:vAlign w:val="center"/>
          </w:tcPr>
          <w:p w14:paraId="7EC760EB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0.001</w:t>
            </w:r>
          </w:p>
        </w:tc>
      </w:tr>
      <w:tr w14:paraId="34A0A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242" w:type="dxa"/>
            <w:vAlign w:val="center"/>
          </w:tcPr>
          <w:p w14:paraId="051ECB9C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VV(mm³)</w:t>
            </w:r>
          </w:p>
        </w:tc>
        <w:tc>
          <w:tcPr>
            <w:tcW w:w="1649" w:type="dxa"/>
            <w:vAlign w:val="center"/>
          </w:tcPr>
          <w:p w14:paraId="466CC79E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931.17 (633.92-1161.55)</w:t>
            </w:r>
          </w:p>
        </w:tc>
        <w:tc>
          <w:tcPr>
            <w:tcW w:w="1681" w:type="dxa"/>
            <w:vAlign w:val="center"/>
          </w:tcPr>
          <w:p w14:paraId="1063799C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882.19 (671.35-1056.93)</w:t>
            </w:r>
          </w:p>
        </w:tc>
        <w:tc>
          <w:tcPr>
            <w:tcW w:w="860" w:type="dxa"/>
            <w:vAlign w:val="center"/>
          </w:tcPr>
          <w:p w14:paraId="742978C9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0.353</w:t>
            </w:r>
          </w:p>
        </w:tc>
      </w:tr>
      <w:tr w14:paraId="3A191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242" w:type="dxa"/>
            <w:vAlign w:val="center"/>
          </w:tcPr>
          <w:p w14:paraId="70BC83AB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MLA(mm²)</w:t>
            </w:r>
          </w:p>
        </w:tc>
        <w:tc>
          <w:tcPr>
            <w:tcW w:w="1649" w:type="dxa"/>
            <w:vAlign w:val="center"/>
          </w:tcPr>
          <w:p w14:paraId="2543599C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2.16 (1.53-2.88)</w:t>
            </w:r>
          </w:p>
        </w:tc>
        <w:tc>
          <w:tcPr>
            <w:tcW w:w="1681" w:type="dxa"/>
            <w:vAlign w:val="center"/>
          </w:tcPr>
          <w:p w14:paraId="2C76960A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1.17 (0.72-1.71)</w:t>
            </w:r>
          </w:p>
        </w:tc>
        <w:tc>
          <w:tcPr>
            <w:tcW w:w="860" w:type="dxa"/>
            <w:vAlign w:val="center"/>
          </w:tcPr>
          <w:p w14:paraId="6624F2FA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&lt;0.001</w:t>
            </w:r>
          </w:p>
        </w:tc>
      </w:tr>
      <w:tr w14:paraId="3FCDE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242" w:type="dxa"/>
            <w:vAlign w:val="center"/>
          </w:tcPr>
          <w:p w14:paraId="1A1A9DC6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MDS(%)</w:t>
            </w:r>
          </w:p>
        </w:tc>
        <w:tc>
          <w:tcPr>
            <w:tcW w:w="1649" w:type="dxa"/>
            <w:vAlign w:val="center"/>
          </w:tcPr>
          <w:p w14:paraId="133F7829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58.47 (47.60-65.43)</w:t>
            </w:r>
          </w:p>
        </w:tc>
        <w:tc>
          <w:tcPr>
            <w:tcW w:w="1681" w:type="dxa"/>
            <w:vAlign w:val="center"/>
          </w:tcPr>
          <w:p w14:paraId="7D62D873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70.02 (59.92-83.20)</w:t>
            </w:r>
          </w:p>
        </w:tc>
        <w:tc>
          <w:tcPr>
            <w:tcW w:w="860" w:type="dxa"/>
            <w:vAlign w:val="center"/>
          </w:tcPr>
          <w:p w14:paraId="3ADB9BB9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&lt;0.001</w:t>
            </w:r>
          </w:p>
        </w:tc>
      </w:tr>
      <w:tr w14:paraId="4780E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242" w:type="dxa"/>
            <w:vAlign w:val="center"/>
          </w:tcPr>
          <w:p w14:paraId="06946A42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MAS(%)</w:t>
            </w:r>
          </w:p>
        </w:tc>
        <w:tc>
          <w:tcPr>
            <w:tcW w:w="1649" w:type="dxa"/>
            <w:vAlign w:val="center"/>
          </w:tcPr>
          <w:p w14:paraId="21F57722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73.02 (61.80-82.05)</w:t>
            </w:r>
          </w:p>
        </w:tc>
        <w:tc>
          <w:tcPr>
            <w:tcW w:w="1681" w:type="dxa"/>
            <w:vAlign w:val="center"/>
          </w:tcPr>
          <w:p w14:paraId="139A6CF0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86.21 (76.27-93.57)</w:t>
            </w:r>
          </w:p>
        </w:tc>
        <w:tc>
          <w:tcPr>
            <w:tcW w:w="860" w:type="dxa"/>
            <w:vAlign w:val="center"/>
          </w:tcPr>
          <w:p w14:paraId="559AAE1A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&lt;0.001</w:t>
            </w:r>
          </w:p>
        </w:tc>
      </w:tr>
      <w:tr w14:paraId="1D1CF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242" w:type="dxa"/>
            <w:vAlign w:val="center"/>
          </w:tcPr>
          <w:p w14:paraId="53D02440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Calcified Volume (mm³)</w:t>
            </w:r>
          </w:p>
        </w:tc>
        <w:tc>
          <w:tcPr>
            <w:tcW w:w="1649" w:type="dxa"/>
            <w:vAlign w:val="center"/>
          </w:tcPr>
          <w:p w14:paraId="324B56E6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9.63 (1.60-46.21)</w:t>
            </w:r>
          </w:p>
        </w:tc>
        <w:tc>
          <w:tcPr>
            <w:tcW w:w="1681" w:type="dxa"/>
            <w:vAlign w:val="center"/>
          </w:tcPr>
          <w:p w14:paraId="4391CA32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46.15 (4.08-107.23)</w:t>
            </w:r>
          </w:p>
        </w:tc>
        <w:tc>
          <w:tcPr>
            <w:tcW w:w="860" w:type="dxa"/>
            <w:vAlign w:val="center"/>
          </w:tcPr>
          <w:p w14:paraId="12A1EBDD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&lt;0.001</w:t>
            </w:r>
          </w:p>
        </w:tc>
      </w:tr>
      <w:tr w14:paraId="00A55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242" w:type="dxa"/>
            <w:vAlign w:val="center"/>
          </w:tcPr>
          <w:p w14:paraId="76CAC468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Non-Calcified Volume (mm³)</w:t>
            </w:r>
          </w:p>
        </w:tc>
        <w:tc>
          <w:tcPr>
            <w:tcW w:w="1649" w:type="dxa"/>
            <w:vAlign w:val="center"/>
          </w:tcPr>
          <w:p w14:paraId="46C03D0E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67.52 (20.79-149.54)</w:t>
            </w:r>
          </w:p>
        </w:tc>
        <w:tc>
          <w:tcPr>
            <w:tcW w:w="1681" w:type="dxa"/>
            <w:vAlign w:val="center"/>
          </w:tcPr>
          <w:p w14:paraId="5A79BB2E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114.84 (52.12-219.67)</w:t>
            </w:r>
          </w:p>
        </w:tc>
        <w:tc>
          <w:tcPr>
            <w:tcW w:w="860" w:type="dxa"/>
            <w:vAlign w:val="center"/>
          </w:tcPr>
          <w:p w14:paraId="10A4CB06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&lt;0.001</w:t>
            </w:r>
          </w:p>
        </w:tc>
      </w:tr>
      <w:tr w14:paraId="126D9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242" w:type="dxa"/>
            <w:vAlign w:val="center"/>
          </w:tcPr>
          <w:p w14:paraId="72DF2D2D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Lipid Plaque Volume (mm³)</w:t>
            </w:r>
          </w:p>
        </w:tc>
        <w:tc>
          <w:tcPr>
            <w:tcW w:w="1649" w:type="dxa"/>
            <w:vAlign w:val="center"/>
          </w:tcPr>
          <w:p w14:paraId="267E10DD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3.06 (0.57-12.89)</w:t>
            </w:r>
          </w:p>
        </w:tc>
        <w:tc>
          <w:tcPr>
            <w:tcW w:w="1681" w:type="dxa"/>
            <w:vAlign w:val="center"/>
          </w:tcPr>
          <w:p w14:paraId="3A8B2263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7.79 (2.23-19.63)</w:t>
            </w:r>
          </w:p>
        </w:tc>
        <w:tc>
          <w:tcPr>
            <w:tcW w:w="860" w:type="dxa"/>
            <w:vAlign w:val="center"/>
          </w:tcPr>
          <w:p w14:paraId="47BBD22D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0.001</w:t>
            </w:r>
          </w:p>
        </w:tc>
      </w:tr>
      <w:tr w14:paraId="3BEDB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242" w:type="dxa"/>
            <w:vAlign w:val="center"/>
          </w:tcPr>
          <w:p w14:paraId="674CF9A5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Fibrous Fatty Volume (mm³)</w:t>
            </w:r>
          </w:p>
        </w:tc>
        <w:tc>
          <w:tcPr>
            <w:tcW w:w="1649" w:type="dxa"/>
            <w:vAlign w:val="center"/>
          </w:tcPr>
          <w:p w14:paraId="23F2FD5E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28.75 (6.44-61.00)</w:t>
            </w:r>
          </w:p>
        </w:tc>
        <w:tc>
          <w:tcPr>
            <w:tcW w:w="1681" w:type="dxa"/>
            <w:vAlign w:val="center"/>
          </w:tcPr>
          <w:p w14:paraId="61C6D49C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43.95 (12.95-76.46)</w:t>
            </w:r>
          </w:p>
        </w:tc>
        <w:tc>
          <w:tcPr>
            <w:tcW w:w="860" w:type="dxa"/>
            <w:vAlign w:val="center"/>
          </w:tcPr>
          <w:p w14:paraId="732FB2A8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0.004</w:t>
            </w:r>
          </w:p>
        </w:tc>
      </w:tr>
      <w:tr w14:paraId="477E4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1242" w:type="dxa"/>
            <w:vAlign w:val="center"/>
          </w:tcPr>
          <w:p w14:paraId="4A03F418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Fibrotic Plaque Volume (mm³)</w:t>
            </w:r>
          </w:p>
        </w:tc>
        <w:tc>
          <w:tcPr>
            <w:tcW w:w="1649" w:type="dxa"/>
            <w:vAlign w:val="center"/>
          </w:tcPr>
          <w:p w14:paraId="3173DCC3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32.23 (11.61-71.02)</w:t>
            </w:r>
          </w:p>
        </w:tc>
        <w:tc>
          <w:tcPr>
            <w:tcW w:w="1681" w:type="dxa"/>
            <w:vAlign w:val="center"/>
          </w:tcPr>
          <w:p w14:paraId="03C7510A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60.17 (26.13-115.73)</w:t>
            </w:r>
          </w:p>
        </w:tc>
        <w:tc>
          <w:tcPr>
            <w:tcW w:w="860" w:type="dxa"/>
            <w:vAlign w:val="center"/>
          </w:tcPr>
          <w:p w14:paraId="0F74E2CE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&lt;0.001</w:t>
            </w:r>
          </w:p>
        </w:tc>
      </w:tr>
      <w:tr w14:paraId="257E0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242" w:type="dxa"/>
            <w:vAlign w:val="center"/>
          </w:tcPr>
          <w:p w14:paraId="395651AB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Quantitative Plaque Burden</w:t>
            </w:r>
          </w:p>
        </w:tc>
        <w:tc>
          <w:tcPr>
            <w:tcW w:w="4190" w:type="dxa"/>
            <w:gridSpan w:val="3"/>
            <w:vAlign w:val="center"/>
          </w:tcPr>
          <w:p w14:paraId="06FDD526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</w:tr>
      <w:tr w14:paraId="5BF1F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242" w:type="dxa"/>
            <w:vAlign w:val="center"/>
          </w:tcPr>
          <w:p w14:paraId="1BB0F0AD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T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PB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 xml:space="preserve"> (%)</w:t>
            </w:r>
          </w:p>
        </w:tc>
        <w:tc>
          <w:tcPr>
            <w:tcW w:w="1649" w:type="dxa"/>
            <w:vAlign w:val="center"/>
          </w:tcPr>
          <w:p w14:paraId="4362F99B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10.47 (5.43-22.01)</w:t>
            </w:r>
          </w:p>
        </w:tc>
        <w:tc>
          <w:tcPr>
            <w:tcW w:w="1681" w:type="dxa"/>
            <w:vAlign w:val="center"/>
          </w:tcPr>
          <w:p w14:paraId="4953C06A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22.02 (10.29-32.88)</w:t>
            </w:r>
          </w:p>
        </w:tc>
        <w:tc>
          <w:tcPr>
            <w:tcW w:w="860" w:type="dxa"/>
            <w:vAlign w:val="center"/>
          </w:tcPr>
          <w:p w14:paraId="34B2ECE4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&lt;0.001</w:t>
            </w:r>
          </w:p>
        </w:tc>
      </w:tr>
      <w:tr w14:paraId="242B9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242" w:type="dxa"/>
            <w:vAlign w:val="center"/>
          </w:tcPr>
          <w:p w14:paraId="7AF31154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CPB (%)</w:t>
            </w:r>
          </w:p>
        </w:tc>
        <w:tc>
          <w:tcPr>
            <w:tcW w:w="1649" w:type="dxa"/>
            <w:vAlign w:val="center"/>
          </w:tcPr>
          <w:p w14:paraId="6EBDD73B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1.54 (0.18-6.88)</w:t>
            </w:r>
          </w:p>
        </w:tc>
        <w:tc>
          <w:tcPr>
            <w:tcW w:w="1681" w:type="dxa"/>
            <w:vAlign w:val="center"/>
          </w:tcPr>
          <w:p w14:paraId="10EA334C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5.79 (0.69-12.82)</w:t>
            </w:r>
          </w:p>
        </w:tc>
        <w:tc>
          <w:tcPr>
            <w:tcW w:w="860" w:type="dxa"/>
            <w:vAlign w:val="center"/>
          </w:tcPr>
          <w:p w14:paraId="3DFAB470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&lt;0.001</w:t>
            </w:r>
          </w:p>
        </w:tc>
      </w:tr>
      <w:tr w14:paraId="0AE47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242" w:type="dxa"/>
            <w:vAlign w:val="center"/>
          </w:tcPr>
          <w:p w14:paraId="0F880AE9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NCPB (%)</w:t>
            </w:r>
          </w:p>
        </w:tc>
        <w:tc>
          <w:tcPr>
            <w:tcW w:w="1649" w:type="dxa"/>
            <w:vAlign w:val="center"/>
          </w:tcPr>
          <w:p w14:paraId="23F09087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7.99 (3.41-15.24)</w:t>
            </w:r>
          </w:p>
        </w:tc>
        <w:tc>
          <w:tcPr>
            <w:tcW w:w="1681" w:type="dxa"/>
            <w:vAlign w:val="center"/>
          </w:tcPr>
          <w:p w14:paraId="7233A67B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12.81 (7.11-20.49)</w:t>
            </w:r>
          </w:p>
        </w:tc>
        <w:tc>
          <w:tcPr>
            <w:tcW w:w="860" w:type="dxa"/>
            <w:vAlign w:val="center"/>
          </w:tcPr>
          <w:p w14:paraId="0B1BCA39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&lt;0.001</w:t>
            </w:r>
          </w:p>
        </w:tc>
      </w:tr>
      <w:tr w14:paraId="43646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242" w:type="dxa"/>
            <w:vAlign w:val="center"/>
          </w:tcPr>
          <w:p w14:paraId="6AFB588E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LPB (%)</w:t>
            </w:r>
          </w:p>
        </w:tc>
        <w:tc>
          <w:tcPr>
            <w:tcW w:w="1649" w:type="dxa"/>
            <w:vAlign w:val="center"/>
          </w:tcPr>
          <w:p w14:paraId="1A001393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0.40 (0.08-1.24)</w:t>
            </w:r>
          </w:p>
        </w:tc>
        <w:tc>
          <w:tcPr>
            <w:tcW w:w="1681" w:type="dxa"/>
            <w:vAlign w:val="center"/>
          </w:tcPr>
          <w:p w14:paraId="0F08AE0C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0.88 (0.31-2.09)</w:t>
            </w:r>
          </w:p>
        </w:tc>
        <w:tc>
          <w:tcPr>
            <w:tcW w:w="860" w:type="dxa"/>
            <w:vAlign w:val="center"/>
          </w:tcPr>
          <w:p w14:paraId="172ADA5F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&lt;0.001</w:t>
            </w:r>
          </w:p>
        </w:tc>
      </w:tr>
      <w:tr w14:paraId="6572A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242" w:type="dxa"/>
            <w:vAlign w:val="center"/>
          </w:tcPr>
          <w:p w14:paraId="6ADC69AF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FFPB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(%)</w:t>
            </w:r>
          </w:p>
        </w:tc>
        <w:tc>
          <w:tcPr>
            <w:tcW w:w="1649" w:type="dxa"/>
            <w:vAlign w:val="center"/>
          </w:tcPr>
          <w:p w14:paraId="4769CF56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3.07 (0.89-5.75)</w:t>
            </w:r>
          </w:p>
        </w:tc>
        <w:tc>
          <w:tcPr>
            <w:tcW w:w="1681" w:type="dxa"/>
            <w:vAlign w:val="center"/>
          </w:tcPr>
          <w:p w14:paraId="578C69BA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4.87 (2.10-8.22)</w:t>
            </w:r>
          </w:p>
        </w:tc>
        <w:tc>
          <w:tcPr>
            <w:tcW w:w="860" w:type="dxa"/>
            <w:vAlign w:val="center"/>
          </w:tcPr>
          <w:p w14:paraId="5B222896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&lt;0.001</w:t>
            </w:r>
          </w:p>
        </w:tc>
      </w:tr>
      <w:tr w14:paraId="63B0C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242" w:type="dxa"/>
            <w:vAlign w:val="center"/>
          </w:tcPr>
          <w:p w14:paraId="7A232ED4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FPB (%)</w:t>
            </w:r>
          </w:p>
        </w:tc>
        <w:tc>
          <w:tcPr>
            <w:tcW w:w="1649" w:type="dxa"/>
            <w:vAlign w:val="center"/>
          </w:tcPr>
          <w:p w14:paraId="53E7B90E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3.71 (1.82-7.37)</w:t>
            </w:r>
          </w:p>
        </w:tc>
        <w:tc>
          <w:tcPr>
            <w:tcW w:w="1681" w:type="dxa"/>
            <w:vAlign w:val="center"/>
          </w:tcPr>
          <w:p w14:paraId="735B9F57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7.41 (3.43-12.66)</w:t>
            </w:r>
          </w:p>
        </w:tc>
        <w:tc>
          <w:tcPr>
            <w:tcW w:w="860" w:type="dxa"/>
            <w:vAlign w:val="center"/>
          </w:tcPr>
          <w:p w14:paraId="11DA762E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&lt;0.001</w:t>
            </w:r>
          </w:p>
        </w:tc>
      </w:tr>
      <w:tr w14:paraId="4839E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242" w:type="dxa"/>
            <w:vAlign w:val="center"/>
          </w:tcPr>
          <w:p w14:paraId="0C264D2A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Vulnerability Features</w:t>
            </w:r>
          </w:p>
        </w:tc>
        <w:tc>
          <w:tcPr>
            <w:tcW w:w="4190" w:type="dxa"/>
            <w:gridSpan w:val="3"/>
            <w:vAlign w:val="center"/>
          </w:tcPr>
          <w:p w14:paraId="61FDF40B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</w:tr>
      <w:tr w14:paraId="0B422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242" w:type="dxa"/>
            <w:vAlign w:val="center"/>
          </w:tcPr>
          <w:p w14:paraId="724C8635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Remodeling Index (%)</w:t>
            </w:r>
          </w:p>
        </w:tc>
        <w:tc>
          <w:tcPr>
            <w:tcW w:w="1649" w:type="dxa"/>
            <w:vAlign w:val="center"/>
          </w:tcPr>
          <w:p w14:paraId="75409EA5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1.28 (1.13-1.77)</w:t>
            </w:r>
          </w:p>
        </w:tc>
        <w:tc>
          <w:tcPr>
            <w:tcW w:w="1681" w:type="dxa"/>
            <w:vAlign w:val="center"/>
          </w:tcPr>
          <w:p w14:paraId="1FA9F6F5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1.33 (1.21-1.56)</w:t>
            </w:r>
          </w:p>
        </w:tc>
        <w:tc>
          <w:tcPr>
            <w:tcW w:w="860" w:type="dxa"/>
            <w:vAlign w:val="center"/>
          </w:tcPr>
          <w:p w14:paraId="750E0B9E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0.396</w:t>
            </w:r>
          </w:p>
        </w:tc>
      </w:tr>
      <w:tr w14:paraId="390B4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42" w:type="dxa"/>
            <w:vAlign w:val="center"/>
          </w:tcPr>
          <w:p w14:paraId="6ACE33CE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Eccentricity Index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(%)</w:t>
            </w:r>
          </w:p>
        </w:tc>
        <w:tc>
          <w:tcPr>
            <w:tcW w:w="1649" w:type="dxa"/>
            <w:vAlign w:val="center"/>
          </w:tcPr>
          <w:p w14:paraId="00FDEE88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1.00 (0.64-1.00)</w:t>
            </w:r>
          </w:p>
        </w:tc>
        <w:tc>
          <w:tcPr>
            <w:tcW w:w="1681" w:type="dxa"/>
            <w:vAlign w:val="center"/>
          </w:tcPr>
          <w:p w14:paraId="05800BD9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0.81 (0.62-1.00)</w:t>
            </w:r>
          </w:p>
        </w:tc>
        <w:tc>
          <w:tcPr>
            <w:tcW w:w="860" w:type="dxa"/>
            <w:vAlign w:val="center"/>
          </w:tcPr>
          <w:p w14:paraId="6AD92087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0.015</w:t>
            </w:r>
          </w:p>
        </w:tc>
      </w:tr>
      <w:tr w14:paraId="4FC52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242" w:type="dxa"/>
            <w:vAlign w:val="center"/>
          </w:tcPr>
          <w:p w14:paraId="6BB57888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Positive Remodeling(%)</w:t>
            </w:r>
          </w:p>
        </w:tc>
        <w:tc>
          <w:tcPr>
            <w:tcW w:w="1649" w:type="dxa"/>
            <w:vAlign w:val="center"/>
          </w:tcPr>
          <w:p w14:paraId="58973976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85 (61.2%)</w:t>
            </w:r>
          </w:p>
        </w:tc>
        <w:tc>
          <w:tcPr>
            <w:tcW w:w="1681" w:type="dxa"/>
            <w:vAlign w:val="center"/>
          </w:tcPr>
          <w:p w14:paraId="3991F7C4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114 (75.5%)</w:t>
            </w:r>
          </w:p>
        </w:tc>
        <w:tc>
          <w:tcPr>
            <w:tcW w:w="860" w:type="dxa"/>
            <w:vAlign w:val="center"/>
          </w:tcPr>
          <w:p w14:paraId="258F848F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0.012</w:t>
            </w:r>
          </w:p>
        </w:tc>
      </w:tr>
      <w:tr w14:paraId="3CD39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1242" w:type="dxa"/>
            <w:vAlign w:val="center"/>
          </w:tcPr>
          <w:p w14:paraId="27DD7C28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Low Attenuation Plaque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(%)</w:t>
            </w:r>
          </w:p>
        </w:tc>
        <w:tc>
          <w:tcPr>
            <w:tcW w:w="1649" w:type="dxa"/>
            <w:vAlign w:val="center"/>
          </w:tcPr>
          <w:p w14:paraId="03F99ADC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110 (79.1%)</w:t>
            </w:r>
          </w:p>
        </w:tc>
        <w:tc>
          <w:tcPr>
            <w:tcW w:w="1681" w:type="dxa"/>
            <w:vAlign w:val="center"/>
          </w:tcPr>
          <w:p w14:paraId="248A01C2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135 (89.4%)</w:t>
            </w:r>
          </w:p>
        </w:tc>
        <w:tc>
          <w:tcPr>
            <w:tcW w:w="860" w:type="dxa"/>
            <w:vAlign w:val="center"/>
          </w:tcPr>
          <w:p w14:paraId="65A61A67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0.024</w:t>
            </w:r>
          </w:p>
        </w:tc>
      </w:tr>
      <w:tr w14:paraId="0309E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242" w:type="dxa"/>
            <w:vAlign w:val="center"/>
          </w:tcPr>
          <w:p w14:paraId="67A572B2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Napkin-ring Sign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(%)</w:t>
            </w:r>
          </w:p>
        </w:tc>
        <w:tc>
          <w:tcPr>
            <w:tcW w:w="1649" w:type="dxa"/>
            <w:vAlign w:val="center"/>
          </w:tcPr>
          <w:p w14:paraId="52213108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30 (21.6%)</w:t>
            </w:r>
          </w:p>
        </w:tc>
        <w:tc>
          <w:tcPr>
            <w:tcW w:w="1681" w:type="dxa"/>
            <w:vAlign w:val="center"/>
          </w:tcPr>
          <w:p w14:paraId="15B25E4C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66 (43.7%)</w:t>
            </w:r>
          </w:p>
        </w:tc>
        <w:tc>
          <w:tcPr>
            <w:tcW w:w="860" w:type="dxa"/>
            <w:vAlign w:val="center"/>
          </w:tcPr>
          <w:p w14:paraId="7CC66D7F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&lt;0.001</w:t>
            </w:r>
          </w:p>
        </w:tc>
      </w:tr>
      <w:tr w14:paraId="4E615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242" w:type="dxa"/>
            <w:vAlign w:val="center"/>
          </w:tcPr>
          <w:p w14:paraId="63600AE9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Spotty Calcification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(%)</w:t>
            </w:r>
          </w:p>
        </w:tc>
        <w:tc>
          <w:tcPr>
            <w:tcW w:w="1649" w:type="dxa"/>
            <w:vAlign w:val="center"/>
          </w:tcPr>
          <w:p w14:paraId="2B7C12AA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41 (29.5%)</w:t>
            </w:r>
          </w:p>
        </w:tc>
        <w:tc>
          <w:tcPr>
            <w:tcW w:w="1681" w:type="dxa"/>
            <w:vAlign w:val="center"/>
          </w:tcPr>
          <w:p w14:paraId="23AFFD8D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65 (43.0%)</w:t>
            </w:r>
          </w:p>
        </w:tc>
        <w:tc>
          <w:tcPr>
            <w:tcW w:w="860" w:type="dxa"/>
            <w:vAlign w:val="center"/>
          </w:tcPr>
          <w:p w14:paraId="2C0B9C85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0.023</w:t>
            </w:r>
          </w:p>
        </w:tc>
      </w:tr>
      <w:tr w14:paraId="37C26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42" w:type="dxa"/>
            <w:tcBorders>
              <w:bottom w:val="single" w:color="000000" w:sz="12" w:space="0"/>
            </w:tcBorders>
            <w:vAlign w:val="center"/>
          </w:tcPr>
          <w:p w14:paraId="1194D478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FFR value</w:t>
            </w:r>
          </w:p>
        </w:tc>
        <w:tc>
          <w:tcPr>
            <w:tcW w:w="1649" w:type="dxa"/>
            <w:tcBorders>
              <w:bottom w:val="single" w:color="000000" w:sz="12" w:space="0"/>
            </w:tcBorders>
            <w:vAlign w:val="center"/>
          </w:tcPr>
          <w:p w14:paraId="67498138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0.86 (0.83-0.91)</w:t>
            </w:r>
          </w:p>
        </w:tc>
        <w:tc>
          <w:tcPr>
            <w:tcW w:w="1681" w:type="dxa"/>
            <w:tcBorders>
              <w:bottom w:val="single" w:color="000000" w:sz="12" w:space="0"/>
            </w:tcBorders>
            <w:vAlign w:val="center"/>
          </w:tcPr>
          <w:p w14:paraId="276AC192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0.63 (0.00-0.76)</w:t>
            </w:r>
          </w:p>
        </w:tc>
        <w:tc>
          <w:tcPr>
            <w:tcW w:w="860" w:type="dxa"/>
            <w:tcBorders>
              <w:bottom w:val="single" w:color="000000" w:sz="12" w:space="0"/>
            </w:tcBorders>
            <w:vAlign w:val="center"/>
          </w:tcPr>
          <w:p w14:paraId="051FC57C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&lt;0.001</w:t>
            </w:r>
          </w:p>
        </w:tc>
      </w:tr>
    </w:tbl>
    <w:p w14:paraId="684B8686">
      <w:pPr>
        <w:widowControl w:val="0"/>
        <w:jc w:val="both"/>
        <w:rPr>
          <w:rFonts w:hint="default" w:ascii="Times New Roman" w:hAnsi="Times New Roman" w:eastAsia="宋体" w:cs="Times New Roman"/>
          <w:kern w:val="2"/>
          <w:sz w:val="20"/>
          <w:szCs w:val="20"/>
          <w:vertAlign w:val="baseli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0"/>
          <w:szCs w:val="20"/>
          <w:vertAlign w:val="baseline"/>
          <w:lang w:val="en-US" w:eastAsia="zh-CN" w:bidi="ar-SA"/>
        </w:rPr>
        <w:t>Supplementary Table 1</w:t>
      </w:r>
      <w:r>
        <w:rPr>
          <w:rFonts w:hint="eastAsia" w:ascii="Times New Roman" w:hAnsi="Times New Roman" w:eastAsia="宋体" w:cs="Times New Roman"/>
          <w:kern w:val="2"/>
          <w:sz w:val="20"/>
          <w:szCs w:val="20"/>
          <w:vertAlign w:val="baseline"/>
          <w:lang w:val="en-US" w:eastAsia="zh-CN" w:bidi="ar-SA"/>
        </w:rPr>
        <w:t xml:space="preserve">. 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vertAlign w:val="baseline"/>
          <w:lang w:val="en-US" w:eastAsia="zh-CN" w:bidi="ar-SA"/>
        </w:rPr>
        <w:t>Comparison of qualitative and quantitative plaque characteristics at the vascular level and by intervention status.Values are presented as mean ± standard deviation or median (interquartile) for continuous variables, and number (percentage) for categorical variables.YES =  vessels that underwent invasive treatment (e.g., stent placement or rotational atherectomy), whereas “No” refers to vessels that were assessed only with FFR without any intervention.LL = Lesion Length; LV = Lumen Volume; VV = Vessel Volume; MLA = Minimum Luminal Area; MDS = Maximum Diameter Stenosis; MAS = Maximum Area Stenosis;</w:t>
      </w:r>
      <w:r>
        <w:rPr>
          <w:rFonts w:hint="eastAsia" w:ascii="Times New Roman" w:hAnsi="Times New Roman" w:eastAsia="宋体" w:cs="Times New Roman"/>
          <w:kern w:val="2"/>
          <w:sz w:val="20"/>
          <w:szCs w:val="20"/>
          <w:vertAlign w:val="baseline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vertAlign w:val="baseline"/>
          <w:lang w:val="en-US" w:eastAsia="zh-CN" w:bidi="ar-SA"/>
        </w:rPr>
        <w:t>TPB = Total Plaque Burden; CPB = Calcified Plaque Burden; NCPB = Non-Calcified Plaque Burden; LPB = Lipid Plaque Burden; FFPB = Fibrous Fatty Plaque Burden; FPB= Fibrotic Plaque Burden; FFR = Fractional Flow Reserve.</w:t>
      </w:r>
    </w:p>
    <w:p w14:paraId="5421CCDE">
      <w:pPr>
        <w:rPr>
          <w:rFonts w:hint="default" w:ascii="宋体" w:hAnsi="宋体" w:eastAsia="宋体" w:cs="宋体"/>
          <w:kern w:val="2"/>
          <w:sz w:val="18"/>
          <w:szCs w:val="18"/>
          <w:lang w:val="en-US" w:eastAsia="zh-CN" w:bidi="ar-SA"/>
        </w:rPr>
      </w:pPr>
      <w:r>
        <w:rPr>
          <w:rFonts w:hint="default" w:ascii="宋体" w:hAnsi="宋体" w:eastAsia="宋体" w:cs="宋体"/>
          <w:kern w:val="2"/>
          <w:sz w:val="18"/>
          <w:szCs w:val="18"/>
          <w:lang w:val="en-US" w:eastAsia="zh-CN" w:bidi="ar-SA"/>
        </w:rPr>
        <w:drawing>
          <wp:inline distT="0" distB="0" distL="114300" distR="114300">
            <wp:extent cx="5668010" cy="1292860"/>
            <wp:effectExtent l="0" t="0" r="1270" b="2540"/>
            <wp:docPr id="7" name="图片 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68010" cy="129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BA1FC">
      <w:pPr>
        <w:bidi w:val="0"/>
        <w:rPr>
          <w:rFonts w:hint="eastAsia" w:ascii="宋体" w:hAnsi="宋体" w:eastAsia="宋体" w:cs="宋体"/>
          <w:kern w:val="2"/>
          <w:sz w:val="18"/>
          <w:szCs w:val="18"/>
          <w:lang w:val="en-US" w:eastAsia="zh-CN" w:bidi="ar-SA"/>
        </w:rPr>
      </w:pPr>
      <w:r>
        <w:rPr>
          <w:rFonts w:hint="default" w:ascii="宋体" w:hAnsi="宋体" w:eastAsia="宋体" w:cs="宋体"/>
          <w:kern w:val="2"/>
          <w:sz w:val="18"/>
          <w:szCs w:val="18"/>
          <w:lang w:val="en-US" w:eastAsia="zh-CN" w:bidi="ar-SA"/>
        </w:rPr>
        <w:t xml:space="preserve">Supplementary </w:t>
      </w:r>
      <w:r>
        <w:rPr>
          <w:rFonts w:hint="eastAsia" w:ascii="宋体" w:hAnsi="宋体" w:eastAsia="宋体" w:cs="宋体"/>
          <w:kern w:val="2"/>
          <w:sz w:val="18"/>
          <w:szCs w:val="18"/>
          <w:lang w:val="en-US" w:eastAsia="zh-CN" w:bidi="ar-SA"/>
        </w:rPr>
        <w:t>figure</w:t>
      </w:r>
      <w:r>
        <w:rPr>
          <w:rFonts w:hint="default" w:ascii="宋体" w:hAnsi="宋体" w:eastAsia="宋体" w:cs="宋体"/>
          <w:kern w:val="2"/>
          <w:sz w:val="18"/>
          <w:szCs w:val="18"/>
          <w:lang w:val="en-US" w:eastAsia="zh-CN" w:bidi="ar-SA"/>
        </w:rPr>
        <w:t xml:space="preserve"> 1</w:t>
      </w:r>
      <w:r>
        <w:rPr>
          <w:rFonts w:hint="eastAsia" w:ascii="宋体" w:hAnsi="宋体" w:eastAsia="宋体" w:cs="宋体"/>
          <w:kern w:val="2"/>
          <w:sz w:val="18"/>
          <w:szCs w:val="18"/>
          <w:lang w:val="en-US" w:eastAsia="zh-CN" w:bidi="ar-SA"/>
        </w:rPr>
        <w:t>. Stability of plaque feature selection across bootstrap resampling in LAD, LCX, and RCA vessels.</w:t>
      </w:r>
    </w:p>
    <w:p w14:paraId="18D53360">
      <w:pPr>
        <w:rPr>
          <w:rFonts w:hint="eastAsia" w:ascii="宋体" w:hAnsi="宋体" w:eastAsia="宋体" w:cs="宋体"/>
          <w:kern w:val="2"/>
          <w:sz w:val="18"/>
          <w:szCs w:val="18"/>
          <w:lang w:val="en-US" w:eastAsia="zh-CN" w:bidi="ar-S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B769A2"/>
    <w:multiLevelType w:val="singleLevel"/>
    <w:tmpl w:val="D8B769A2"/>
    <w:lvl w:ilvl="0" w:tentative="0">
      <w:start w:val="1"/>
      <w:numFmt w:val="upperRoman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011516"/>
    <w:rsid w:val="0FA47B58"/>
    <w:rsid w:val="21011516"/>
    <w:rsid w:val="5C3100CA"/>
    <w:rsid w:val="5CF52D6E"/>
    <w:rsid w:val="71BA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2026-06-20T04:59:00Z</dcterms:created>
  <dc:creator>zero</dc:creator>
  <cp:lastModifiedBy>zero</cp:lastModifiedBy>
  <dcterms:modified xsi:type="dcterms:W3CDTF">2026-06-21T04:18:10Z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B7ED48F1941241D382D778D348E5D141_11</vt:lpwstr>
  </property>
  <property fmtid="{D5CDD505-2E9C-101B-9397-08002B2CF9AE}" pid="4" name="KSOTemplateDocerSaveRecord">
    <vt:lpwstr>eyJoZGlkIjoiM2RlNjdkY2IwY2Y1MmQzMGU1MWY2NTI3OTcwMDYxNGUiLCJ1c2VySWQiOiI5NjIyNzc4NTcifQ==</vt:lpwstr>
  </property>
</Properties>
</file>