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4EC228" w14:textId="77777777" w:rsidR="00BC1F58" w:rsidRPr="0081736D" w:rsidRDefault="00BC1F58" w:rsidP="00BC1F58">
      <w:pPr>
        <w:pStyle w:val="a3"/>
        <w:autoSpaceDE/>
        <w:autoSpaceDN/>
        <w:adjustRightInd w:val="0"/>
        <w:snapToGrid w:val="0"/>
        <w:spacing w:beforeLines="50" w:before="156" w:line="360" w:lineRule="auto"/>
        <w:jc w:val="both"/>
        <w:outlineLvl w:val="1"/>
        <w:rPr>
          <w:rFonts w:ascii="Calibri" w:hAnsi="Calibri" w:cs="Calibri"/>
          <w:b/>
          <w:bCs/>
          <w:color w:val="212121"/>
          <w:spacing w:val="10"/>
          <w:lang w:val="en-US"/>
        </w:rPr>
      </w:pPr>
      <w:r w:rsidRPr="0081736D">
        <w:rPr>
          <w:rFonts w:ascii="Calibri" w:hAnsi="Calibri" w:cs="Calibri"/>
          <w:b/>
          <w:bCs/>
          <w:color w:val="212121"/>
          <w:spacing w:val="10"/>
          <w:lang w:val="en-US"/>
        </w:rPr>
        <w:t>Supplementary Materials</w:t>
      </w:r>
    </w:p>
    <w:p w14:paraId="6D7B4C39" w14:textId="77777777" w:rsidR="00BC1F58" w:rsidRPr="0081736D" w:rsidRDefault="00BC1F58" w:rsidP="00BC1F58">
      <w:pPr>
        <w:adjustRightInd w:val="0"/>
        <w:snapToGrid w:val="0"/>
        <w:spacing w:beforeLines="50" w:before="156" w:line="360" w:lineRule="auto"/>
        <w:outlineLvl w:val="2"/>
        <w:rPr>
          <w:rFonts w:ascii="Calibri" w:hAnsi="Calibri" w:cs="Calibri"/>
          <w:b/>
          <w:iCs/>
          <w:sz w:val="24"/>
          <w:szCs w:val="24"/>
        </w:rPr>
      </w:pPr>
      <w:r w:rsidRPr="0081736D">
        <w:rPr>
          <w:rFonts w:ascii="Calibri" w:hAnsi="Calibri" w:cs="Calibri"/>
          <w:b/>
          <w:iCs/>
          <w:sz w:val="24"/>
          <w:szCs w:val="24"/>
        </w:rPr>
        <w:t>Table S1 Clinicopathologic characteristics of 99 cases of endometrial cancer</w:t>
      </w:r>
    </w:p>
    <w:tbl>
      <w:tblPr>
        <w:tblW w:w="8960" w:type="dxa"/>
        <w:tblLook w:val="04A0" w:firstRow="1" w:lastRow="0" w:firstColumn="1" w:lastColumn="0" w:noHBand="0" w:noVBand="1"/>
      </w:tblPr>
      <w:tblGrid>
        <w:gridCol w:w="1985"/>
        <w:gridCol w:w="2835"/>
        <w:gridCol w:w="1843"/>
        <w:gridCol w:w="2297"/>
      </w:tblGrid>
      <w:tr w:rsidR="00BC1F58" w:rsidRPr="0081736D" w14:paraId="33D58CA0" w14:textId="77777777" w:rsidTr="00566F42">
        <w:trPr>
          <w:trHeight w:val="570"/>
        </w:trPr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2822CA" w14:textId="77777777" w:rsidR="00BC1F58" w:rsidRPr="0081736D" w:rsidRDefault="00BC1F58" w:rsidP="00566F42">
            <w:pPr>
              <w:widowControl/>
              <w:adjustRightInd w:val="0"/>
              <w:snapToGrid w:val="0"/>
              <w:jc w:val="left"/>
              <w:rPr>
                <w:rFonts w:ascii="Calibri" w:hAnsi="Calibri" w:cs="Calibri"/>
                <w:b/>
                <w:bCs/>
                <w:kern w:val="0"/>
                <w:szCs w:val="24"/>
              </w:rPr>
            </w:pPr>
            <w:r w:rsidRPr="0081736D">
              <w:rPr>
                <w:rFonts w:ascii="Calibri" w:hAnsi="Calibri" w:cs="Calibri"/>
                <w:b/>
                <w:bCs/>
                <w:kern w:val="0"/>
                <w:szCs w:val="24"/>
              </w:rPr>
              <w:t>Characteristics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CB716E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b/>
                <w:bCs/>
                <w:color w:val="000000"/>
                <w:kern w:val="0"/>
              </w:rPr>
              <w:t>Group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BCB5ED5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b/>
                <w:bCs/>
                <w:color w:val="000000"/>
                <w:kern w:val="0"/>
              </w:rPr>
              <w:t>Total Cases</w:t>
            </w:r>
            <w:r w:rsidRPr="0081736D">
              <w:rPr>
                <w:rFonts w:ascii="Calibri" w:eastAsia="等线" w:hAnsi="Calibri" w:cs="Calibri"/>
                <w:b/>
                <w:bCs/>
                <w:color w:val="000000"/>
                <w:kern w:val="0"/>
              </w:rPr>
              <w:br/>
              <w:t>(n=99)</w:t>
            </w:r>
          </w:p>
        </w:tc>
        <w:tc>
          <w:tcPr>
            <w:tcW w:w="22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01CAFF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b/>
                <w:bCs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b/>
                <w:bCs/>
                <w:color w:val="000000"/>
                <w:kern w:val="0"/>
              </w:rPr>
              <w:t>%</w:t>
            </w:r>
          </w:p>
        </w:tc>
      </w:tr>
      <w:tr w:rsidR="00BC1F58" w:rsidRPr="0081736D" w14:paraId="165DBE4D" w14:textId="77777777" w:rsidTr="00566F42">
        <w:trPr>
          <w:trHeight w:val="285"/>
        </w:trPr>
        <w:tc>
          <w:tcPr>
            <w:tcW w:w="19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B6DC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Age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3DC81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≥55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F1EC0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61</w:t>
            </w:r>
          </w:p>
        </w:tc>
        <w:tc>
          <w:tcPr>
            <w:tcW w:w="229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B7614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61.6</w:t>
            </w:r>
          </w:p>
        </w:tc>
      </w:tr>
      <w:tr w:rsidR="00BC1F58" w:rsidRPr="0081736D" w14:paraId="5A496405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A4C11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F594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&lt;55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DFA97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38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36C2B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38.4</w:t>
            </w:r>
          </w:p>
        </w:tc>
      </w:tr>
      <w:tr w:rsidR="00BC1F58" w:rsidRPr="0081736D" w14:paraId="362B6680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E8B6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Clinical stage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2603E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I-II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2E100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81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E727F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81.8</w:t>
            </w:r>
          </w:p>
        </w:tc>
      </w:tr>
      <w:tr w:rsidR="00BC1F58" w:rsidRPr="0081736D" w14:paraId="0A916855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19B6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F3375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III-IV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EF44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18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BC6C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18.2</w:t>
            </w:r>
          </w:p>
        </w:tc>
      </w:tr>
      <w:tr w:rsidR="00BC1F58" w:rsidRPr="0081736D" w14:paraId="34F7B66C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4A57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Histology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ADB0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Endometrioid (total)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04115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88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9E1E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88.9</w:t>
            </w:r>
          </w:p>
        </w:tc>
      </w:tr>
      <w:tr w:rsidR="00BC1F58" w:rsidRPr="0081736D" w14:paraId="13E9535E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E18B1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5EE69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 xml:space="preserve">  Endometrioid (grade 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7D6CA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66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7B00B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66.7</w:t>
            </w:r>
          </w:p>
        </w:tc>
      </w:tr>
      <w:tr w:rsidR="00BC1F58" w:rsidRPr="0081736D" w14:paraId="0A88BF92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FE78E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2B72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 xml:space="preserve">  Endometrioid (grade 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68DCD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16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E60F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16.2</w:t>
            </w:r>
          </w:p>
        </w:tc>
      </w:tr>
      <w:tr w:rsidR="00BC1F58" w:rsidRPr="0081736D" w14:paraId="1F12B192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E9BB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86C6C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 xml:space="preserve">  Endometrioid (grade 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43BA2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 xml:space="preserve"> 6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08BDF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 xml:space="preserve"> 6.0</w:t>
            </w:r>
          </w:p>
        </w:tc>
      </w:tr>
      <w:tr w:rsidR="00BC1F58" w:rsidRPr="0081736D" w14:paraId="604398A7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F36D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157B7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Serous (grade 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EED63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 xml:space="preserve"> 3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5A3A4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 xml:space="preserve"> 3.0</w:t>
            </w:r>
          </w:p>
        </w:tc>
      </w:tr>
      <w:tr w:rsidR="00BC1F58" w:rsidRPr="0081736D" w14:paraId="2DBF97A0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422D9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9B30C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Clear cell (grade 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6D9DC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 xml:space="preserve"> 1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08233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 xml:space="preserve"> 1.0</w:t>
            </w:r>
          </w:p>
        </w:tc>
      </w:tr>
      <w:tr w:rsidR="00BC1F58" w:rsidRPr="0081736D" w14:paraId="1A9555C9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89856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8F275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Mixed carcinomas (grade 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A5CD4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 xml:space="preserve"> 1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80143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 xml:space="preserve"> 1.0</w:t>
            </w:r>
          </w:p>
        </w:tc>
      </w:tr>
      <w:tr w:rsidR="00BC1F58" w:rsidRPr="0081736D" w14:paraId="5684F3DC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8CFD1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96FEC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Carcinosarcoma (grade 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79942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 xml:space="preserve"> 6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61BB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 xml:space="preserve"> 6.1</w:t>
            </w:r>
          </w:p>
        </w:tc>
      </w:tr>
      <w:tr w:rsidR="00BC1F58" w:rsidRPr="0081736D" w14:paraId="22324D78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C3037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Myometrial invasion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27A09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&lt;50%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06CC1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66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91EE0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66.7</w:t>
            </w:r>
          </w:p>
        </w:tc>
      </w:tr>
      <w:tr w:rsidR="00BC1F58" w:rsidRPr="0081736D" w14:paraId="6E47C15C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2C31D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43D85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≥50%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91F9D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33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E8D18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33.3</w:t>
            </w:r>
          </w:p>
        </w:tc>
      </w:tr>
      <w:tr w:rsidR="00BC1F58" w:rsidRPr="0081736D" w14:paraId="516F2A5E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D8FD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Lymph-vascular space invasion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3168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A5845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83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921B7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83.8</w:t>
            </w:r>
          </w:p>
        </w:tc>
      </w:tr>
      <w:tr w:rsidR="00BC1F58" w:rsidRPr="0081736D" w14:paraId="5D847813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93D87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A34AA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48AE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16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1CC6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16.2</w:t>
            </w:r>
          </w:p>
        </w:tc>
      </w:tr>
      <w:tr w:rsidR="00BC1F58" w:rsidRPr="0081736D" w14:paraId="7911F66C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F47D2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Nodal status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311BE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Unknown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C6052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 xml:space="preserve"> 5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7E968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 xml:space="preserve"> 5.1</w:t>
            </w:r>
          </w:p>
        </w:tc>
      </w:tr>
      <w:tr w:rsidR="00BC1F58" w:rsidRPr="0081736D" w14:paraId="23890C57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77D8E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87A64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Negative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C24F3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83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230DA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83.8</w:t>
            </w:r>
          </w:p>
        </w:tc>
      </w:tr>
      <w:tr w:rsidR="00BC1F58" w:rsidRPr="0081736D" w14:paraId="2072B264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B23B8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639F0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Positive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97BD5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11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9DCE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11.1</w:t>
            </w:r>
          </w:p>
        </w:tc>
      </w:tr>
      <w:tr w:rsidR="00BC1F58" w:rsidRPr="0081736D" w14:paraId="7B336723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275E6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Treatment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1F504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No treatment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42B1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74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84888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74.8</w:t>
            </w:r>
          </w:p>
        </w:tc>
      </w:tr>
      <w:tr w:rsidR="00BC1F58" w:rsidRPr="0081736D" w14:paraId="4647BBC3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B2D5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17ECE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Chemotherapy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A6E31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14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20FA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14.1</w:t>
            </w:r>
          </w:p>
        </w:tc>
      </w:tr>
      <w:tr w:rsidR="00BC1F58" w:rsidRPr="0081736D" w14:paraId="148B5984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AF05F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43FC1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Radiotherapy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EC7C0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 xml:space="preserve"> 3</w:t>
            </w:r>
          </w:p>
        </w:tc>
        <w:tc>
          <w:tcPr>
            <w:tcW w:w="2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1D528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 xml:space="preserve"> 3.0</w:t>
            </w:r>
          </w:p>
        </w:tc>
      </w:tr>
      <w:tr w:rsidR="00BC1F58" w:rsidRPr="0081736D" w14:paraId="1151F4D2" w14:textId="77777777" w:rsidTr="00566F42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F5EBB4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5602E8F" w14:textId="77777777" w:rsidR="00BC1F58" w:rsidRPr="0081736D" w:rsidRDefault="00BC1F58" w:rsidP="00566F42">
            <w:pPr>
              <w:widowControl/>
              <w:adjustRightInd w:val="0"/>
              <w:snapToGrid w:val="0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>Both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E6F971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 xml:space="preserve"> 8</w:t>
            </w:r>
          </w:p>
        </w:tc>
        <w:tc>
          <w:tcPr>
            <w:tcW w:w="229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FC478E" w14:textId="77777777" w:rsidR="00BC1F58" w:rsidRPr="0081736D" w:rsidRDefault="00BC1F58" w:rsidP="00566F42">
            <w:pPr>
              <w:widowControl/>
              <w:adjustRightInd w:val="0"/>
              <w:snapToGrid w:val="0"/>
              <w:jc w:val="center"/>
              <w:rPr>
                <w:rFonts w:ascii="Calibri" w:eastAsia="等线" w:hAnsi="Calibri" w:cs="Calibri"/>
                <w:color w:val="000000"/>
                <w:kern w:val="0"/>
              </w:rPr>
            </w:pPr>
            <w:r w:rsidRPr="0081736D">
              <w:rPr>
                <w:rFonts w:ascii="Calibri" w:eastAsia="等线" w:hAnsi="Calibri" w:cs="Calibri"/>
                <w:color w:val="000000"/>
                <w:kern w:val="0"/>
              </w:rPr>
              <w:t xml:space="preserve"> 8.0</w:t>
            </w:r>
          </w:p>
        </w:tc>
      </w:tr>
    </w:tbl>
    <w:p w14:paraId="1029D4CA" w14:textId="77777777" w:rsidR="00BC1F58" w:rsidRPr="0081736D" w:rsidRDefault="00BC1F58" w:rsidP="00BC1F58">
      <w:pPr>
        <w:rPr>
          <w:rFonts w:ascii="Calibri" w:hAnsi="Calibri" w:cs="Calibri"/>
        </w:rPr>
      </w:pPr>
    </w:p>
    <w:p w14:paraId="5B274B94" w14:textId="77777777" w:rsidR="001070C8" w:rsidRDefault="001070C8"/>
    <w:sectPr w:rsidR="001070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F58"/>
    <w:rsid w:val="00104F06"/>
    <w:rsid w:val="001070C8"/>
    <w:rsid w:val="00BC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51575"/>
  <w15:chartTrackingRefBased/>
  <w15:docId w15:val="{91A878A6-FA90-447B-AD42-72785300A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1F5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C1F58"/>
    <w:pPr>
      <w:autoSpaceDE w:val="0"/>
      <w:autoSpaceDN w:val="0"/>
      <w:jc w:val="left"/>
    </w:pPr>
    <w:rPr>
      <w:rFonts w:ascii="宋体" w:hAnsi="宋体" w:cs="宋体"/>
      <w:kern w:val="0"/>
      <w:sz w:val="24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1"/>
    <w:rsid w:val="00BC1F58"/>
    <w:rPr>
      <w:rFonts w:ascii="宋体" w:eastAsia="宋体" w:hAnsi="宋体" w:cs="宋体"/>
      <w:kern w:val="0"/>
      <w:sz w:val="24"/>
      <w:szCs w:val="24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1</cp:revision>
  <dcterms:created xsi:type="dcterms:W3CDTF">2020-10-27T16:24:00Z</dcterms:created>
  <dcterms:modified xsi:type="dcterms:W3CDTF">2020-10-27T16:24:00Z</dcterms:modified>
</cp:coreProperties>
</file>