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Methods </w:t>
      </w:r>
    </w:p>
    <w:p w:rsidR="00000000" w:rsidDel="00000000" w:rsidP="00000000" w:rsidRDefault="00000000" w:rsidRPr="00000000" w14:paraId="00000002">
      <w:pPr>
        <w:pStyle w:val="Heading1"/>
        <w:spacing w:line="480" w:lineRule="auto"/>
        <w:rPr>
          <w:rFonts w:ascii="Times New Roman" w:cs="Times New Roman" w:eastAsia="Times New Roman" w:hAnsi="Times New Roman"/>
          <w:b w:val="1"/>
          <w:bCs w:val="1"/>
          <w:sz w:val="24"/>
          <w:szCs w:val="24"/>
        </w:rPr>
      </w:pPr>
      <w:bookmarkStart w:colFirst="0" w:colLast="0" w:name="_qzfgpi32c4v6" w:id="0"/>
      <w:bookmarkEnd w:id="0"/>
      <w:r w:rsidDel="00000000" w:rsidR="00000000" w:rsidRPr="00000000">
        <w:rPr>
          <w:rFonts w:ascii="Times New Roman" w:cs="Times New Roman" w:eastAsia="Times New Roman" w:hAnsi="Times New Roman"/>
          <w:b w:val="1"/>
          <w:bCs w:val="1"/>
          <w:sz w:val="24"/>
          <w:szCs w:val="24"/>
          <w:rtl w:val="0"/>
        </w:rPr>
        <w:t xml:space="preserve">Appendix C. Feature Evaluation and Phenotype Concordance Analysis</w:t>
      </w:r>
    </w:p>
    <w:p w:rsidR="00000000" w:rsidDel="00000000" w:rsidP="00000000" w:rsidRDefault="00000000" w:rsidRPr="00000000" w14:paraId="00000003">
      <w:pPr>
        <w:pStyle w:val="Heading2"/>
        <w:spacing w:line="480" w:lineRule="auto"/>
        <w:rPr>
          <w:rFonts w:ascii="Times New Roman" w:cs="Times New Roman" w:eastAsia="Times New Roman" w:hAnsi="Times New Roman"/>
          <w:b w:val="1"/>
          <w:bCs w:val="1"/>
          <w:sz w:val="24"/>
          <w:szCs w:val="24"/>
        </w:rPr>
      </w:pPr>
      <w:bookmarkStart w:colFirst="0" w:colLast="0" w:name="_7xl0x44w2jar" w:id="1"/>
      <w:bookmarkEnd w:id="1"/>
      <w:r w:rsidDel="00000000" w:rsidR="00000000" w:rsidRPr="00000000">
        <w:rPr>
          <w:rFonts w:ascii="Times New Roman" w:cs="Times New Roman" w:eastAsia="Times New Roman" w:hAnsi="Times New Roman"/>
          <w:b w:val="1"/>
          <w:bCs w:val="1"/>
          <w:sz w:val="24"/>
          <w:szCs w:val="24"/>
          <w:rtl w:val="0"/>
        </w:rPr>
        <w:t xml:space="preserve">C.1 Feature Evaluation Methods</w:t>
      </w:r>
    </w:p>
    <w:p w:rsidR="00000000" w:rsidDel="00000000" w:rsidP="00000000" w:rsidRDefault="00000000" w:rsidRPr="00000000" w14:paraId="00000004">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identify clinically meaningful signals, we employed three complementary feature evaluation strategies: statistical association testing, model-based feature importance, and ablation analysis. Each method captures a different aspect of feature relevance, enabling a triangulated interpretation of the most informative clinical signals.</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Table C1. Comparison of methods used for phenotype analysis. </w:t>
      </w:r>
      <w:r w:rsidDel="00000000" w:rsidR="00000000" w:rsidRPr="00000000">
        <w:rPr>
          <w:rtl w:val="0"/>
        </w:rPr>
      </w:r>
    </w:p>
    <w:tbl>
      <w:tblPr>
        <w:tblStyle w:val="Table1"/>
        <w:tblW w:w="90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5"/>
        <w:gridCol w:w="1680"/>
        <w:gridCol w:w="1635"/>
        <w:gridCol w:w="2205"/>
        <w:gridCol w:w="1830"/>
        <w:tblGridChange w:id="0">
          <w:tblGrid>
            <w:gridCol w:w="1695"/>
            <w:gridCol w:w="1680"/>
            <w:gridCol w:w="1635"/>
            <w:gridCol w:w="2205"/>
            <w:gridCol w:w="1830"/>
          </w:tblGrid>
        </w:tblGridChange>
      </w:tblGrid>
      <w:tr>
        <w:trPr>
          <w:cantSplit w:val="0"/>
          <w:trHeight w:val="710.925292968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Method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Purpose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Output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Strengths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Limitations</w:t>
            </w:r>
            <w:r w:rsidDel="00000000" w:rsidR="00000000" w:rsidRPr="00000000">
              <w:rPr>
                <w:rtl w:val="0"/>
              </w:rPr>
            </w:r>
          </w:p>
        </w:tc>
      </w:tr>
      <w:tr>
        <w:trPr>
          <w:cantSplit w:val="0"/>
          <w:trHeight w:val="1327.1191406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ANOVA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Statistical association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Highlights independent signals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Ignores feature interactions</w:t>
            </w:r>
          </w:p>
        </w:tc>
      </w:tr>
      <w:tr>
        <w:trPr>
          <w:cantSplit w:val="0"/>
          <w:trHeight w:val="1477.1191406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Feature Importance (LR, RF, XGB)</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relevance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Coefficients, SHAP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Captures model-driven priorities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reflect model bias</w:t>
            </w:r>
          </w:p>
        </w:tc>
      </w:tr>
      <w:tr>
        <w:trPr>
          <w:cantSplit w:val="0"/>
          <w:trHeight w:val="1291.2993237015394"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Ablation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Discriminative necessity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AUROC drop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Measures indispensability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Computationally intensive</w:t>
            </w:r>
          </w:p>
        </w:tc>
      </w:tr>
    </w:tbl>
    <w:p w:rsidR="00000000" w:rsidDel="00000000" w:rsidP="00000000" w:rsidRDefault="00000000" w:rsidRPr="00000000" w14:paraId="0000001A">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Legend:</w:t>
      </w:r>
      <w:r w:rsidDel="00000000" w:rsidR="00000000" w:rsidRPr="00000000">
        <w:rPr>
          <w:rFonts w:ascii="Times New Roman" w:cs="Times New Roman" w:eastAsia="Times New Roman" w:hAnsi="Times New Roman"/>
          <w:sz w:val="24"/>
          <w:szCs w:val="24"/>
          <w:rtl w:val="0"/>
        </w:rPr>
        <w:t xml:space="preserve"> Each method provides a complementary perspective on feature relevance, including statistical association, predictive contribution, and discriminative importance, supporting a comprehensive interpretation of model features.</w:t>
      </w:r>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2"/>
        <w:spacing w:after="240" w:before="240" w:line="480" w:lineRule="auto"/>
        <w:rPr>
          <w:rFonts w:ascii="Times New Roman" w:cs="Times New Roman" w:eastAsia="Times New Roman" w:hAnsi="Times New Roman"/>
          <w:b w:val="1"/>
          <w:bCs w:val="1"/>
          <w:sz w:val="24"/>
          <w:szCs w:val="24"/>
        </w:rPr>
      </w:pPr>
      <w:bookmarkStart w:colFirst="0" w:colLast="0" w:name="_p40698e3sc2p" w:id="2"/>
      <w:bookmarkEnd w:id="2"/>
      <w:r w:rsidDel="00000000" w:rsidR="00000000" w:rsidRPr="00000000">
        <w:rPr>
          <w:rFonts w:ascii="Times New Roman" w:cs="Times New Roman" w:eastAsia="Times New Roman" w:hAnsi="Times New Roman"/>
          <w:b w:val="1"/>
          <w:bCs w:val="1"/>
          <w:sz w:val="24"/>
          <w:szCs w:val="24"/>
          <w:rtl w:val="0"/>
        </w:rPr>
        <w:t xml:space="preserve">C.2 Comparison with Orphanet</w:t>
      </w:r>
    </w:p>
    <w:p w:rsidR="00000000" w:rsidDel="00000000" w:rsidP="00000000" w:rsidRDefault="00000000" w:rsidRPr="00000000" w14:paraId="0000001C">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further validate the clinical relevance of the phenotype-based models, we compared the top-ranked features identified by our models with authoritative rare disease annotations from Orphanet (ORPHA:397596). </w:t>
      </w:r>
    </w:p>
    <w:p w:rsidR="00000000" w:rsidDel="00000000" w:rsidP="00000000" w:rsidRDefault="00000000" w:rsidRPr="00000000" w14:paraId="0000001D">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compared the top-ranked phenotypes derived from both the full and constrained datasets with the very frequent and frequent clinical manifestations reported in Orphanet. As shown in Table C2, many hallmark features of APDS—including immunodeficiency, adenopathy, splenomegaly, hypogammaglobulinemia, pneumonia, bronchiectasis, and otitis—are consistently identified among the top-ranked phenotypes in both datasets. Recurrent infections, a central characteristic of APDS, are also captured by the models. This strong concordance supports the biological and clinical validity of the model outputs, indicating that the identified features reflect meaningful disease characteristics rather than spurious associations.</w:t>
      </w:r>
    </w:p>
    <w:p w:rsidR="00000000" w:rsidDel="00000000" w:rsidP="00000000" w:rsidRDefault="00000000" w:rsidRPr="00000000" w14:paraId="0000001E">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Table C2. Comparison of top-ranked phenotypes identified by the models with clinical manifestations of APDS reported in Orphanet (ORPHA:397596). </w:t>
      </w:r>
      <w:r w:rsidDel="00000000" w:rsidR="00000000" w:rsidRPr="00000000">
        <w:rPr>
          <w:rtl w:val="0"/>
        </w:rPr>
      </w:r>
    </w:p>
    <w:tbl>
      <w:tblPr>
        <w:tblStyle w:val="Table2"/>
        <w:tblW w:w="7791.80875771823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80.7100993947424"/>
        <w:gridCol w:w="1428.4982722483433"/>
        <w:gridCol w:w="2282.60038607515"/>
        <w:tblGridChange w:id="0">
          <w:tblGrid>
            <w:gridCol w:w="4080.7100993947424"/>
            <w:gridCol w:w="1428.4982722483433"/>
            <w:gridCol w:w="2282.6003860751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Orphanet APDS Phenotypes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dataset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Constrained dataset</w:t>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Pneumonia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Recurrent infections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Immunodeficiency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Bronchiectasis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Chronic sinusitis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Hypogammaglobulinemia / ↓ antibodies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3">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Decreased total B cell count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5">
            <w:pPr>
              <w:spacing w:line="48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6">
            <w:pPr>
              <w:spacing w:line="48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Hepatomegaly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8">
            <w:pPr>
              <w:spacing w:line="48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Hyper IgM syndrome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B">
            <w:pPr>
              <w:spacing w:line="48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C">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Hyperplasia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E">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F">
            <w:pPr>
              <w:spacing w:line="48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Lymphadenopathy (Adenopathy)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1">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2">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Otitis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4">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5">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r>
      <w:tr>
        <w:trPr>
          <w:cantSplit w:val="0"/>
          <w:trHeight w:val="5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Splenomegaly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7">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8">
            <w:pPr>
              <w:spacing w:line="480" w:lineRule="auto"/>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p>
        </w:tc>
      </w:tr>
    </w:tbl>
    <w:p w:rsidR="00000000" w:rsidDel="00000000" w:rsidP="00000000" w:rsidRDefault="00000000" w:rsidRPr="00000000" w14:paraId="00000049">
      <w:pPr>
        <w:spacing w:after="0" w:before="20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Legend: Top-ranked phenotypes identified by the models across datasets in comparison with clinical manifestations of APDS reported in Orphanet. </w:t>
      </w:r>
      <w:r w:rsidDel="00000000" w:rsidR="00000000" w:rsidRPr="00000000">
        <w:rPr>
          <w:rFonts w:ascii="Arial Unicode MS" w:cs="Arial Unicode MS" w:eastAsia="Arial Unicode MS" w:hAnsi="Arial Unicode MS"/>
          <w:sz w:val="24"/>
          <w:szCs w:val="24"/>
          <w:rtl w:val="0"/>
        </w:rPr>
        <w:t xml:space="preserve">Check marks (✓) indicate phenotypes identified among the top-ranked features in the corresponding dataset. </w:t>
      </w:r>
      <w:r w:rsidDel="00000000" w:rsidR="00000000" w:rsidRPr="00000000">
        <w:rPr>
          <w:rtl w:val="0"/>
        </w:rPr>
      </w:r>
    </w:p>
    <w:sectPr>
      <w:headerReference r:id="rId6" w:type="default"/>
      <w:pgSz w:h="16834" w:w="11909" w:orient="portrait"/>
      <w:pgMar w:bottom="1440.0000000000002" w:top="1440.0000000000002" w:left="1440.0000000000002" w:right="1440.0000000000002" w:header="720" w:footer="720"/>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ardo">
    <w:embedRegular w:fontKey="{00000000-0000-0000-0000-000000000000}" r:id="rId1" w:subsetted="0"/>
    <w:embedBold w:fontKey="{00000000-0000-0000-0000-000000000000}" r:id="rId2" w:subsetted="0"/>
    <w:embedItalic w:fontKey="{00000000-0000-0000-0000-000000000000}" r:id="rId3"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ind w:left="7920" w:firstLine="0"/>
      <w:rPr/>
    </w:pPr>
    <w:r w:rsidDel="00000000" w:rsidR="00000000" w:rsidRPr="00000000">
      <w:rPr>
        <w:rtl w:val="0"/>
      </w:rPr>
      <w:t xml:space="preserve">  Alsaidi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