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A43A" w14:textId="511A93BD" w:rsidR="0070163D" w:rsidRDefault="0070163D" w:rsidP="0070163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34531FF" wp14:editId="6AAB8502">
            <wp:extent cx="5130800" cy="2355850"/>
            <wp:effectExtent l="0" t="0" r="0" b="6350"/>
            <wp:docPr id="3220274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32CC5" w14:textId="77777777" w:rsidR="0070163D" w:rsidRDefault="0070163D" w:rsidP="0070163D">
      <w:pPr>
        <w:jc w:val="both"/>
        <w:rPr>
          <w:rFonts w:ascii="Times New Roman" w:hAnsi="Times New Roman"/>
        </w:rPr>
      </w:pPr>
      <w:r w:rsidRPr="00937AB7">
        <w:rPr>
          <w:rFonts w:ascii="Times New Roman" w:hAnsi="Times New Roman"/>
          <w:b/>
          <w:bCs/>
        </w:rPr>
        <w:t>Fig</w:t>
      </w:r>
      <w:r>
        <w:rPr>
          <w:rFonts w:ascii="Times New Roman" w:hAnsi="Times New Roman" w:hint="eastAsia"/>
          <w:b/>
          <w:bCs/>
        </w:rPr>
        <w:t>ure</w:t>
      </w:r>
      <w:r w:rsidRPr="00937AB7">
        <w:rPr>
          <w:rFonts w:ascii="Times New Roman" w:hAnsi="Times New Roman"/>
          <w:b/>
          <w:bCs/>
        </w:rPr>
        <w:t xml:space="preserve"> S1</w:t>
      </w:r>
      <w:r>
        <w:rPr>
          <w:rFonts w:ascii="Times New Roman" w:hAnsi="Times New Roman" w:hint="eastAsia"/>
          <w:b/>
          <w:bCs/>
        </w:rPr>
        <w:t>.</w:t>
      </w:r>
      <w:r w:rsidRPr="00937AB7">
        <w:rPr>
          <w:rFonts w:ascii="Times New Roman" w:hAnsi="Times New Roman"/>
          <w:b/>
          <w:bCs/>
        </w:rPr>
        <w:t xml:space="preserve"> Functional characterization of gut archaea.</w:t>
      </w:r>
      <w:r w:rsidRPr="00937AB7">
        <w:rPr>
          <w:rFonts w:ascii="Times New Roman" w:hAnsi="Times New Roman"/>
        </w:rPr>
        <w:t xml:space="preserve"> </w:t>
      </w:r>
      <w:r w:rsidRPr="00937AB7">
        <w:rPr>
          <w:rFonts w:ascii="Times New Roman" w:hAnsi="Times New Roman"/>
          <w:b/>
          <w:bCs/>
        </w:rPr>
        <w:t>(A)</w:t>
      </w:r>
      <w:r w:rsidRPr="00937AB7">
        <w:rPr>
          <w:rFonts w:ascii="Times New Roman" w:hAnsi="Times New Roman"/>
        </w:rPr>
        <w:t xml:space="preserve"> Protein annotation rates for archaeal genomes using various functional databases. The left and right bar charts represent the proportions of unannotated (gray) and module-assigned proteins, respectively. </w:t>
      </w:r>
      <w:r w:rsidRPr="00937AB7">
        <w:rPr>
          <w:rFonts w:ascii="Times New Roman" w:hAnsi="Times New Roman"/>
          <w:b/>
          <w:bCs/>
        </w:rPr>
        <w:t>(B)</w:t>
      </w:r>
      <w:r w:rsidRPr="00937AB7">
        <w:rPr>
          <w:rFonts w:ascii="Times New Roman" w:hAnsi="Times New Roman"/>
        </w:rPr>
        <w:t xml:space="preserve"> </w:t>
      </w:r>
      <w:proofErr w:type="spellStart"/>
      <w:r w:rsidRPr="00E05F1A">
        <w:rPr>
          <w:rFonts w:ascii="Times New Roman" w:hAnsi="Times New Roman"/>
        </w:rPr>
        <w:t>PCoA</w:t>
      </w:r>
      <w:proofErr w:type="spellEnd"/>
      <w:r w:rsidRPr="00E05F1A">
        <w:rPr>
          <w:rFonts w:ascii="Times New Roman" w:hAnsi="Times New Roman"/>
        </w:rPr>
        <w:t xml:space="preserve"> based on Bray-Curtis dissimilarity for</w:t>
      </w:r>
      <w:r w:rsidRPr="00937AB7">
        <w:rPr>
          <w:rFonts w:ascii="Times New Roman" w:hAnsi="Times New Roman"/>
        </w:rPr>
        <w:t xml:space="preserve"> archaeal phyla.</w:t>
      </w:r>
    </w:p>
    <w:p w14:paraId="14A96A65" w14:textId="77777777" w:rsidR="0070163D" w:rsidRDefault="0070163D" w:rsidP="0070163D">
      <w:pPr>
        <w:widowControl/>
        <w:jc w:val="both"/>
        <w:rPr>
          <w:rFonts w:ascii="Times New Roman" w:hAnsi="Times New Roman"/>
        </w:rPr>
      </w:pPr>
    </w:p>
    <w:p w14:paraId="42635C97" w14:textId="0A698696" w:rsidR="0070163D" w:rsidRDefault="0070163D" w:rsidP="0070163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209BE293" wp14:editId="54B3A263">
            <wp:extent cx="3492500" cy="6311900"/>
            <wp:effectExtent l="0" t="0" r="0" b="0"/>
            <wp:docPr id="6776599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631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D3A9" w14:textId="77777777" w:rsidR="0070163D" w:rsidRDefault="0070163D" w:rsidP="0070163D">
      <w:pPr>
        <w:jc w:val="both"/>
        <w:rPr>
          <w:rFonts w:ascii="Times New Roman" w:hAnsi="Times New Roman"/>
        </w:rPr>
      </w:pPr>
      <w:r w:rsidRPr="00C35C8A">
        <w:rPr>
          <w:rFonts w:ascii="Times New Roman" w:hAnsi="Times New Roman"/>
          <w:b/>
          <w:bCs/>
        </w:rPr>
        <w:t>Fig</w:t>
      </w:r>
      <w:r>
        <w:rPr>
          <w:rFonts w:ascii="Times New Roman" w:hAnsi="Times New Roman" w:hint="eastAsia"/>
          <w:b/>
          <w:bCs/>
        </w:rPr>
        <w:t>ure</w:t>
      </w:r>
      <w:r w:rsidRPr="00C35C8A">
        <w:rPr>
          <w:rFonts w:ascii="Times New Roman" w:hAnsi="Times New Roman"/>
          <w:b/>
          <w:bCs/>
        </w:rPr>
        <w:t xml:space="preserve"> S2</w:t>
      </w:r>
      <w:r>
        <w:rPr>
          <w:rFonts w:ascii="Times New Roman" w:hAnsi="Times New Roman" w:hint="eastAsia"/>
          <w:b/>
          <w:bCs/>
        </w:rPr>
        <w:t>.</w:t>
      </w:r>
      <w:r w:rsidRPr="00C35C8A">
        <w:rPr>
          <w:rFonts w:ascii="Times New Roman" w:hAnsi="Times New Roman"/>
          <w:b/>
          <w:bCs/>
        </w:rPr>
        <w:t xml:space="preserve"> Influence of geographic location, host sex, and age on gut archaeal communities.</w:t>
      </w:r>
      <w:r>
        <w:rPr>
          <w:rFonts w:ascii="Times New Roman" w:hAnsi="Times New Roman" w:hint="eastAsia"/>
          <w:b/>
          <w:bCs/>
        </w:rPr>
        <w:t xml:space="preserve"> </w:t>
      </w:r>
      <w:r w:rsidRPr="00C35C8A">
        <w:rPr>
          <w:rFonts w:ascii="Times New Roman" w:hAnsi="Times New Roman"/>
          <w:b/>
          <w:bCs/>
        </w:rPr>
        <w:t>(A)</w:t>
      </w:r>
      <w:r w:rsidRPr="00C35C8A">
        <w:rPr>
          <w:rFonts w:ascii="Times New Roman" w:hAnsi="Times New Roman"/>
        </w:rPr>
        <w:t xml:space="preserve"> Frequency distribution of archaeal species richness by geography, sex, and age. </w:t>
      </w:r>
      <w:r w:rsidRPr="00C35C8A">
        <w:rPr>
          <w:rFonts w:ascii="Times New Roman" w:hAnsi="Times New Roman"/>
          <w:b/>
          <w:bCs/>
        </w:rPr>
        <w:t>(B)</w:t>
      </w:r>
      <w:r w:rsidRPr="00C35C8A">
        <w:rPr>
          <w:rFonts w:ascii="Times New Roman" w:hAnsi="Times New Roman"/>
        </w:rPr>
        <w:t xml:space="preserve"> Archaeal alpha-diversity comparisons across geography, sex, and age cohorts. </w:t>
      </w:r>
      <w:r w:rsidRPr="00C35C8A">
        <w:rPr>
          <w:rFonts w:ascii="Times New Roman" w:hAnsi="Times New Roman"/>
          <w:b/>
          <w:bCs/>
        </w:rPr>
        <w:t>(C)</w:t>
      </w:r>
      <w:r w:rsidRPr="00C35C8A">
        <w:rPr>
          <w:rFonts w:ascii="Times New Roman" w:hAnsi="Times New Roman"/>
        </w:rPr>
        <w:t xml:space="preserve"> </w:t>
      </w:r>
      <w:proofErr w:type="spellStart"/>
      <w:r w:rsidRPr="00E05F1A">
        <w:rPr>
          <w:rFonts w:ascii="Times New Roman" w:hAnsi="Times New Roman"/>
        </w:rPr>
        <w:t>PCoA</w:t>
      </w:r>
      <w:proofErr w:type="spellEnd"/>
      <w:r w:rsidRPr="00E05F1A">
        <w:rPr>
          <w:rFonts w:ascii="Times New Roman" w:hAnsi="Times New Roman"/>
        </w:rPr>
        <w:t xml:space="preserve"> based on Bray-Curtis dissimilarity for</w:t>
      </w:r>
      <w:r w:rsidRPr="00C35C8A">
        <w:rPr>
          <w:rFonts w:ascii="Times New Roman" w:hAnsi="Times New Roman"/>
        </w:rPr>
        <w:t xml:space="preserve"> geography, sex, and age. PERMANOVA (adonis) was applied to calculate effect sizes (</w:t>
      </w:r>
      <w:r>
        <w:rPr>
          <w:rFonts w:ascii="Times New Roman" w:hAnsi="Times New Roman" w:hint="eastAsia"/>
        </w:rPr>
        <w:t>R</w:t>
      </w:r>
      <w:r w:rsidRPr="00C35C8A">
        <w:rPr>
          <w:rFonts w:ascii="Times New Roman" w:hAnsi="Times New Roman" w:hint="eastAsia"/>
          <w:vertAlign w:val="superscript"/>
        </w:rPr>
        <w:t>2</w:t>
      </w:r>
      <w:r w:rsidRPr="00C35C8A">
        <w:rPr>
          <w:rFonts w:ascii="Times New Roman" w:hAnsi="Times New Roman"/>
        </w:rPr>
        <w:t>) and significance.</w:t>
      </w:r>
    </w:p>
    <w:p w14:paraId="573BED2F" w14:textId="77777777" w:rsidR="0070163D" w:rsidRDefault="0070163D" w:rsidP="0070163D">
      <w:pPr>
        <w:widowControl/>
        <w:jc w:val="both"/>
        <w:rPr>
          <w:rFonts w:ascii="Times New Roman" w:hAnsi="Times New Roman"/>
        </w:rPr>
      </w:pPr>
    </w:p>
    <w:p w14:paraId="31070868" w14:textId="0A11A035" w:rsidR="0070163D" w:rsidRDefault="0070163D" w:rsidP="0070163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174FDA33" wp14:editId="590759EC">
            <wp:extent cx="5156200" cy="3676650"/>
            <wp:effectExtent l="0" t="0" r="6350" b="0"/>
            <wp:docPr id="77601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A3992" w14:textId="77777777" w:rsidR="0070163D" w:rsidRDefault="0070163D" w:rsidP="0070163D">
      <w:pPr>
        <w:jc w:val="both"/>
        <w:rPr>
          <w:rFonts w:ascii="Times New Roman" w:hAnsi="Times New Roman"/>
        </w:rPr>
      </w:pPr>
      <w:r w:rsidRPr="000448AD">
        <w:rPr>
          <w:rFonts w:ascii="Times New Roman" w:hAnsi="Times New Roman" w:hint="eastAsia"/>
          <w:b/>
          <w:bCs/>
        </w:rPr>
        <w:t>Fig</w:t>
      </w:r>
      <w:r>
        <w:rPr>
          <w:rFonts w:ascii="Times New Roman" w:hAnsi="Times New Roman" w:hint="eastAsia"/>
          <w:b/>
          <w:bCs/>
        </w:rPr>
        <w:t xml:space="preserve">ure </w:t>
      </w:r>
      <w:r w:rsidRPr="000448AD">
        <w:rPr>
          <w:rFonts w:ascii="Times New Roman" w:hAnsi="Times New Roman" w:hint="eastAsia"/>
          <w:b/>
          <w:bCs/>
        </w:rPr>
        <w:t>S3</w:t>
      </w:r>
      <w:r>
        <w:rPr>
          <w:rFonts w:ascii="Times New Roman" w:hAnsi="Times New Roman" w:hint="eastAsia"/>
          <w:b/>
          <w:bCs/>
        </w:rPr>
        <w:t>.</w:t>
      </w:r>
      <w:r w:rsidRPr="000448AD">
        <w:rPr>
          <w:rFonts w:ascii="Times New Roman" w:hAnsi="Times New Roman" w:hint="eastAsia"/>
          <w:b/>
          <w:bCs/>
        </w:rPr>
        <w:t xml:space="preserve"> Species-level composition of gut archaea across IBD cohorts.</w:t>
      </w:r>
      <w:r w:rsidRPr="000448AD">
        <w:rPr>
          <w:rFonts w:ascii="Times New Roman" w:hAnsi="Times New Roman" w:hint="eastAsia"/>
        </w:rPr>
        <w:t xml:space="preserve"> </w:t>
      </w:r>
      <w:r w:rsidRPr="000448AD">
        <w:rPr>
          <w:rFonts w:ascii="Times New Roman" w:hAnsi="Times New Roman" w:hint="eastAsia"/>
          <w:b/>
          <w:bCs/>
        </w:rPr>
        <w:t>(A</w:t>
      </w:r>
      <w:r w:rsidRPr="000448AD">
        <w:rPr>
          <w:rFonts w:ascii="Times New Roman" w:hAnsi="Times New Roman" w:hint="eastAsia"/>
          <w:b/>
          <w:bCs/>
        </w:rPr>
        <w:t>–</w:t>
      </w:r>
      <w:r w:rsidRPr="000448AD">
        <w:rPr>
          <w:rFonts w:ascii="Times New Roman" w:hAnsi="Times New Roman" w:hint="eastAsia"/>
          <w:b/>
          <w:bCs/>
        </w:rPr>
        <w:t>B)</w:t>
      </w:r>
      <w:r w:rsidRPr="000448AD">
        <w:rPr>
          <w:rFonts w:ascii="Times New Roman" w:hAnsi="Times New Roman" w:hint="eastAsia"/>
        </w:rPr>
        <w:t xml:space="preserve"> Taxonomic profiles of gut archaeal species comparing patients and healthy controls within the CD </w:t>
      </w:r>
      <w:r w:rsidRPr="000448AD">
        <w:rPr>
          <w:rFonts w:ascii="Times New Roman" w:hAnsi="Times New Roman" w:hint="eastAsia"/>
          <w:b/>
          <w:bCs/>
        </w:rPr>
        <w:t>(A)</w:t>
      </w:r>
      <w:r w:rsidRPr="000448AD">
        <w:rPr>
          <w:rFonts w:ascii="Times New Roman" w:hAnsi="Times New Roman" w:hint="eastAsia"/>
        </w:rPr>
        <w:t xml:space="preserve"> and UC </w:t>
      </w:r>
      <w:r w:rsidRPr="000448AD">
        <w:rPr>
          <w:rFonts w:ascii="Times New Roman" w:hAnsi="Times New Roman" w:hint="eastAsia"/>
          <w:b/>
          <w:bCs/>
        </w:rPr>
        <w:t>(B)</w:t>
      </w:r>
      <w:r w:rsidRPr="000448AD">
        <w:rPr>
          <w:rFonts w:ascii="Times New Roman" w:hAnsi="Times New Roman" w:hint="eastAsia"/>
        </w:rPr>
        <w:t xml:space="preserve"> cohorts.</w:t>
      </w:r>
    </w:p>
    <w:p w14:paraId="4FDF944B" w14:textId="77777777" w:rsidR="0070163D" w:rsidRPr="007C1298" w:rsidRDefault="0070163D" w:rsidP="0070163D">
      <w:pPr>
        <w:widowControl/>
        <w:jc w:val="both"/>
        <w:rPr>
          <w:rFonts w:ascii="Times New Roman" w:hAnsi="Times New Roman"/>
        </w:rPr>
      </w:pPr>
    </w:p>
    <w:p w14:paraId="573307B0" w14:textId="77777777" w:rsidR="00C6465A" w:rsidRDefault="00C6465A"/>
    <w:sectPr w:rsidR="00C6465A" w:rsidSect="0070163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3D"/>
    <w:rsid w:val="000905F0"/>
    <w:rsid w:val="00112C91"/>
    <w:rsid w:val="00242B4F"/>
    <w:rsid w:val="00302F9E"/>
    <w:rsid w:val="0035493C"/>
    <w:rsid w:val="004E23CF"/>
    <w:rsid w:val="006D5216"/>
    <w:rsid w:val="0070163D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D872"/>
  <w15:chartTrackingRefBased/>
  <w15:docId w15:val="{DE323177-96C1-4D81-9875-E47EF688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63D"/>
    <w:pPr>
      <w:widowControl w:val="0"/>
    </w:pPr>
    <w:rPr>
      <w:rFonts w:ascii="DengXian" w:eastAsia="DengXian" w:hAnsi="DengXian" w:cs="Times New Roman"/>
      <w:sz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63D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63D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63D"/>
    <w:pPr>
      <w:keepNext/>
      <w:keepLines/>
      <w:widowControl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63D"/>
    <w:pPr>
      <w:keepNext/>
      <w:keepLines/>
      <w:widowControl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63D"/>
    <w:pPr>
      <w:keepNext/>
      <w:keepLines/>
      <w:widowControl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63D"/>
    <w:pPr>
      <w:keepNext/>
      <w:keepLines/>
      <w:widowControl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63D"/>
    <w:pPr>
      <w:keepNext/>
      <w:keepLines/>
      <w:widowControl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63D"/>
    <w:pPr>
      <w:keepNext/>
      <w:keepLines/>
      <w:widowControl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63D"/>
    <w:pPr>
      <w:keepNext/>
      <w:keepLines/>
      <w:widowControl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6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6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63D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1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63D"/>
    <w:pPr>
      <w:widowControl/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1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63D"/>
    <w:pPr>
      <w:widowControl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1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63D"/>
    <w:pPr>
      <w:widowControl/>
      <w:ind w:left="720"/>
      <w:contextualSpacing/>
    </w:pPr>
    <w:rPr>
      <w:rFonts w:asciiTheme="minorHAnsi" w:eastAsiaTheme="minorHAnsi" w:hAnsiTheme="minorHAnsi" w:cstheme="minorBid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1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63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6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6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</Words>
  <Characters>829</Characters>
  <Application>Microsoft Office Word</Application>
  <DocSecurity>0</DocSecurity>
  <Lines>17</Lines>
  <Paragraphs>6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2026-09-01T13:58:00Z</dcterms:created>
  <dcterms:modified xsi:type="dcterms:W3CDTF">2026-09-01T13:59:00Z</dcterms:modified>
</cp:coreProperties>
</file>