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AFB2F" w14:textId="77777777" w:rsidR="00EE0CB1" w:rsidRPr="00D7685C" w:rsidRDefault="00EE0CB1" w:rsidP="00EE0CB1">
      <w:pPr>
        <w:pStyle w:val="Bibliography"/>
        <w:spacing w:line="360" w:lineRule="auto"/>
        <w:jc w:val="both"/>
        <w:rPr>
          <w:rFonts w:ascii="Times New Roman" w:hAnsi="Times New Roman" w:cs="Times New Roman"/>
        </w:rPr>
      </w:pPr>
      <w:r w:rsidRPr="00D7685C">
        <w:rPr>
          <w:rFonts w:ascii="Times New Roman" w:hAnsi="Times New Roman" w:cs="Times New Roman"/>
        </w:rPr>
        <w:t>Appendix 1：Abbreviations Used in Table 2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610"/>
        <w:gridCol w:w="2394"/>
        <w:gridCol w:w="5318"/>
      </w:tblGrid>
      <w:tr w:rsidR="00EE0CB1" w:rsidRPr="00C863C3" w14:paraId="4DC390A9" w14:textId="77777777" w:rsidTr="00A01F0F"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3060E" w14:textId="77777777" w:rsidR="00EE0CB1" w:rsidRPr="00EB14E2" w:rsidRDefault="00EE0CB1" w:rsidP="00A01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4E2">
              <w:rPr>
                <w:rFonts w:ascii="Times New Roman" w:hAnsi="Times New Roman" w:cs="Times New Roman"/>
                <w:b/>
                <w:bCs/>
              </w:rPr>
              <w:t>Abbreviation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C019B" w14:textId="77777777" w:rsidR="00EE0CB1" w:rsidRPr="00EB14E2" w:rsidRDefault="00EE0CB1" w:rsidP="00A01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4E2">
              <w:rPr>
                <w:rFonts w:ascii="Times New Roman" w:hAnsi="Times New Roman" w:cs="Times New Roman"/>
                <w:b/>
                <w:bCs/>
              </w:rPr>
              <w:t>Full Term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66BD5" w14:textId="77777777" w:rsidR="00EE0CB1" w:rsidRPr="00EB14E2" w:rsidRDefault="00EE0CB1" w:rsidP="00A01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4E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EE0CB1" w:rsidRPr="00C863C3" w14:paraId="7524551B" w14:textId="77777777" w:rsidTr="00A01F0F"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18BC5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Theme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ABDF62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Theme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A56BC5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name of the thematic category identified in the analysis.</w:t>
            </w:r>
          </w:p>
        </w:tc>
      </w:tr>
      <w:tr w:rsidR="00EE0CB1" w:rsidRPr="00C863C3" w14:paraId="5FAC6C4C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1E645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Lag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A97A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Lead–Lag Value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80F1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optimal lag period indicating the temporal lead–lag relationship between conference and journal publications.</w:t>
            </w:r>
          </w:p>
        </w:tc>
      </w:tr>
      <w:tr w:rsidR="00EE0CB1" w:rsidRPr="00C863C3" w14:paraId="49B16099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9C23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Corr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E693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Maximum Cross-Correlation Coefficient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529F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highest cross-correlation coefficient observed between the two time series.</w:t>
            </w:r>
          </w:p>
        </w:tc>
      </w:tr>
      <w:tr w:rsidR="00EE0CB1" w:rsidRPr="00C863C3" w14:paraId="6EB3A324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A852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D2A5B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Significance Level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B35C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statistical significance level associated with the cross-correlation analysis.</w:t>
            </w:r>
          </w:p>
        </w:tc>
      </w:tr>
      <w:tr w:rsidR="00EE0CB1" w:rsidRPr="00C863C3" w14:paraId="74FCA21A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8A4B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CPY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66F1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Conference Peak Year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0398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year in which a theme reaches its highest prevalence in conference publications.</w:t>
            </w:r>
          </w:p>
        </w:tc>
      </w:tr>
      <w:tr w:rsidR="00EE0CB1" w:rsidRPr="00C863C3" w14:paraId="1A4486B9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AF04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JPY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DF1C3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Journal Peak Year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A05B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The year in which a theme reaches its highest prevalence in journal publications.</w:t>
            </w:r>
          </w:p>
        </w:tc>
      </w:tr>
      <w:tr w:rsidR="00EE0CB1" w:rsidRPr="00C863C3" w14:paraId="233FEB40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1B82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PYD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1BD3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Peak Year Difference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013" w14:textId="77777777" w:rsidR="00EE0CB1" w:rsidRPr="00EB14E2" w:rsidRDefault="00EE0CB1" w:rsidP="00A01F0F">
            <w:pPr>
              <w:jc w:val="both"/>
              <w:rPr>
                <w:rFonts w:ascii="Times New Roman" w:hAnsi="Times New Roman" w:cs="Times New Roman"/>
                <w:vanish/>
              </w:rPr>
            </w:pPr>
            <w:r w:rsidRPr="00EB14E2">
              <w:rPr>
                <w:rFonts w:ascii="Times New Roman" w:hAnsi="Times New Roman" w:cs="Times New Roman"/>
              </w:rPr>
              <w:t>The difference between CPY and JPY, reflecting the temporal gap between conference and journal peak occurrences.</w:t>
            </w:r>
          </w:p>
        </w:tc>
      </w:tr>
      <w:tr w:rsidR="00EE0CB1" w:rsidRPr="00C863C3" w14:paraId="121FCCEB" w14:textId="77777777" w:rsidTr="00A01F0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C1A0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Interpretation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0CFC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Interpretation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1509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A textual explanation of the identified lead–lag relationship.</w:t>
            </w:r>
          </w:p>
        </w:tc>
      </w:tr>
      <w:tr w:rsidR="00EE0CB1" w:rsidRPr="00C863C3" w14:paraId="6FD6FA22" w14:textId="77777777" w:rsidTr="00A01F0F"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051442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Evidence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70D5C" w14:textId="77777777" w:rsidR="00EE0CB1" w:rsidRPr="00EB14E2" w:rsidRDefault="00EE0CB1" w:rsidP="00A01F0F">
            <w:pPr>
              <w:pStyle w:val="Bibliograph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Supporting Evidence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F82CAE" w14:textId="77777777" w:rsidR="00EE0CB1" w:rsidRPr="00EB14E2" w:rsidRDefault="00EE0CB1" w:rsidP="00A01F0F">
            <w:pPr>
              <w:pStyle w:val="Bibliography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B14E2">
              <w:rPr>
                <w:rFonts w:ascii="Times New Roman" w:hAnsi="Times New Roman" w:cs="Times New Roman"/>
              </w:rPr>
              <w:t>Empirical evidence used to support the interpretation of the lead–lag relationship.</w:t>
            </w:r>
          </w:p>
        </w:tc>
      </w:tr>
    </w:tbl>
    <w:p w14:paraId="2546E2EA" w14:textId="77777777" w:rsidR="00EE0CB1" w:rsidRPr="00C863C3" w:rsidRDefault="00EE0CB1" w:rsidP="00EE0CB1">
      <w:pPr>
        <w:pStyle w:val="Bibliography"/>
        <w:spacing w:line="360" w:lineRule="auto"/>
        <w:jc w:val="both"/>
        <w:rPr>
          <w:rFonts w:ascii="Times New Roman" w:hAnsi="Times New Roman" w:cs="Times New Roman"/>
        </w:rPr>
      </w:pPr>
    </w:p>
    <w:p w14:paraId="2B7BE887" w14:textId="77777777" w:rsidR="00DC2479" w:rsidRDefault="00DC2479"/>
    <w:sectPr w:rsidR="00DC2479" w:rsidSect="00EE0CB1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B1"/>
    <w:rsid w:val="005B6877"/>
    <w:rsid w:val="00AA0C39"/>
    <w:rsid w:val="00DC2479"/>
    <w:rsid w:val="00E50CCC"/>
    <w:rsid w:val="00EE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144F"/>
  <w15:chartTrackingRefBased/>
  <w15:docId w15:val="{77BC89CC-54AD-4163-8C74-FDBA2D27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B1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C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C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C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C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C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C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C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C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C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C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C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CB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0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CB1"/>
    <w:pPr>
      <w:spacing w:after="160"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0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CB1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qFormat/>
    <w:rsid w:val="00EE0CB1"/>
  </w:style>
  <w:style w:type="table" w:styleId="TableGrid">
    <w:name w:val="Table Grid"/>
    <w:basedOn w:val="TableNormal"/>
    <w:rsid w:val="00EE0CB1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2026-06-23T09:59:00Z</dcterms:created>
  <dcterms:modified xsi:type="dcterms:W3CDTF">2026-06-23T09:59:00Z</dcterms:modified>
</cp:coreProperties>
</file>