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Supplementary Tables</w:t>
      </w:r>
    </w:p>
    <w:p>
      <w:pPr>
        <w:jc w:val="center"/>
      </w:pPr>
      <w:r>
        <w:t>ALPS migraine manuscript</w:t>
      </w:r>
    </w:p>
    <w:p>
      <w:pPr>
        <w:pStyle w:val="Heading1"/>
      </w:pPr>
      <w:r>
        <w:t>Table S1. Baseline-MMD-adjusted patient-only GEE for disease-duration-related ALPS lateralization</w:t>
      </w:r>
    </w:p>
    <w:p>
      <w:pPr>
        <w:spacing w:after="120"/>
      </w:pPr>
      <w:r>
        <w:t>Gaussian GEE with exchangeable working correlation across bilateral ALPS measurements in the pooled patient cohort (n=64), adjusted for baseline MMD, age, sex, and BMI. Left hemisphere is the reference side. This model evaluates whether disease duration is differentially associated with left versus right baseline ALPS.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c>
          <w:tcPr>
            <w:tcW w:type="dxa" w:w="1752"/>
          </w:tcPr>
          <w:p>
            <w:r>
              <w:rPr>
                <w:b/>
                <w:sz w:val="16"/>
              </w:rPr>
              <w:t>Term</w:t>
            </w:r>
          </w:p>
        </w:tc>
        <w:tc>
          <w:tcPr>
            <w:tcW w:type="dxa" w:w="1752"/>
          </w:tcPr>
          <w:p>
            <w:r>
              <w:rPr>
                <w:b/>
                <w:sz w:val="16"/>
              </w:rPr>
              <w:t>β</w:t>
            </w:r>
          </w:p>
        </w:tc>
        <w:tc>
          <w:tcPr>
            <w:tcW w:type="dxa" w:w="1752"/>
          </w:tcPr>
          <w:p>
            <w:r>
              <w:rPr>
                <w:b/>
                <w:sz w:val="16"/>
              </w:rPr>
              <w:t>95% CI low</w:t>
            </w:r>
          </w:p>
        </w:tc>
        <w:tc>
          <w:tcPr>
            <w:tcW w:type="dxa" w:w="1752"/>
          </w:tcPr>
          <w:p>
            <w:r>
              <w:rPr>
                <w:b/>
                <w:sz w:val="16"/>
              </w:rPr>
              <w:t>95% CI high</w:t>
            </w:r>
          </w:p>
        </w:tc>
        <w:tc>
          <w:tcPr>
            <w:tcW w:type="dxa" w:w="1752"/>
          </w:tcPr>
          <w:p>
            <w:r>
              <w:rPr>
                <w:b/>
                <w:sz w:val="16"/>
              </w:rPr>
              <w:t>P</w:t>
            </w:r>
          </w:p>
        </w:tc>
        <w:tc>
          <w:tcPr>
            <w:tcW w:type="dxa" w:w="1752"/>
          </w:tcPr>
          <w:p>
            <w:r>
              <w:rPr>
                <w:b/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Right hemisphere (vs left)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-0.1514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-0.2184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-0.0844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&lt;0.001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-0.0047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-0.0089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-0.0006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0.026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Right hemisphere × duration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0.0053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0.0024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0.0082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&lt;0.001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Baseline MMD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0.0022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-0.0010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0.0053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0.180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Age, per year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-0.0031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-0.0069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0.0006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0.103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Male sex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0.0333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-0.0195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0.0862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0.216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BMI, kg/m²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-0.0018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-0.0159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0.0124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0.809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Side-specific slopes and interaction tests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  <w:tc>
          <w:tcPr>
            <w:tcW w:type="dxa" w:w="1752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Contrast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Estimate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SE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CI low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CI high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P</w:t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Duration slope on left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-0.0047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0.0021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-0.0089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-0.0006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0.026</w:t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Duration slope on right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0.0006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0.0018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-0.0029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0.0041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0.741</w:t>
            </w:r>
          </w:p>
        </w:tc>
      </w:tr>
      <w:tr>
        <w:tc>
          <w:tcPr>
            <w:tcW w:type="dxa" w:w="1752"/>
          </w:tcPr>
          <w:p>
            <w:r>
              <w:rPr>
                <w:sz w:val="16"/>
              </w:rPr>
              <w:t>Side interaction for duration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0.0053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0.0015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0.0024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0.0082</w:t>
            </w:r>
          </w:p>
        </w:tc>
        <w:tc>
          <w:tcPr>
            <w:tcW w:type="dxa" w:w="1752"/>
          </w:tcPr>
          <w:p>
            <w:r>
              <w:rPr>
                <w:sz w:val="16"/>
              </w:rPr>
              <w:t>&lt;0.001</w:t>
            </w:r>
          </w:p>
        </w:tc>
      </w:tr>
    </w:tbl>
    <w:p/>
    <w:p>
      <w:pPr>
        <w:pStyle w:val="Heading1"/>
      </w:pPr>
      <w:r>
        <w:t>Table S2. Subtype-adjusted, clinical-confounder, and exploratory subtype-interaction checks</w:t>
      </w:r>
    </w:p>
    <w:p>
      <w:pPr>
        <w:spacing w:after="120"/>
      </w:pPr>
      <w:r>
        <w:t>HC3-robust linear regression in the fully coded migraine cohort (n=64). EM served as the reference subtype. Panel A adds subtype to the disease-duration ALPS models. Panel B adds subtype to the longitudinally separated follow-up AMD models. Panel C reports exploratory pooled subtype-interaction tests across EM, CM, and VM. Panel D reports targeted sensitivity checks adding HADS total or ever preventive-treatment history.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14"/>
        <w:gridCol w:w="1314"/>
        <w:gridCol w:w="1314"/>
        <w:gridCol w:w="1314"/>
        <w:gridCol w:w="1314"/>
        <w:gridCol w:w="1314"/>
        <w:gridCol w:w="1314"/>
        <w:gridCol w:w="1314"/>
      </w:tblGrid>
      <w:tr>
        <w:tc>
          <w:tcPr>
            <w:tcW w:type="dxa" w:w="1314"/>
          </w:tcPr>
          <w:p>
            <w:r>
              <w:rPr>
                <w:b/>
                <w:sz w:val="16"/>
              </w:rPr>
              <w:t>Outcome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  <w:t>Predictor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  <w:t>β (95% CI)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  <w:t>P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  <w:t>FDR-corrected p</w:t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b/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Panel A. Subtype-adjusted disease-duration models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-0.0049 (-0.0096 to -0.0003)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0.039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0.065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Right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0.0007 (-0.0033 to 0.0048)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0.723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0.723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Mean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-0.0021 (-0.0061 to 0.0019)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0.302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0.378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ALPS difference (right-left)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0.0056 (0.0021 to 0.0092)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0.002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0.010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Absolute ALPS difference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-0.0038 (-0.0068 to -0.0008)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0.012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0.031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Panel B. Subtype-adjusted follow-up AMD models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1.2951 (0.2590 to 2.3312)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0.029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Right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0.2844 (-1.0696 to 1.6385)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0.681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0.681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Subtype coefficients for left-ALPS follow-up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Term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β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CI low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CI high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P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CM (vs EM)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-0.1287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-0.4973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0.2398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0.494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VM (vs EM)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-0.0419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-0.2952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0.2114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0.746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Panel C. Exploratory subtype-interaction tests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Analysis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Interaction term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n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P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Interpretation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duration × subtype for ALPS difference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0.5960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No clear subtype heterogeneity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Hemisphere-aware GEE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side × duration × subtype for bilateral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0.3950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No clear subtype heterogeneity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Follow-up AMD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 × subtype for 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0.6750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No clear subtype heterogeneity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Panel D. Targeted clinical-confounder sensitivity checks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Covariate added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Analysis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Outcome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Predictor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n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beta (95% CI)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P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FDR-corrected p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-0.0047 (-0.0095 to 0.0000)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0.051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0.085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ALPS difference (right-left)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0.0052 (0.0016 to 0.0088)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0.015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Absolute ALPS difference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-0.0038 (-0.0066 to -0.0011)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0.006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0.015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1.3026 (0.3068 to 2.2983)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0.010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0.021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Right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0.3692 (-0.8344 to 1.5728)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0.548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0.548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Hemisphere-aware GEE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Bilateral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Side x duration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0.0053 (0.0024 to 0.0082)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&lt;0.001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-0.0045 (-0.0090 to 0.0001)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0.054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0.090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ALPS difference (right-left)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0.0051 (0.0014 to 0.0087)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0.006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0.016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Absolute ALPS difference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Disease duration, per year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-0.0039 (-0.0065 to -0.0012)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0.016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Left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1.2395 (0.2085 to 2.2705)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0.018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0.037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 model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Follow-up AMD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Right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0.2755 (-1.0172 to 1.5683)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0.676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0.676</w:t>
            </w:r>
          </w:p>
        </w:tc>
      </w:tr>
      <w:tr>
        <w:tc>
          <w:tcPr>
            <w:tcW w:type="dxa" w:w="1314"/>
          </w:tcPr>
          <w:p>
            <w:r>
              <w:rPr>
                <w:sz w:val="16"/>
              </w:rPr>
              <w:t>Ever preventive treatment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Hemisphere-aware GEE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Bilateral ALPS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Side x duration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0.0053 (0.0024 to 0.0082)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  <w:t>&lt;0.001</w:t>
            </w:r>
          </w:p>
        </w:tc>
        <w:tc>
          <w:tcPr>
            <w:tcW w:type="dxa" w:w="1314"/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Supplementary Table S3. Clinical descriptors by migraine subtype</w:t>
      </w:r>
    </w:p>
    <w:p>
      <w:pPr>
        <w:spacing w:after="120"/>
      </w:pPr>
      <w:r>
        <w:t>Values are mean ± SD unless otherwise indicated. This table is descriptive only and was not used for definitive subtype inference.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</w:tcPr>
          <w:p>
            <w:r>
              <w:rPr>
                <w:b/>
                <w:sz w:val="16"/>
              </w:rPr>
              <w:t>Variable</w:t>
            </w:r>
          </w:p>
        </w:tc>
        <w:tc>
          <w:tcPr>
            <w:tcW w:type="dxa" w:w="2628"/>
          </w:tcPr>
          <w:p>
            <w:r>
              <w:rPr>
                <w:b/>
                <w:sz w:val="16"/>
              </w:rPr>
              <w:t>EM (n=20)</w:t>
            </w:r>
          </w:p>
        </w:tc>
        <w:tc>
          <w:tcPr>
            <w:tcW w:type="dxa" w:w="2628"/>
          </w:tcPr>
          <w:p>
            <w:r>
              <w:rPr>
                <w:b/>
                <w:sz w:val="16"/>
              </w:rPr>
              <w:t>CM (n=24)</w:t>
            </w:r>
          </w:p>
        </w:tc>
        <w:tc>
          <w:tcPr>
            <w:tcW w:type="dxa" w:w="2628"/>
          </w:tcPr>
          <w:p>
            <w:r>
              <w:rPr>
                <w:b/>
                <w:sz w:val="16"/>
              </w:rPr>
              <w:t>VM (n=20)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Participants, n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20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Age, years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33.2 ± 7.2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40.5 ± 10.7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36.0 ± 8.8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Male sex, n (%)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 (10.0)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 (8.3)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 (5.0)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BMI, kg/m²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20.9 ± 2.3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22.1 ± 2.7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21.6 ± 2.2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Disease duration, years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12.8 ± 9.6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19.7 ± 10.2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14.9 ± 8.1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Baseline MMD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3.6 ± 1.9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19.8 ± 5.8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4.8 ± 3.1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Baseline AMD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2.5 ± 2.0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13.0 ± 8.4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1.6 ± 1.2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Follow-up AMD (February 2026)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2.4 ± 2.5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5.8 ± 6.8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1.4 ± 1.2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HADS total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14.4 ± 9.2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19.0 ± 10.6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21.6 ± 10.9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DHI total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18.9 ± 20.0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29.0 ± 22.6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45.4 ± 24.6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VSS total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10.2 ± 11.3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27.0 ± 20.8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33.6 ± 23.1</w:t>
            </w:r>
          </w:p>
        </w:tc>
      </w:tr>
      <w:tr>
        <w:tc>
          <w:tcPr>
            <w:tcW w:type="dxa" w:w="2628"/>
          </w:tcPr>
          <w:p>
            <w:r>
              <w:rPr>
                <w:sz w:val="16"/>
              </w:rPr>
              <w:t>Ever preventive treatment, n (%)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5 (25.0)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21 (87.5)</w:t>
            </w:r>
          </w:p>
        </w:tc>
        <w:tc>
          <w:tcPr>
            <w:tcW w:type="dxa" w:w="2628"/>
          </w:tcPr>
          <w:p>
            <w:r>
              <w:rPr>
                <w:sz w:val="16"/>
              </w:rPr>
              <w:t>8 (40.0)</w:t>
            </w:r>
          </w:p>
        </w:tc>
      </w:tr>
    </w:tbl>
    <w:p/>
    <w:sectPr w:rsidR="00FC693F" w:rsidRPr="0006063C" w:rsidSect="0003461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