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A2" w:rsidRDefault="00874FA2" w:rsidP="00874FA2">
      <w:pPr>
        <w:spacing w:after="0"/>
        <w:jc w:val="center"/>
        <w:rPr>
          <w:rFonts w:cs="Times New Roman"/>
          <w:b/>
          <w:bCs/>
          <w:shd w:val="clear" w:color="auto" w:fill="FFFFFF"/>
        </w:rPr>
      </w:pPr>
      <w:r>
        <w:rPr>
          <w:rFonts w:cs="Times New Roman"/>
          <w:b/>
          <w:bCs/>
          <w:shd w:val="clear" w:color="auto" w:fill="FFFFFF"/>
        </w:rPr>
        <w:t>Supporting Information for</w:t>
      </w:r>
    </w:p>
    <w:p w:rsidR="00874FA2" w:rsidRDefault="00874FA2" w:rsidP="00874FA2">
      <w:pPr>
        <w:spacing w:after="0"/>
        <w:jc w:val="center"/>
        <w:rPr>
          <w:rFonts w:cs="Times New Roman"/>
          <w:b/>
          <w:bCs/>
          <w:shd w:val="clear" w:color="auto" w:fill="FFFFFF"/>
        </w:rPr>
      </w:pPr>
      <w:r>
        <w:rPr>
          <w:rFonts w:cs="Times New Roman"/>
          <w:b/>
          <w:bCs/>
          <w:shd w:val="clear" w:color="auto" w:fill="FFFFFF"/>
        </w:rPr>
        <w:t>Semi-interpenetrated polymer networks based on modified cellulose and starch as gel polymer electrolytes for high performance lithium ion batteries</w:t>
      </w:r>
    </w:p>
    <w:p w:rsidR="00874FA2" w:rsidRPr="0051381D" w:rsidRDefault="00874FA2" w:rsidP="00874FA2">
      <w:pPr>
        <w:spacing w:after="0"/>
        <w:jc w:val="center"/>
        <w:rPr>
          <w:rFonts w:cs="Times New Roman"/>
          <w:vertAlign w:val="superscript"/>
        </w:rPr>
      </w:pPr>
      <w:r w:rsidRPr="0051381D">
        <w:rPr>
          <w:rFonts w:cs="Times New Roman"/>
          <w:b/>
          <w:bCs/>
          <w:shd w:val="clear" w:color="auto" w:fill="FFFFFF"/>
        </w:rPr>
        <w:fldChar w:fldCharType="begin"/>
      </w:r>
      <w:r w:rsidRPr="0051381D">
        <w:rPr>
          <w:rFonts w:cs="Times New Roman"/>
          <w:b/>
          <w:bCs/>
          <w:shd w:val="clear" w:color="auto" w:fill="FFFFFF"/>
        </w:rPr>
        <w:instrText xml:space="preserve"> MACROBUTTON MTEditEquationSection2 </w:instrText>
      </w:r>
      <w:r w:rsidRPr="0051381D">
        <w:rPr>
          <w:rStyle w:val="MTEquationSection"/>
        </w:rPr>
        <w:instrText>Equation Chapter 1 Section 1</w:instrText>
      </w:r>
      <w:r w:rsidRPr="0051381D">
        <w:rPr>
          <w:rFonts w:cs="Times New Roman"/>
          <w:b/>
          <w:bCs/>
          <w:shd w:val="clear" w:color="auto" w:fill="FFFFFF"/>
        </w:rPr>
        <w:fldChar w:fldCharType="begin"/>
      </w:r>
      <w:r w:rsidRPr="0051381D">
        <w:rPr>
          <w:rFonts w:cs="Times New Roman"/>
          <w:b/>
          <w:bCs/>
          <w:shd w:val="clear" w:color="auto" w:fill="FFFFFF"/>
        </w:rPr>
        <w:instrText xml:space="preserve"> SEQ MTEqn \r \h \* MERGEFORMAT </w:instrText>
      </w:r>
      <w:r w:rsidRPr="0051381D">
        <w:rPr>
          <w:rFonts w:cs="Times New Roman"/>
          <w:b/>
          <w:bCs/>
          <w:shd w:val="clear" w:color="auto" w:fill="FFFFFF"/>
        </w:rPr>
        <w:fldChar w:fldCharType="end"/>
      </w:r>
      <w:r w:rsidRPr="0051381D">
        <w:rPr>
          <w:rFonts w:cs="Times New Roman"/>
          <w:b/>
          <w:bCs/>
          <w:shd w:val="clear" w:color="auto" w:fill="FFFFFF"/>
        </w:rPr>
        <w:fldChar w:fldCharType="begin"/>
      </w:r>
      <w:r w:rsidRPr="0051381D">
        <w:rPr>
          <w:rFonts w:cs="Times New Roman"/>
          <w:b/>
          <w:bCs/>
          <w:shd w:val="clear" w:color="auto" w:fill="FFFFFF"/>
        </w:rPr>
        <w:instrText xml:space="preserve"> SEQ MTSec \r 1 \h \* MERGEFORMAT </w:instrText>
      </w:r>
      <w:r w:rsidRPr="0051381D">
        <w:rPr>
          <w:rFonts w:cs="Times New Roman"/>
          <w:b/>
          <w:bCs/>
          <w:shd w:val="clear" w:color="auto" w:fill="FFFFFF"/>
        </w:rPr>
        <w:fldChar w:fldCharType="end"/>
      </w:r>
      <w:r w:rsidRPr="0051381D">
        <w:rPr>
          <w:rFonts w:cs="Times New Roman"/>
          <w:b/>
          <w:bCs/>
          <w:shd w:val="clear" w:color="auto" w:fill="FFFFFF"/>
        </w:rPr>
        <w:fldChar w:fldCharType="begin"/>
      </w:r>
      <w:r w:rsidRPr="0051381D">
        <w:rPr>
          <w:rFonts w:cs="Times New Roman"/>
          <w:b/>
          <w:bCs/>
          <w:shd w:val="clear" w:color="auto" w:fill="FFFFFF"/>
        </w:rPr>
        <w:instrText xml:space="preserve"> SEQ MTChap \r 1 \h \* MERGEFORMAT </w:instrText>
      </w:r>
      <w:r w:rsidRPr="0051381D">
        <w:rPr>
          <w:rFonts w:cs="Times New Roman"/>
          <w:b/>
          <w:bCs/>
          <w:shd w:val="clear" w:color="auto" w:fill="FFFFFF"/>
        </w:rPr>
        <w:fldChar w:fldCharType="end"/>
      </w:r>
      <w:r w:rsidRPr="0051381D">
        <w:rPr>
          <w:rFonts w:cs="Times New Roman"/>
          <w:b/>
          <w:bCs/>
          <w:shd w:val="clear" w:color="auto" w:fill="FFFFFF"/>
        </w:rPr>
        <w:fldChar w:fldCharType="end"/>
      </w:r>
      <w:r>
        <w:rPr>
          <w:rFonts w:cs="Times New Roman"/>
        </w:rPr>
        <w:t>Saeed Hadad</w:t>
      </w:r>
      <w:r w:rsidRPr="0051381D">
        <w:rPr>
          <w:rFonts w:cs="Times New Roman"/>
          <w:vertAlign w:val="superscript"/>
        </w:rPr>
        <w:t>1</w:t>
      </w:r>
      <w:proofErr w:type="gramStart"/>
      <w:r w:rsidRPr="0051381D">
        <w:rPr>
          <w:rFonts w:cs="Times New Roman"/>
          <w:vertAlign w:val="superscript"/>
        </w:rPr>
        <w:t>,2</w:t>
      </w:r>
      <w:proofErr w:type="gramEnd"/>
      <w:r w:rsidRPr="0051381D">
        <w:rPr>
          <w:rFonts w:cs="Times New Roman"/>
        </w:rPr>
        <w:t xml:space="preserve">, </w:t>
      </w:r>
      <w:proofErr w:type="spellStart"/>
      <w:r>
        <w:rPr>
          <w:rFonts w:cs="Times New Roman"/>
        </w:rPr>
        <w:t>Mahtab</w:t>
      </w:r>
      <w:proofErr w:type="spellEnd"/>
      <w:r>
        <w:rPr>
          <w:rFonts w:cs="Times New Roman"/>
        </w:rPr>
        <w:t xml:space="preserve"> Hamrahjoo</w:t>
      </w:r>
      <w:r w:rsidRPr="0051381D">
        <w:rPr>
          <w:rFonts w:cs="Times New Roman"/>
          <w:vertAlign w:val="superscript"/>
        </w:rPr>
        <w:t>1,2</w:t>
      </w:r>
      <w:r w:rsidRPr="0051381D">
        <w:rPr>
          <w:rFonts w:cs="Times New Roman"/>
        </w:rPr>
        <w:t xml:space="preserve">, </w:t>
      </w:r>
      <w:r>
        <w:rPr>
          <w:rFonts w:cs="Times New Roman"/>
        </w:rPr>
        <w:t>Elham Dehghani</w:t>
      </w:r>
      <w:r w:rsidRPr="0051381D">
        <w:rPr>
          <w:rFonts w:cs="Times New Roman"/>
          <w:vertAlign w:val="superscript"/>
        </w:rPr>
        <w:t>1,2</w:t>
      </w:r>
      <w:r w:rsidRPr="0051381D">
        <w:rPr>
          <w:rFonts w:cs="Times New Roman"/>
        </w:rPr>
        <w:t>, Mehdi Salami-Kalajahi</w:t>
      </w:r>
      <w:r w:rsidRPr="0051381D">
        <w:rPr>
          <w:rFonts w:cs="Times New Roman"/>
          <w:vertAlign w:val="superscript"/>
        </w:rPr>
        <w:t>1,2,</w:t>
      </w:r>
      <w:r w:rsidRPr="0051381D">
        <w:rPr>
          <w:rFonts w:cs="Times New Roman"/>
        </w:rPr>
        <w:t xml:space="preserve">*, </w:t>
      </w:r>
      <w:r w:rsidRPr="00B22C18">
        <w:rPr>
          <w:rFonts w:cs="Times New Roman"/>
        </w:rPr>
        <w:t>Svetlana N. Eliseeva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 xml:space="preserve">, </w:t>
      </w:r>
      <w:r w:rsidRPr="0051381D">
        <w:rPr>
          <w:rFonts w:cs="Times New Roman"/>
        </w:rPr>
        <w:t>Hossein Roghani-Mamaqani</w:t>
      </w:r>
      <w:r>
        <w:rPr>
          <w:rFonts w:cs="Times New Roman"/>
          <w:vertAlign w:val="superscript"/>
        </w:rPr>
        <w:t>1,2</w:t>
      </w:r>
    </w:p>
    <w:p w:rsidR="00874FA2" w:rsidRPr="0051381D" w:rsidRDefault="00874FA2" w:rsidP="00874FA2">
      <w:pPr>
        <w:spacing w:after="0"/>
        <w:jc w:val="both"/>
        <w:rPr>
          <w:rFonts w:cs="Times New Roman"/>
          <w:vertAlign w:val="superscript"/>
        </w:rPr>
      </w:pPr>
    </w:p>
    <w:p w:rsidR="00874FA2" w:rsidRPr="0051381D" w:rsidRDefault="00874FA2" w:rsidP="00874FA2">
      <w:pPr>
        <w:jc w:val="center"/>
        <w:rPr>
          <w:rFonts w:cs="Times New Roman"/>
        </w:rPr>
      </w:pPr>
      <w:r w:rsidRPr="0051381D">
        <w:rPr>
          <w:rFonts w:cs="Times New Roman"/>
          <w:vertAlign w:val="superscript"/>
        </w:rPr>
        <w:t>1</w:t>
      </w:r>
      <w:r w:rsidRPr="0051381D">
        <w:rPr>
          <w:rFonts w:cs="Times New Roman"/>
        </w:rPr>
        <w:t xml:space="preserve"> Faculty of Polymer Engineering, Sahand University of Technology, P.O. Box 51335-1996, Tabriz, Iran</w:t>
      </w:r>
    </w:p>
    <w:p w:rsidR="00874FA2" w:rsidRDefault="00874FA2" w:rsidP="00874FA2">
      <w:pPr>
        <w:jc w:val="center"/>
        <w:rPr>
          <w:rFonts w:cs="Times New Roman"/>
        </w:rPr>
      </w:pPr>
      <w:r w:rsidRPr="0051381D">
        <w:rPr>
          <w:rFonts w:cs="Times New Roman"/>
          <w:vertAlign w:val="superscript"/>
        </w:rPr>
        <w:t>2</w:t>
      </w:r>
      <w:r w:rsidRPr="0051381D">
        <w:rPr>
          <w:rFonts w:cs="Times New Roman"/>
        </w:rPr>
        <w:t xml:space="preserve"> Institute of Polymeric Materials, Sahand University of Technology, P.O. Box 51335-1996, Tabriz, Iran</w:t>
      </w:r>
    </w:p>
    <w:p w:rsidR="00874FA2" w:rsidRPr="0051381D" w:rsidRDefault="00874FA2" w:rsidP="00874FA2">
      <w:pPr>
        <w:jc w:val="center"/>
        <w:rPr>
          <w:rFonts w:cs="Times New Roman"/>
        </w:rPr>
      </w:pPr>
      <w:r>
        <w:rPr>
          <w:rFonts w:cs="Times New Roman"/>
          <w:vertAlign w:val="superscript"/>
        </w:rPr>
        <w:t>3</w:t>
      </w:r>
      <w:r w:rsidRPr="00C21DA4">
        <w:rPr>
          <w:rFonts w:cs="Times New Roman"/>
        </w:rPr>
        <w:t xml:space="preserve">Institute of Chemistry, St. Petersburg State University, Russia, 199034, St. Petersburg, </w:t>
      </w:r>
      <w:proofErr w:type="spellStart"/>
      <w:r w:rsidRPr="00C21DA4">
        <w:rPr>
          <w:rFonts w:cs="Times New Roman"/>
        </w:rPr>
        <w:t>Universitetskaya</w:t>
      </w:r>
      <w:proofErr w:type="spellEnd"/>
      <w:r w:rsidRPr="00C21DA4">
        <w:rPr>
          <w:rFonts w:cs="Times New Roman"/>
        </w:rPr>
        <w:t xml:space="preserve"> </w:t>
      </w:r>
      <w:proofErr w:type="spellStart"/>
      <w:r w:rsidRPr="00C21DA4">
        <w:rPr>
          <w:rFonts w:cs="Times New Roman"/>
        </w:rPr>
        <w:t>emb</w:t>
      </w:r>
      <w:proofErr w:type="spellEnd"/>
      <w:r w:rsidRPr="00C21DA4">
        <w:rPr>
          <w:rFonts w:cs="Times New Roman"/>
        </w:rPr>
        <w:t>., 7/9</w:t>
      </w:r>
    </w:p>
    <w:p w:rsidR="00874FA2" w:rsidRPr="0051381D" w:rsidRDefault="00874FA2" w:rsidP="00874FA2">
      <w:pPr>
        <w:jc w:val="center"/>
        <w:rPr>
          <w:rFonts w:cs="Times New Roman"/>
        </w:rPr>
      </w:pPr>
      <w:r w:rsidRPr="0051381D">
        <w:rPr>
          <w:rFonts w:cs="Times New Roman"/>
        </w:rPr>
        <w:t>* Correspondence concerning this article should be addressed to</w:t>
      </w:r>
    </w:p>
    <w:p w:rsidR="00874FA2" w:rsidRPr="0051381D" w:rsidRDefault="00874FA2" w:rsidP="00874FA2">
      <w:pPr>
        <w:spacing w:after="0"/>
        <w:jc w:val="center"/>
        <w:rPr>
          <w:rFonts w:cs="Times New Roman"/>
        </w:rPr>
      </w:pPr>
      <w:r w:rsidRPr="0051381D">
        <w:rPr>
          <w:rFonts w:cs="Times New Roman"/>
        </w:rPr>
        <w:t>Mehdi Salami-Kalajahi: Email: m.salami@sut.ac.ir, Tel</w:t>
      </w:r>
      <w:proofErr w:type="gramStart"/>
      <w:r w:rsidRPr="0051381D">
        <w:rPr>
          <w:rFonts w:cs="Times New Roman"/>
        </w:rPr>
        <w:t>./</w:t>
      </w:r>
      <w:proofErr w:type="gramEnd"/>
      <w:r w:rsidRPr="0051381D">
        <w:rPr>
          <w:rFonts w:cs="Times New Roman"/>
        </w:rPr>
        <w:t>Fax: +98 41 33459097</w:t>
      </w:r>
    </w:p>
    <w:p w:rsidR="00874FA2" w:rsidRDefault="00874FA2" w:rsidP="00874FA2">
      <w:pPr>
        <w:spacing w:after="0"/>
        <w:jc w:val="center"/>
        <w:rPr>
          <w:rFonts w:asciiTheme="majorBidi" w:hAnsiTheme="majorBidi" w:cstheme="majorBidi"/>
          <w:lang w:bidi="fa-IR"/>
        </w:rPr>
      </w:pPr>
    </w:p>
    <w:p w:rsidR="00874FA2" w:rsidRDefault="00874FA2" w:rsidP="00874FA2">
      <w:pPr>
        <w:spacing w:line="259" w:lineRule="auto"/>
        <w:rPr>
          <w:rFonts w:asciiTheme="majorBidi" w:eastAsiaTheme="majorEastAsia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lang w:bidi="fa-IR"/>
        </w:rPr>
        <w:br w:type="page"/>
      </w:r>
    </w:p>
    <w:p w:rsidR="004917EE" w:rsidRPr="00187DCD" w:rsidRDefault="00874FA2" w:rsidP="004917EE">
      <w:pPr>
        <w:pStyle w:val="Heading2"/>
        <w:spacing w:befor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</w:t>
      </w:r>
      <w:r w:rsidR="004917EE" w:rsidRPr="00187DCD">
        <w:rPr>
          <w:rFonts w:ascii="Times New Roman" w:hAnsi="Times New Roman"/>
        </w:rPr>
        <w:t>1. Materials</w:t>
      </w:r>
    </w:p>
    <w:p w:rsidR="004917EE" w:rsidRPr="00187DCD" w:rsidRDefault="004917EE" w:rsidP="00A66A52">
      <w:pPr>
        <w:spacing w:after="0"/>
        <w:jc w:val="both"/>
        <w:rPr>
          <w:rFonts w:cstheme="majorBidi"/>
          <w:color w:val="000000" w:themeColor="text1"/>
          <w:szCs w:val="26"/>
          <w:lang w:bidi="fa-IR"/>
        </w:rPr>
      </w:pPr>
      <w:proofErr w:type="gramStart"/>
      <w:r w:rsidRPr="00187DCD">
        <w:rPr>
          <w:rFonts w:cstheme="majorBidi"/>
          <w:lang w:bidi="fa-IR"/>
        </w:rPr>
        <w:t>Poly(</w:t>
      </w:r>
      <w:proofErr w:type="gramEnd"/>
      <w:r w:rsidRPr="00187DCD">
        <w:rPr>
          <w:rFonts w:cstheme="majorBidi"/>
          <w:lang w:bidi="fa-IR"/>
        </w:rPr>
        <w:t>ethylene glycol)</w:t>
      </w:r>
      <w:r w:rsidR="00A14814">
        <w:rPr>
          <w:rFonts w:cstheme="majorBidi"/>
          <w:lang w:bidi="fa-IR"/>
        </w:rPr>
        <w:t xml:space="preserve"> </w:t>
      </w:r>
      <w:r w:rsidRPr="00187DCD">
        <w:rPr>
          <w:rFonts w:cstheme="majorBidi"/>
          <w:lang w:bidi="fa-IR"/>
        </w:rPr>
        <w:t>methyl ether methacrylate (PEGMA, average M</w:t>
      </w:r>
      <w:r w:rsidRPr="00A14814">
        <w:rPr>
          <w:rFonts w:cstheme="majorBidi"/>
          <w:vertAlign w:val="subscript"/>
          <w:lang w:bidi="fa-IR"/>
        </w:rPr>
        <w:t>n</w:t>
      </w:r>
      <w:r w:rsidRPr="00187DCD">
        <w:rPr>
          <w:rFonts w:cstheme="majorBidi"/>
          <w:lang w:bidi="fa-IR"/>
        </w:rPr>
        <w:t xml:space="preserve"> </w:t>
      </w:r>
      <w:r w:rsidR="00A14814">
        <w:rPr>
          <w:rFonts w:cstheme="majorBidi"/>
          <w:lang w:bidi="fa-IR"/>
        </w:rPr>
        <w:t xml:space="preserve">of </w:t>
      </w:r>
      <w:r w:rsidRPr="00187DCD">
        <w:rPr>
          <w:rFonts w:cstheme="majorBidi"/>
          <w:lang w:bidi="fa-IR"/>
        </w:rPr>
        <w:t>500</w:t>
      </w:r>
      <w:r w:rsidRPr="00187DCD">
        <w:rPr>
          <w:rFonts w:cstheme="majorBidi"/>
          <w:rtl/>
          <w:lang w:bidi="fa-IR"/>
        </w:rPr>
        <w:t xml:space="preserve"> </w:t>
      </w:r>
      <w:r w:rsidRPr="00187DCD">
        <w:rPr>
          <w:rFonts w:cstheme="majorBidi"/>
          <w:lang w:bidi="fa-IR"/>
        </w:rPr>
        <w:t>g mol</w:t>
      </w:r>
      <w:r w:rsidRPr="00187DCD">
        <w:rPr>
          <w:rFonts w:cstheme="majorBidi"/>
          <w:vertAlign w:val="superscript"/>
          <w:lang w:bidi="fa-IR"/>
        </w:rPr>
        <w:t>-1</w:t>
      </w:r>
      <w:r w:rsidRPr="00187DCD">
        <w:rPr>
          <w:rFonts w:cstheme="majorBidi"/>
          <w:lang w:bidi="fa-IR"/>
        </w:rPr>
        <w:t xml:space="preserve">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) was passed through alumina column in order to eliminate polymerization inhibitors. </w:t>
      </w:r>
      <w:r w:rsidRPr="00187DCD">
        <w:rPr>
          <w:szCs w:val="26"/>
        </w:rPr>
        <w:t xml:space="preserve">Cotton gin waste </w:t>
      </w:r>
      <w:r w:rsidRPr="00187DCD">
        <w:rPr>
          <w:szCs w:val="26"/>
          <w:lang w:bidi="fa-IR"/>
        </w:rPr>
        <w:t>(Cotton ginning factory in southern Iran, Shiraz-</w:t>
      </w:r>
      <w:r w:rsidRPr="00187DCD">
        <w:rPr>
          <w:szCs w:val="26"/>
        </w:rPr>
        <w:t>Cotton growing area</w:t>
      </w:r>
      <w:r w:rsidRPr="00187DCD">
        <w:rPr>
          <w:szCs w:val="26"/>
          <w:lang w:bidi="fa-IR"/>
        </w:rPr>
        <w:t>)</w:t>
      </w:r>
      <w:r w:rsidRPr="00187DCD">
        <w:rPr>
          <w:szCs w:val="26"/>
        </w:rPr>
        <w:t xml:space="preserve">, and </w:t>
      </w:r>
      <w:r w:rsidR="00A14814">
        <w:t>s</w:t>
      </w:r>
      <w:r w:rsidRPr="00187DCD">
        <w:t>tarch (Merck) were dried at 50</w:t>
      </w:r>
      <w:r w:rsidR="00A14814">
        <w:rPr>
          <w:rFonts w:cs="Times New Roman"/>
        </w:rPr>
        <w:t xml:space="preserve"> </w:t>
      </w:r>
      <w:r w:rsidRPr="00187DCD">
        <w:rPr>
          <w:rFonts w:cs="Times New Roman"/>
        </w:rPr>
        <w:t>℃</w:t>
      </w:r>
      <w:r w:rsidRPr="00187DCD">
        <w:t xml:space="preserve"> for 24 h before processing. Poly</w:t>
      </w:r>
      <w:r w:rsidR="00A14814">
        <w:t>(</w:t>
      </w:r>
      <w:r w:rsidRPr="00187DCD">
        <w:t>ethylene glycol</w:t>
      </w:r>
      <w:r w:rsidR="00A14814">
        <w:t>)</w:t>
      </w:r>
      <w:r w:rsidRPr="00187DCD">
        <w:t xml:space="preserve"> (PEG, </w:t>
      </w:r>
      <w:r w:rsidRPr="00187DCD">
        <w:rPr>
          <w:rFonts w:cstheme="majorBidi"/>
          <w:lang w:bidi="fa-IR"/>
        </w:rPr>
        <w:t>M</w:t>
      </w:r>
      <w:r w:rsidRPr="00A14814">
        <w:rPr>
          <w:rFonts w:cstheme="majorBidi"/>
          <w:vertAlign w:val="subscript"/>
          <w:lang w:bidi="fa-IR"/>
        </w:rPr>
        <w:t>n</w:t>
      </w:r>
      <w:r w:rsidRPr="00187DCD">
        <w:rPr>
          <w:rFonts w:cstheme="majorBidi"/>
          <w:lang w:bidi="fa-IR"/>
        </w:rPr>
        <w:t xml:space="preserve"> = 600</w:t>
      </w:r>
      <w:r w:rsidRPr="00187DCD">
        <w:rPr>
          <w:rFonts w:cstheme="majorBidi"/>
          <w:rtl/>
          <w:lang w:bidi="fa-IR"/>
        </w:rPr>
        <w:t xml:space="preserve"> </w:t>
      </w:r>
      <w:r w:rsidRPr="00187DCD">
        <w:rPr>
          <w:rFonts w:cstheme="majorBidi"/>
          <w:lang w:bidi="fa-IR"/>
        </w:rPr>
        <w:t>g mol</w:t>
      </w:r>
      <w:r w:rsidRPr="00187DCD">
        <w:rPr>
          <w:rFonts w:cstheme="majorBidi"/>
          <w:vertAlign w:val="superscript"/>
          <w:lang w:bidi="fa-IR"/>
        </w:rPr>
        <w:t>-1</w:t>
      </w:r>
      <w:r w:rsidRPr="00187DCD">
        <w:rPr>
          <w:rFonts w:cstheme="majorBidi"/>
          <w:lang w:bidi="fa-IR"/>
        </w:rPr>
        <w:t>, Merck),</w:t>
      </w:r>
      <w:r w:rsidRPr="00187DCD">
        <w:rPr>
          <w:rFonts w:cstheme="majorBidi"/>
          <w:color w:val="000000" w:themeColor="text1"/>
          <w:lang w:bidi="fa-IR"/>
        </w:rPr>
        <w:t xml:space="preserve"> </w:t>
      </w:r>
      <w:r w:rsidR="00A14814">
        <w:rPr>
          <w:rFonts w:cstheme="majorBidi"/>
          <w:color w:val="000000" w:themeColor="text1"/>
          <w:lang w:bidi="fa-IR"/>
        </w:rPr>
        <w:t>t</w:t>
      </w:r>
      <w:r w:rsidRPr="00187DCD">
        <w:rPr>
          <w:rFonts w:cstheme="majorBidi"/>
          <w:color w:val="000000" w:themeColor="text1"/>
          <w:lang w:bidi="fa-IR"/>
        </w:rPr>
        <w:t xml:space="preserve">etrahydrofuran (THF,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, 99.9%), </w:t>
      </w:r>
      <w:r w:rsidR="00A14814">
        <w:rPr>
          <w:rFonts w:cstheme="majorBidi"/>
          <w:color w:val="000000" w:themeColor="text1"/>
          <w:lang w:bidi="fa-IR"/>
        </w:rPr>
        <w:t>a</w:t>
      </w:r>
      <w:r w:rsidRPr="00187DCD">
        <w:rPr>
          <w:rFonts w:cstheme="majorBidi"/>
          <w:color w:val="000000" w:themeColor="text1"/>
          <w:lang w:bidi="fa-IR"/>
        </w:rPr>
        <w:t>llyl bromide (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>, 99%),</w:t>
      </w:r>
      <w:r w:rsidRPr="00187DCD">
        <w:t xml:space="preserve"> </w:t>
      </w:r>
      <w:r w:rsidR="00A14814">
        <w:rPr>
          <w:szCs w:val="26"/>
        </w:rPr>
        <w:t>e</w:t>
      </w:r>
      <w:r w:rsidRPr="00187DCD">
        <w:rPr>
          <w:szCs w:val="26"/>
        </w:rPr>
        <w:t xml:space="preserve">thanol (Merck, 99.8%), </w:t>
      </w:r>
      <w:r w:rsidR="00A14814">
        <w:rPr>
          <w:szCs w:val="26"/>
        </w:rPr>
        <w:t>m</w:t>
      </w:r>
      <w:r w:rsidRPr="00187DCD">
        <w:rPr>
          <w:szCs w:val="26"/>
        </w:rPr>
        <w:t>ethanol (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, 99.8%), </w:t>
      </w:r>
      <w:r w:rsidR="00A14814">
        <w:rPr>
          <w:szCs w:val="26"/>
        </w:rPr>
        <w:t>s</w:t>
      </w:r>
      <w:r w:rsidRPr="00A14814">
        <w:rPr>
          <w:szCs w:val="26"/>
        </w:rPr>
        <w:t>ulfuric acid (H</w:t>
      </w:r>
      <w:r w:rsidRPr="00A14814">
        <w:rPr>
          <w:szCs w:val="26"/>
          <w:vertAlign w:val="subscript"/>
        </w:rPr>
        <w:t>2</w:t>
      </w:r>
      <w:r w:rsidRPr="00A14814">
        <w:rPr>
          <w:szCs w:val="26"/>
        </w:rPr>
        <w:t>SO</w:t>
      </w:r>
      <w:r w:rsidRPr="00A14814">
        <w:rPr>
          <w:szCs w:val="26"/>
          <w:vertAlign w:val="subscript"/>
        </w:rPr>
        <w:t>4</w:t>
      </w:r>
      <w:r w:rsidRPr="00A14814">
        <w:rPr>
          <w:szCs w:val="26"/>
        </w:rPr>
        <w:t xml:space="preserve">, Merck, 98%), </w:t>
      </w:r>
      <w:r w:rsidR="00A14814">
        <w:rPr>
          <w:szCs w:val="26"/>
        </w:rPr>
        <w:t>s</w:t>
      </w:r>
      <w:r w:rsidRPr="00187DCD">
        <w:rPr>
          <w:szCs w:val="26"/>
        </w:rPr>
        <w:t xml:space="preserve">odium hydroxide (NaOH, 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, 98%), </w:t>
      </w:r>
      <w:r w:rsidR="00A14814">
        <w:rPr>
          <w:szCs w:val="26"/>
        </w:rPr>
        <w:t>h</w:t>
      </w:r>
      <w:r w:rsidRPr="00187DCD">
        <w:rPr>
          <w:szCs w:val="26"/>
        </w:rPr>
        <w:t>ydrogen peroxide (H</w:t>
      </w:r>
      <w:r w:rsidRPr="00187DCD">
        <w:rPr>
          <w:szCs w:val="26"/>
          <w:vertAlign w:val="subscript"/>
        </w:rPr>
        <w:t>2</w:t>
      </w:r>
      <w:r w:rsidRPr="00187DCD">
        <w:rPr>
          <w:szCs w:val="26"/>
        </w:rPr>
        <w:t>O</w:t>
      </w:r>
      <w:r w:rsidRPr="00187DCD">
        <w:rPr>
          <w:szCs w:val="26"/>
          <w:vertAlign w:val="subscript"/>
        </w:rPr>
        <w:t>2</w:t>
      </w:r>
      <w:r w:rsidRPr="00187DCD">
        <w:rPr>
          <w:szCs w:val="26"/>
        </w:rPr>
        <w:t xml:space="preserve">, </w:t>
      </w:r>
      <w:r w:rsidR="00A14814">
        <w:rPr>
          <w:szCs w:val="26"/>
        </w:rPr>
        <w:t>Sigma-Aldrich</w:t>
      </w:r>
      <w:r w:rsidRPr="00187DCD">
        <w:rPr>
          <w:szCs w:val="26"/>
        </w:rPr>
        <w:t>, 35%), glacial acetic acid (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, 99%), </w:t>
      </w:r>
      <w:r w:rsidR="00A14814">
        <w:rPr>
          <w:szCs w:val="26"/>
        </w:rPr>
        <w:t>h</w:t>
      </w:r>
      <w:r w:rsidRPr="00187DCD">
        <w:rPr>
          <w:szCs w:val="26"/>
        </w:rPr>
        <w:t>ydrochloric acid (HC</w:t>
      </w:r>
      <w:r w:rsidR="00A14814">
        <w:rPr>
          <w:szCs w:val="26"/>
        </w:rPr>
        <w:t>l</w:t>
      </w:r>
      <w:r w:rsidRPr="00187DCD">
        <w:rPr>
          <w:szCs w:val="26"/>
        </w:rPr>
        <w:t xml:space="preserve">, 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, 37%), </w:t>
      </w:r>
      <w:r w:rsidR="00A14814">
        <w:rPr>
          <w:szCs w:val="26"/>
        </w:rPr>
        <w:t>n</w:t>
      </w:r>
      <w:r w:rsidRPr="00187DCD">
        <w:rPr>
          <w:szCs w:val="26"/>
        </w:rPr>
        <w:t>itric acid (</w:t>
      </w:r>
      <w:r w:rsidR="00A14814">
        <w:rPr>
          <w:szCs w:val="26"/>
        </w:rPr>
        <w:t>Sigma-Aldrich, 65%), m</w:t>
      </w:r>
      <w:r w:rsidRPr="00187DCD">
        <w:rPr>
          <w:szCs w:val="26"/>
        </w:rPr>
        <w:t xml:space="preserve">onochloroacetic acid (MCA, 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 , 99%), </w:t>
      </w:r>
      <w:r w:rsidR="00A14814">
        <w:rPr>
          <w:szCs w:val="26"/>
        </w:rPr>
        <w:t>i</w:t>
      </w:r>
      <w:r w:rsidRPr="00187DCD">
        <w:rPr>
          <w:szCs w:val="26"/>
        </w:rPr>
        <w:t>sopropyl alcohol (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, 99.8%), </w:t>
      </w:r>
      <w:r w:rsidR="00A14814">
        <w:rPr>
          <w:szCs w:val="26"/>
        </w:rPr>
        <w:t>p</w:t>
      </w:r>
      <w:r w:rsidRPr="00187DCD">
        <w:rPr>
          <w:szCs w:val="26"/>
        </w:rPr>
        <w:t>eriodic acid (</w:t>
      </w:r>
      <w:r w:rsidR="00A14814">
        <w:rPr>
          <w:szCs w:val="26"/>
        </w:rPr>
        <w:t>Sigma-Aldrich</w:t>
      </w:r>
      <w:r w:rsidRPr="00187DCD">
        <w:rPr>
          <w:szCs w:val="26"/>
        </w:rPr>
        <w:t>, 99%), sodium bicarbonate (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, 99.5%), </w:t>
      </w:r>
      <w:r w:rsidR="00A14814">
        <w:rPr>
          <w:szCs w:val="26"/>
        </w:rPr>
        <w:t>s</w:t>
      </w:r>
      <w:r w:rsidRPr="00187DCD">
        <w:rPr>
          <w:szCs w:val="26"/>
        </w:rPr>
        <w:t>odium thiosulfate (Merck, 99.99%),</w:t>
      </w:r>
      <w:r w:rsidRPr="00187DCD">
        <w:t xml:space="preserve"> sodium monochloroacetate (SMCA, Merck, 97%), </w:t>
      </w:r>
      <w:r w:rsidR="00A66A52">
        <w:t>a</w:t>
      </w:r>
      <w:r w:rsidR="00A66A52" w:rsidRPr="00A66A52">
        <w:t>llyl bromide (Sigma</w:t>
      </w:r>
      <w:r w:rsidR="00A66A52">
        <w:t>-</w:t>
      </w:r>
      <w:r w:rsidR="00A66A52" w:rsidRPr="00A66A52">
        <w:t>Aldrich, 99%)</w:t>
      </w:r>
      <w:r w:rsidR="00A66A52">
        <w:t xml:space="preserve">, </w:t>
      </w:r>
      <w:bookmarkStart w:id="0" w:name="_GoBack"/>
      <w:bookmarkEnd w:id="0"/>
      <w:r w:rsidR="00A14814">
        <w:t>a</w:t>
      </w:r>
      <w:r w:rsidRPr="00187DCD">
        <w:t xml:space="preserve">cetone (Merck, 99.9%), </w:t>
      </w:r>
      <w:r w:rsidRPr="00A14814">
        <w:rPr>
          <w:i/>
          <w:iCs/>
        </w:rPr>
        <w:t>t</w:t>
      </w:r>
      <w:r w:rsidRPr="00187DCD">
        <w:t>-</w:t>
      </w:r>
      <w:proofErr w:type="spellStart"/>
      <w:r w:rsidRPr="00187DCD">
        <w:t>butanol</w:t>
      </w:r>
      <w:proofErr w:type="spellEnd"/>
      <w:r w:rsidRPr="00187DCD">
        <w:t xml:space="preserve"> (Merck, 99.5%), </w:t>
      </w:r>
      <w:r w:rsidR="00A14814">
        <w:t>p</w:t>
      </w:r>
      <w:r w:rsidRPr="00187DCD">
        <w:t xml:space="preserve">otassium persulfate </w:t>
      </w:r>
      <w:r w:rsidRPr="00187DCD">
        <w:rPr>
          <w:szCs w:val="26"/>
        </w:rPr>
        <w:t xml:space="preserve">(KPS, </w:t>
      </w:r>
      <w:r w:rsidR="00A14814">
        <w:rPr>
          <w:szCs w:val="26"/>
        </w:rPr>
        <w:t>Sigma-Aldrich</w:t>
      </w:r>
      <w:r w:rsidRPr="00187DCD">
        <w:rPr>
          <w:szCs w:val="26"/>
        </w:rPr>
        <w:t xml:space="preserve">, 99.9%), </w:t>
      </w:r>
      <w:r w:rsidR="00A14814">
        <w:rPr>
          <w:rFonts w:cstheme="majorBidi"/>
          <w:color w:val="000000" w:themeColor="text1"/>
          <w:lang w:bidi="fa-IR"/>
        </w:rPr>
        <w:t>l</w:t>
      </w:r>
      <w:r w:rsidRPr="00187DCD">
        <w:rPr>
          <w:rFonts w:cstheme="majorBidi"/>
          <w:color w:val="000000" w:themeColor="text1"/>
          <w:lang w:bidi="fa-IR"/>
        </w:rPr>
        <w:t>ithium hexafluorophosphate (LiPF</w:t>
      </w:r>
      <w:r w:rsidRPr="00187DCD">
        <w:rPr>
          <w:rFonts w:cstheme="majorBidi"/>
          <w:color w:val="000000" w:themeColor="text1"/>
          <w:vertAlign w:val="subscript"/>
          <w:lang w:bidi="fa-IR"/>
        </w:rPr>
        <w:t>6</w:t>
      </w:r>
      <w:r w:rsidRPr="00187DCD">
        <w:rPr>
          <w:rFonts w:cstheme="majorBidi"/>
          <w:color w:val="000000" w:themeColor="text1"/>
          <w:lang w:bidi="fa-IR"/>
        </w:rPr>
        <w:t xml:space="preserve">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, 99.99%), </w:t>
      </w:r>
      <w:r w:rsidR="00A14814">
        <w:rPr>
          <w:rFonts w:cstheme="majorBidi"/>
          <w:color w:val="000000" w:themeColor="text1"/>
          <w:lang w:bidi="fa-IR"/>
        </w:rPr>
        <w:t>d</w:t>
      </w:r>
      <w:r w:rsidRPr="00187DCD">
        <w:rPr>
          <w:rFonts w:cstheme="majorBidi"/>
          <w:color w:val="000000" w:themeColor="text1"/>
          <w:lang w:bidi="fa-IR"/>
        </w:rPr>
        <w:t xml:space="preserve">iethyl carbonate (DEC,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, 99%), </w:t>
      </w:r>
      <w:r w:rsidR="00A14814">
        <w:rPr>
          <w:rFonts w:cstheme="majorBidi"/>
          <w:color w:val="000000" w:themeColor="text1"/>
          <w:lang w:bidi="fa-IR"/>
        </w:rPr>
        <w:t>d</w:t>
      </w:r>
      <w:r w:rsidRPr="00187DCD">
        <w:rPr>
          <w:rFonts w:cstheme="majorBidi"/>
          <w:color w:val="000000" w:themeColor="text1"/>
          <w:lang w:bidi="fa-IR"/>
        </w:rPr>
        <w:t xml:space="preserve">imethyl carbonate (DMC,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, 99%), </w:t>
      </w:r>
      <w:r w:rsidR="00A14814">
        <w:rPr>
          <w:rFonts w:cstheme="majorBidi"/>
          <w:color w:val="000000" w:themeColor="text1"/>
          <w:lang w:bidi="fa-IR"/>
        </w:rPr>
        <w:t>l</w:t>
      </w:r>
      <w:r w:rsidRPr="00187DCD">
        <w:rPr>
          <w:rFonts w:cstheme="majorBidi"/>
          <w:color w:val="000000" w:themeColor="text1"/>
          <w:lang w:bidi="fa-IR"/>
        </w:rPr>
        <w:t>ithium cobalt(III) oxide (LiCoO</w:t>
      </w:r>
      <w:r w:rsidRPr="00187DCD">
        <w:rPr>
          <w:rFonts w:cstheme="majorBidi"/>
          <w:color w:val="000000" w:themeColor="text1"/>
          <w:vertAlign w:val="subscript"/>
          <w:lang w:bidi="fa-IR"/>
        </w:rPr>
        <w:t xml:space="preserve">2,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, 99.8%), </w:t>
      </w:r>
      <w:r w:rsidR="00A14814">
        <w:rPr>
          <w:rFonts w:cstheme="majorBidi"/>
          <w:color w:val="000000" w:themeColor="text1"/>
          <w:lang w:bidi="fa-IR"/>
        </w:rPr>
        <w:t>p</w:t>
      </w:r>
      <w:r w:rsidRPr="00187DCD">
        <w:rPr>
          <w:rFonts w:cstheme="majorBidi"/>
          <w:color w:val="000000" w:themeColor="text1"/>
          <w:lang w:bidi="fa-IR"/>
        </w:rPr>
        <w:t>oly(</w:t>
      </w:r>
      <w:proofErr w:type="spellStart"/>
      <w:r w:rsidRPr="00187DCD">
        <w:rPr>
          <w:rFonts w:cstheme="majorBidi"/>
          <w:color w:val="000000" w:themeColor="text1"/>
          <w:lang w:bidi="fa-IR"/>
        </w:rPr>
        <w:t>vinylidene</w:t>
      </w:r>
      <w:proofErr w:type="spellEnd"/>
      <w:r w:rsidRPr="00187DCD">
        <w:rPr>
          <w:rFonts w:cstheme="majorBidi"/>
          <w:color w:val="000000" w:themeColor="text1"/>
          <w:lang w:bidi="fa-IR"/>
        </w:rPr>
        <w:t xml:space="preserve"> fluoride) (PVDF,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), </w:t>
      </w:r>
      <w:r w:rsidRPr="00A14814">
        <w:rPr>
          <w:rFonts w:cstheme="majorBidi"/>
          <w:i/>
          <w:iCs/>
          <w:color w:val="000000" w:themeColor="text1"/>
          <w:lang w:bidi="fa-IR"/>
        </w:rPr>
        <w:t>N</w:t>
      </w:r>
      <w:r w:rsidRPr="00187DCD">
        <w:rPr>
          <w:rFonts w:cstheme="majorBidi"/>
          <w:color w:val="000000" w:themeColor="text1"/>
          <w:lang w:bidi="fa-IR"/>
        </w:rPr>
        <w:t xml:space="preserve">-methyl pyrrolidone (NMP,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, 99.5%), </w:t>
      </w:r>
      <w:r w:rsidR="00A14814">
        <w:rPr>
          <w:rFonts w:cstheme="majorBidi"/>
          <w:color w:val="000000" w:themeColor="text1"/>
          <w:lang w:bidi="fa-IR"/>
        </w:rPr>
        <w:t>c</w:t>
      </w:r>
      <w:r w:rsidRPr="00187DCD">
        <w:rPr>
          <w:rFonts w:cstheme="majorBidi"/>
          <w:color w:val="000000" w:themeColor="text1"/>
          <w:lang w:bidi="fa-IR"/>
        </w:rPr>
        <w:t>arbon black</w:t>
      </w:r>
      <w:r w:rsidR="00A14814">
        <w:rPr>
          <w:rFonts w:cstheme="majorBidi"/>
          <w:color w:val="000000" w:themeColor="text1"/>
          <w:lang w:bidi="fa-IR"/>
        </w:rPr>
        <w:t xml:space="preserve"> </w:t>
      </w:r>
      <w:r w:rsidRPr="00187DCD">
        <w:rPr>
          <w:rFonts w:cstheme="majorBidi"/>
          <w:color w:val="000000" w:themeColor="text1"/>
          <w:lang w:bidi="fa-IR"/>
        </w:rPr>
        <w:t xml:space="preserve">(C, </w:t>
      </w:r>
      <w:r w:rsidR="00A14814">
        <w:rPr>
          <w:rFonts w:cstheme="majorBidi"/>
          <w:color w:val="000000" w:themeColor="text1"/>
          <w:lang w:bidi="fa-IR"/>
        </w:rPr>
        <w:t>Sigma-Aldrich</w:t>
      </w:r>
      <w:r w:rsidRPr="00187DCD">
        <w:rPr>
          <w:rFonts w:cstheme="majorBidi"/>
          <w:color w:val="000000" w:themeColor="text1"/>
          <w:lang w:bidi="fa-IR"/>
        </w:rPr>
        <w:t xml:space="preserve">, 99.95%), and </w:t>
      </w:r>
      <w:r w:rsidR="00A14814">
        <w:rPr>
          <w:rFonts w:cstheme="majorBidi"/>
          <w:color w:val="000000" w:themeColor="text1"/>
          <w:szCs w:val="26"/>
          <w:lang w:bidi="fa-IR"/>
        </w:rPr>
        <w:t>l</w:t>
      </w:r>
      <w:r w:rsidRPr="00187DCD">
        <w:rPr>
          <w:rFonts w:cstheme="majorBidi"/>
          <w:color w:val="000000" w:themeColor="text1"/>
          <w:szCs w:val="26"/>
          <w:lang w:bidi="fa-IR"/>
        </w:rPr>
        <w:t>ithium</w:t>
      </w:r>
      <w:r w:rsidR="00A14814">
        <w:rPr>
          <w:rFonts w:cstheme="majorBidi"/>
          <w:color w:val="000000" w:themeColor="text1"/>
          <w:szCs w:val="26"/>
          <w:lang w:bidi="fa-IR"/>
        </w:rPr>
        <w:t xml:space="preserve"> </w:t>
      </w:r>
      <w:r w:rsidRPr="00187DCD">
        <w:rPr>
          <w:rFonts w:cstheme="majorBidi"/>
          <w:color w:val="000000" w:themeColor="text1"/>
          <w:szCs w:val="26"/>
          <w:lang w:bidi="fa-IR"/>
        </w:rPr>
        <w:t>(</w:t>
      </w:r>
      <w:r w:rsidR="00A14814">
        <w:rPr>
          <w:rFonts w:cstheme="majorBidi"/>
          <w:color w:val="000000" w:themeColor="text1"/>
          <w:szCs w:val="26"/>
          <w:lang w:bidi="fa-IR"/>
        </w:rPr>
        <w:t>Sigma-Aldrich</w:t>
      </w:r>
      <w:r w:rsidRPr="00187DCD">
        <w:rPr>
          <w:rFonts w:cstheme="majorBidi"/>
          <w:color w:val="000000" w:themeColor="text1"/>
          <w:szCs w:val="26"/>
          <w:lang w:bidi="fa-IR"/>
        </w:rPr>
        <w:t>)</w:t>
      </w:r>
      <w:r w:rsidR="00A14814">
        <w:rPr>
          <w:rFonts w:cstheme="majorBidi"/>
          <w:color w:val="000000" w:themeColor="text1"/>
          <w:lang w:bidi="fa-IR"/>
        </w:rPr>
        <w:t xml:space="preserve"> </w:t>
      </w:r>
      <w:r w:rsidRPr="00187DCD">
        <w:rPr>
          <w:rFonts w:cstheme="majorBidi"/>
          <w:color w:val="000000" w:themeColor="text1"/>
          <w:lang w:bidi="fa-IR"/>
        </w:rPr>
        <w:t>were used as received.</w:t>
      </w:r>
    </w:p>
    <w:p w:rsidR="00366E22" w:rsidRDefault="00355312"/>
    <w:p w:rsidR="00F245AC" w:rsidRPr="00187DCD" w:rsidRDefault="00874FA2" w:rsidP="00F245AC">
      <w:pPr>
        <w:pStyle w:val="Heading2"/>
        <w:spacing w:before="0"/>
        <w:rPr>
          <w:rFonts w:ascii="Times New Roman" w:hAnsi="Times New Roman"/>
          <w:lang w:bidi="fa-IR"/>
        </w:rPr>
      </w:pPr>
      <w:r>
        <w:rPr>
          <w:rFonts w:ascii="Times New Roman" w:hAnsi="Times New Roman"/>
          <w:lang w:bidi="fa-IR"/>
        </w:rPr>
        <w:t>S2</w:t>
      </w:r>
      <w:r w:rsidR="00F245AC" w:rsidRPr="00187DCD">
        <w:rPr>
          <w:rFonts w:ascii="Times New Roman" w:hAnsi="Times New Roman"/>
          <w:lang w:bidi="fa-IR"/>
        </w:rPr>
        <w:t>. Characterization</w:t>
      </w:r>
    </w:p>
    <w:p w:rsidR="00F245AC" w:rsidRPr="00187DCD" w:rsidRDefault="00F245AC" w:rsidP="001F5188">
      <w:pPr>
        <w:spacing w:after="0"/>
        <w:jc w:val="both"/>
        <w:rPr>
          <w:lang w:bidi="fa-IR"/>
        </w:rPr>
      </w:pPr>
      <w:r w:rsidRPr="00187DCD">
        <w:rPr>
          <w:lang w:bidi="fa-IR"/>
        </w:rPr>
        <w:t xml:space="preserve">The structural information of synthesized polymers was further characterized </w:t>
      </w:r>
      <w:r w:rsidRPr="00187DCD">
        <w:rPr>
          <w:i/>
          <w:iCs/>
          <w:lang w:bidi="fa-IR"/>
        </w:rPr>
        <w:t>via</w:t>
      </w:r>
      <w:r w:rsidRPr="00187DCD">
        <w:rPr>
          <w:lang w:bidi="fa-IR"/>
        </w:rPr>
        <w:t xml:space="preserve"> Fourier transform infrared (FTIR, </w:t>
      </w:r>
      <w:r w:rsidRPr="00187DCD">
        <w:rPr>
          <w:rFonts w:eastAsia="AdvOT999035f4" w:cstheme="majorBidi"/>
          <w:color w:val="000000" w:themeColor="text1"/>
          <w:szCs w:val="26"/>
        </w:rPr>
        <w:t xml:space="preserve">a </w:t>
      </w:r>
      <w:proofErr w:type="spellStart"/>
      <w:r w:rsidRPr="00187DCD">
        <w:rPr>
          <w:rFonts w:eastAsia="AdvOT999035f4" w:cstheme="majorBidi"/>
          <w:color w:val="000000" w:themeColor="text1"/>
          <w:szCs w:val="26"/>
        </w:rPr>
        <w:t>Bruker</w:t>
      </w:r>
      <w:proofErr w:type="spellEnd"/>
      <w:r w:rsidRPr="00187DCD">
        <w:rPr>
          <w:rFonts w:eastAsia="AdvOT999035f4" w:cstheme="majorBidi"/>
          <w:color w:val="000000" w:themeColor="text1"/>
          <w:szCs w:val="26"/>
        </w:rPr>
        <w:t xml:space="preserve"> Tensor 27 FT- IR- spectrophotometer) between 500 and 4000 cm</w:t>
      </w:r>
      <w:r w:rsidRPr="00187DCD">
        <w:rPr>
          <w:rFonts w:eastAsia="AdvOT999035f4" w:cstheme="majorBidi"/>
          <w:color w:val="000000" w:themeColor="text1"/>
          <w:szCs w:val="26"/>
          <w:vertAlign w:val="superscript"/>
        </w:rPr>
        <w:t>−1</w:t>
      </w:r>
      <w:r w:rsidRPr="00187DCD">
        <w:rPr>
          <w:rFonts w:eastAsia="AdvOT999035f4" w:cstheme="majorBidi"/>
          <w:color w:val="000000" w:themeColor="text1"/>
          <w:szCs w:val="26"/>
        </w:rPr>
        <w:t xml:space="preserve"> with </w:t>
      </w:r>
      <w:r w:rsidRPr="00187DCD">
        <w:rPr>
          <w:rFonts w:eastAsia="AdvOT999035f4" w:cstheme="majorBidi"/>
          <w:color w:val="000000" w:themeColor="text1"/>
          <w:szCs w:val="26"/>
        </w:rPr>
        <w:lastRenderedPageBreak/>
        <w:t>a resolution of 4 cm</w:t>
      </w:r>
      <w:r w:rsidRPr="00187DCD">
        <w:rPr>
          <w:rFonts w:eastAsia="AdvOT999035f4" w:cstheme="majorBidi"/>
          <w:color w:val="000000" w:themeColor="text1"/>
          <w:szCs w:val="26"/>
          <w:vertAlign w:val="superscript"/>
        </w:rPr>
        <w:t>−1</w:t>
      </w:r>
      <w:r w:rsidRPr="00187DCD">
        <w:rPr>
          <w:rFonts w:eastAsia="AdvOT999035f4" w:cstheme="majorBidi"/>
          <w:color w:val="000000" w:themeColor="text1"/>
          <w:szCs w:val="26"/>
        </w:rPr>
        <w:t>. A thermal gravimetric analyzer (</w:t>
      </w:r>
      <w:r w:rsidRPr="00187DCD">
        <w:rPr>
          <w:szCs w:val="26"/>
        </w:rPr>
        <w:t xml:space="preserve">Polymer Laboratories, TGA 1000, </w:t>
      </w:r>
      <w:proofErr w:type="gramStart"/>
      <w:r w:rsidRPr="00187DCD">
        <w:rPr>
          <w:szCs w:val="26"/>
        </w:rPr>
        <w:t>UK</w:t>
      </w:r>
      <w:proofErr w:type="gramEnd"/>
      <w:r w:rsidRPr="00187DCD">
        <w:rPr>
          <w:szCs w:val="26"/>
        </w:rPr>
        <w:t>)</w:t>
      </w:r>
      <w:r w:rsidRPr="00187DCD">
        <w:rPr>
          <w:rFonts w:eastAsia="AdvOT999035f4" w:cstheme="majorBidi"/>
          <w:color w:val="000000" w:themeColor="text1"/>
          <w:szCs w:val="26"/>
        </w:rPr>
        <w:t xml:space="preserve"> was used to evaluate the thermal stability of the samples under nitrogen atmosphere </w:t>
      </w:r>
      <w:r w:rsidRPr="00187DCD">
        <w:rPr>
          <w:szCs w:val="26"/>
        </w:rPr>
        <w:t>at a flow rate of 50 mLmin</w:t>
      </w:r>
      <w:r w:rsidRPr="00187DCD">
        <w:rPr>
          <w:szCs w:val="26"/>
          <w:vertAlign w:val="superscript"/>
        </w:rPr>
        <w:t>-1</w:t>
      </w:r>
      <w:r w:rsidRPr="00187DCD">
        <w:rPr>
          <w:rFonts w:eastAsia="AdvOT999035f4" w:cstheme="majorBidi"/>
          <w:color w:val="000000" w:themeColor="text1"/>
          <w:szCs w:val="26"/>
        </w:rPr>
        <w:t>.</w:t>
      </w:r>
      <w:r w:rsidRPr="00187DCD">
        <w:rPr>
          <w:szCs w:val="26"/>
        </w:rPr>
        <w:t xml:space="preserve"> Samples (about </w:t>
      </w:r>
      <w:r>
        <w:rPr>
          <w:szCs w:val="26"/>
        </w:rPr>
        <w:t>10</w:t>
      </w:r>
      <w:r w:rsidRPr="00187DCD">
        <w:rPr>
          <w:szCs w:val="26"/>
        </w:rPr>
        <w:t xml:space="preserve"> mg) were heated from ambient temperature to 800</w:t>
      </w:r>
      <w:r>
        <w:rPr>
          <w:szCs w:val="26"/>
        </w:rPr>
        <w:t xml:space="preserve"> </w:t>
      </w:r>
      <w:r w:rsidRPr="00187DCD">
        <w:rPr>
          <w:szCs w:val="26"/>
        </w:rPr>
        <w:t xml:space="preserve">°C at a </w:t>
      </w:r>
      <w:r w:rsidRPr="00187DCD">
        <w:rPr>
          <w:rFonts w:eastAsia="AdvOT999035f4" w:cstheme="majorBidi"/>
          <w:color w:val="000000" w:themeColor="text1"/>
          <w:szCs w:val="26"/>
        </w:rPr>
        <w:t xml:space="preserve">heating rate of 10 </w:t>
      </w:r>
      <w:r>
        <w:rPr>
          <w:rFonts w:eastAsia="AdvOT999035f4" w:cs="Times New Roman"/>
          <w:color w:val="000000" w:themeColor="text1"/>
          <w:szCs w:val="26"/>
        </w:rPr>
        <w:t>°</w:t>
      </w:r>
      <w:r w:rsidRPr="00187DCD">
        <w:rPr>
          <w:rFonts w:eastAsia="AdvOT999035f4" w:cstheme="majorBidi"/>
          <w:color w:val="000000" w:themeColor="text1"/>
          <w:szCs w:val="26"/>
        </w:rPr>
        <w:t>C min</w:t>
      </w:r>
      <w:r w:rsidRPr="00187DCD">
        <w:rPr>
          <w:rFonts w:eastAsia="AdvOT999035f4" w:cstheme="majorBidi"/>
          <w:color w:val="000000" w:themeColor="text1"/>
          <w:szCs w:val="26"/>
          <w:vertAlign w:val="superscript"/>
        </w:rPr>
        <w:t>-1</w:t>
      </w:r>
      <w:r w:rsidRPr="00187DCD">
        <w:rPr>
          <w:rFonts w:eastAsia="AdvOT999035f4" w:cstheme="majorBidi"/>
          <w:color w:val="000000" w:themeColor="text1"/>
          <w:szCs w:val="26"/>
        </w:rPr>
        <w:t xml:space="preserve">. To determine the phase-transition temperatures, </w:t>
      </w:r>
      <w:r>
        <w:rPr>
          <w:rFonts w:eastAsia="AdvOT999035f4" w:cstheme="majorBidi"/>
          <w:color w:val="000000" w:themeColor="text1"/>
          <w:szCs w:val="26"/>
        </w:rPr>
        <w:t>d</w:t>
      </w:r>
      <w:r w:rsidRPr="00187DCD">
        <w:rPr>
          <w:rFonts w:eastAsia="AdvOT999035f4" w:cstheme="majorBidi"/>
          <w:color w:val="000000" w:themeColor="text1"/>
          <w:szCs w:val="26"/>
        </w:rPr>
        <w:t xml:space="preserve">ifferential scanning calorimetry (DSC) </w:t>
      </w:r>
      <w:r>
        <w:rPr>
          <w:rFonts w:eastAsia="AdvOT999035f4" w:cstheme="majorBidi"/>
          <w:color w:val="000000" w:themeColor="text1"/>
          <w:szCs w:val="26"/>
        </w:rPr>
        <w:t>was</w:t>
      </w:r>
      <w:r w:rsidRPr="00187DCD">
        <w:rPr>
          <w:rFonts w:eastAsia="AdvOT999035f4" w:cstheme="majorBidi"/>
          <w:color w:val="000000" w:themeColor="text1"/>
          <w:szCs w:val="26"/>
        </w:rPr>
        <w:t xml:space="preserve"> carried out </w:t>
      </w:r>
      <w:r w:rsidR="001F5188">
        <w:rPr>
          <w:rFonts w:eastAsia="AdvOT999035f4" w:cstheme="majorBidi"/>
          <w:color w:val="000000" w:themeColor="text1"/>
          <w:szCs w:val="26"/>
        </w:rPr>
        <w:t xml:space="preserve">by </w:t>
      </w:r>
      <w:r w:rsidRPr="00187DCD">
        <w:rPr>
          <w:rFonts w:eastAsia="AdvOT999035f4" w:cstheme="majorBidi"/>
          <w:color w:val="000000" w:themeColor="text1"/>
          <w:szCs w:val="26"/>
        </w:rPr>
        <w:t xml:space="preserve">means of </w:t>
      </w:r>
      <w:r w:rsidRPr="00187DCD">
        <w:rPr>
          <w:szCs w:val="26"/>
        </w:rPr>
        <w:t xml:space="preserve">a DSC instrument (NETZSCH DSC 200 F3, </w:t>
      </w:r>
      <w:proofErr w:type="spellStart"/>
      <w:r w:rsidRPr="00187DCD">
        <w:rPr>
          <w:szCs w:val="26"/>
        </w:rPr>
        <w:t>Netzsch</w:t>
      </w:r>
      <w:proofErr w:type="spellEnd"/>
      <w:r w:rsidRPr="00187DCD">
        <w:rPr>
          <w:szCs w:val="26"/>
        </w:rPr>
        <w:t xml:space="preserve"> Co., Bavaria, Germany) </w:t>
      </w:r>
      <w:r w:rsidRPr="00187DCD">
        <w:rPr>
          <w:rFonts w:eastAsia="AdvOT999035f4" w:cstheme="majorBidi"/>
          <w:color w:val="000000" w:themeColor="text1"/>
          <w:szCs w:val="26"/>
        </w:rPr>
        <w:t>under nitrogen atmosphere</w:t>
      </w:r>
      <w:r w:rsidRPr="00187DCD">
        <w:rPr>
          <w:szCs w:val="26"/>
        </w:rPr>
        <w:t xml:space="preserve"> at a rate of 50 mL min</w:t>
      </w:r>
      <w:r w:rsidRPr="00187DCD">
        <w:rPr>
          <w:szCs w:val="26"/>
          <w:vertAlign w:val="superscript"/>
        </w:rPr>
        <w:t>-1</w:t>
      </w:r>
      <w:r w:rsidRPr="00187DCD">
        <w:rPr>
          <w:rFonts w:eastAsia="AdvOT999035f4" w:cstheme="majorBidi"/>
          <w:color w:val="000000" w:themeColor="text1"/>
          <w:szCs w:val="26"/>
        </w:rPr>
        <w:t xml:space="preserve">. </w:t>
      </w:r>
      <w:r w:rsidRPr="00187DCD">
        <w:rPr>
          <w:szCs w:val="26"/>
        </w:rPr>
        <w:t xml:space="preserve">Aluminum pans containing samples (about </w:t>
      </w:r>
      <w:r w:rsidR="001F5188">
        <w:rPr>
          <w:szCs w:val="26"/>
        </w:rPr>
        <w:t>10</w:t>
      </w:r>
      <w:r w:rsidRPr="00187DCD">
        <w:rPr>
          <w:szCs w:val="26"/>
        </w:rPr>
        <w:t xml:space="preserve"> mg) were sealed using </w:t>
      </w:r>
      <w:r w:rsidR="001F5188">
        <w:rPr>
          <w:szCs w:val="26"/>
        </w:rPr>
        <w:t>a</w:t>
      </w:r>
      <w:r w:rsidRPr="00187DCD">
        <w:rPr>
          <w:szCs w:val="26"/>
        </w:rPr>
        <w:t xml:space="preserve"> sample press. The samples were heated from −80 to 300 °C at a heating rate of 10 °C min</w:t>
      </w:r>
      <w:r w:rsidRPr="00187DCD">
        <w:rPr>
          <w:szCs w:val="26"/>
          <w:vertAlign w:val="superscript"/>
        </w:rPr>
        <w:t>-1</w:t>
      </w:r>
      <w:r w:rsidRPr="00187DCD">
        <w:rPr>
          <w:szCs w:val="26"/>
        </w:rPr>
        <w:t xml:space="preserve">. To investigate the crystallinity of produced films, X-ray diffraction (XRD) was recorded </w:t>
      </w:r>
      <w:r w:rsidR="001F5188">
        <w:rPr>
          <w:szCs w:val="26"/>
        </w:rPr>
        <w:t xml:space="preserve">on </w:t>
      </w:r>
      <w:r w:rsidRPr="00187DCD">
        <w:rPr>
          <w:szCs w:val="26"/>
        </w:rPr>
        <w:t xml:space="preserve">a Siemens D5000 X-ray diffraction instrument with a Cu target (λ = 0.1540 nm) at room temperature. </w:t>
      </w:r>
      <w:r w:rsidRPr="00187DCD">
        <w:t>The system consists of a rotating anode generator which operated at</w:t>
      </w:r>
      <w:r w:rsidRPr="00187DCD">
        <w:rPr>
          <w:rFonts w:cstheme="majorBidi"/>
        </w:rPr>
        <w:t xml:space="preserve"> 35 kV and 20 mA. </w:t>
      </w:r>
      <w:r w:rsidRPr="00187DCD">
        <w:rPr>
          <w:szCs w:val="26"/>
        </w:rPr>
        <w:t>The samples were scanned from 2θ = 10 to 35</w:t>
      </w:r>
      <w:r w:rsidRPr="00187DCD">
        <w:rPr>
          <w:rFonts w:cstheme="majorBidi"/>
          <w:szCs w:val="26"/>
        </w:rPr>
        <w:t>°</w:t>
      </w:r>
      <w:r w:rsidRPr="00187DCD">
        <w:rPr>
          <w:szCs w:val="26"/>
        </w:rPr>
        <w:t xml:space="preserve"> at the step scan mode. </w:t>
      </w:r>
      <w:r w:rsidRPr="00187DCD">
        <w:t xml:space="preserve">The morphology of </w:t>
      </w:r>
      <w:r w:rsidR="001F5188">
        <w:t>c</w:t>
      </w:r>
      <w:r w:rsidRPr="00187DCD">
        <w:t xml:space="preserve">ellulose and starch derivatives were observed </w:t>
      </w:r>
      <w:r w:rsidR="001F5188">
        <w:t xml:space="preserve">by </w:t>
      </w:r>
      <w:r w:rsidRPr="00187DCD">
        <w:t xml:space="preserve">a </w:t>
      </w:r>
      <w:r w:rsidR="001F5188">
        <w:t>TESCAN MIRA 5</w:t>
      </w:r>
      <w:r w:rsidRPr="00187DCD">
        <w:t xml:space="preserve"> FE-SEM. The samples were coated with gold before FE-SEM</w:t>
      </w:r>
      <w:r w:rsidRPr="00187DCD">
        <w:rPr>
          <w:szCs w:val="26"/>
        </w:rPr>
        <w:t xml:space="preserve">. Active swelling percentage (AS%) was measured by swelling after soaking in EMC/DMC (1:1 v/v) at different molar intervals to form a GPE. The electrolyte uptake, </w:t>
      </w:r>
      <w:r w:rsidRPr="001F5188">
        <w:rPr>
          <w:i/>
          <w:iCs/>
          <w:szCs w:val="26"/>
        </w:rPr>
        <w:t>i.e</w:t>
      </w:r>
      <w:r w:rsidRPr="00187DCD">
        <w:rPr>
          <w:szCs w:val="26"/>
        </w:rPr>
        <w:t xml:space="preserve">., </w:t>
      </w:r>
      <w:r w:rsidR="001F5188">
        <w:rPr>
          <w:szCs w:val="26"/>
        </w:rPr>
        <w:t>AS%</w:t>
      </w:r>
      <w:r w:rsidRPr="00187DCD">
        <w:rPr>
          <w:szCs w:val="26"/>
        </w:rPr>
        <w:t xml:space="preserve">, was calculated by </w:t>
      </w:r>
      <w:r w:rsidR="001F5188">
        <w:rPr>
          <w:szCs w:val="26"/>
        </w:rPr>
        <w:t>Equation</w:t>
      </w:r>
      <w:r w:rsidRPr="00187DCD">
        <w:rPr>
          <w:szCs w:val="26"/>
        </w:rPr>
        <w:t xml:space="preserve"> </w:t>
      </w:r>
      <w:r w:rsidR="001F5188">
        <w:rPr>
          <w:szCs w:val="26"/>
        </w:rPr>
        <w:t>(S</w:t>
      </w:r>
      <w:r w:rsidRPr="00187DCD">
        <w:rPr>
          <w:szCs w:val="26"/>
        </w:rPr>
        <w:t>1</w:t>
      </w:r>
      <w:r w:rsidR="001F5188">
        <w:rPr>
          <w:szCs w:val="26"/>
        </w:rPr>
        <w:t>)</w:t>
      </w:r>
      <w:r w:rsidRPr="00187DCD">
        <w:rPr>
          <w:szCs w:val="26"/>
        </w:rPr>
        <w:t>:</w:t>
      </w:r>
    </w:p>
    <w:p w:rsidR="00F245AC" w:rsidRPr="00187DCD" w:rsidRDefault="00F245AC" w:rsidP="00F245AC">
      <w:pPr>
        <w:spacing w:after="0"/>
        <w:jc w:val="both"/>
        <w:rPr>
          <w:szCs w:val="32"/>
        </w:rPr>
      </w:pPr>
      <w:r w:rsidRPr="00187DCD">
        <w:rPr>
          <w:szCs w:val="26"/>
        </w:rPr>
        <w:t>Active swelling percentage (</w:t>
      </w:r>
      <w:proofErr w:type="gramStart"/>
      <w:r w:rsidRPr="00187DCD">
        <w:rPr>
          <w:szCs w:val="26"/>
        </w:rPr>
        <w:t>AS%</w:t>
      </w:r>
      <w:proofErr w:type="gramEnd"/>
      <w:r w:rsidRPr="00187DCD">
        <w:rPr>
          <w:szCs w:val="26"/>
        </w:rPr>
        <w:t xml:space="preserve">) = </w:t>
      </w:r>
      <m:oMath>
        <m:f>
          <m:fPr>
            <m:ctrlPr>
              <w:rPr>
                <w:rFonts w:ascii="Cambria Math" w:hAnsi="Cambria Math"/>
                <w:iCs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Cs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f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8"/>
              </w:rPr>
              <m:t xml:space="preserve"> - </m:t>
            </m:r>
            <m:sSub>
              <m:sSubPr>
                <m:ctrlPr>
                  <w:rPr>
                    <w:rFonts w:ascii="Cambria Math" w:hAnsi="Cambria Math"/>
                    <w:iCs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8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Cs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f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Cs w:val="28"/>
          </w:rPr>
          <m:t>*100</m:t>
        </m:r>
      </m:oMath>
      <w:r w:rsidRPr="00187DCD">
        <w:rPr>
          <w:rFonts w:eastAsiaTheme="minorEastAsia"/>
          <w:szCs w:val="32"/>
        </w:rPr>
        <w:t xml:space="preserve"> </w:t>
      </w:r>
      <w:r w:rsidRPr="00187DCD">
        <w:rPr>
          <w:rFonts w:eastAsiaTheme="minorEastAsia"/>
          <w:szCs w:val="26"/>
        </w:rPr>
        <w:tab/>
      </w:r>
      <w:r w:rsidRPr="00187DCD">
        <w:rPr>
          <w:rFonts w:eastAsiaTheme="minorEastAsia"/>
          <w:szCs w:val="26"/>
        </w:rPr>
        <w:tab/>
      </w:r>
      <w:r w:rsidRPr="00187DCD">
        <w:rPr>
          <w:rFonts w:eastAsiaTheme="minorEastAsia"/>
          <w:szCs w:val="26"/>
        </w:rPr>
        <w:tab/>
      </w:r>
      <w:r w:rsidRPr="00187DCD">
        <w:rPr>
          <w:rFonts w:eastAsiaTheme="minorEastAsia"/>
          <w:szCs w:val="26"/>
        </w:rPr>
        <w:tab/>
      </w:r>
      <w:r w:rsidRPr="00187DCD">
        <w:rPr>
          <w:rFonts w:eastAsiaTheme="minorEastAsia"/>
          <w:szCs w:val="26"/>
        </w:rPr>
        <w:tab/>
        <w:t>(</w:t>
      </w:r>
      <w:r w:rsidR="001F5188">
        <w:rPr>
          <w:rFonts w:eastAsiaTheme="minorEastAsia"/>
          <w:szCs w:val="26"/>
        </w:rPr>
        <w:t>S</w:t>
      </w:r>
      <w:r w:rsidRPr="00187DCD">
        <w:rPr>
          <w:rFonts w:eastAsiaTheme="minorEastAsia"/>
          <w:szCs w:val="26"/>
        </w:rPr>
        <w:t>1)</w:t>
      </w:r>
    </w:p>
    <w:p w:rsidR="00F245AC" w:rsidRPr="00187DCD" w:rsidRDefault="00F245AC" w:rsidP="00F245AC">
      <w:pPr>
        <w:spacing w:after="0"/>
        <w:jc w:val="both"/>
        <w:rPr>
          <w:szCs w:val="26"/>
        </w:rPr>
      </w:pPr>
      <w:proofErr w:type="gramStart"/>
      <w:r w:rsidRPr="00187DCD">
        <w:rPr>
          <w:szCs w:val="26"/>
        </w:rPr>
        <w:t>where</w:t>
      </w:r>
      <w:proofErr w:type="gramEnd"/>
      <w:r w:rsidRPr="00187DCD">
        <w:rPr>
          <w:szCs w:val="26"/>
        </w:rPr>
        <w:t xml:space="preserve"> </w:t>
      </w:r>
      <w:proofErr w:type="spellStart"/>
      <w:r w:rsidRPr="00187DCD">
        <w:rPr>
          <w:szCs w:val="26"/>
        </w:rPr>
        <w:t>W</w:t>
      </w:r>
      <w:r w:rsidRPr="00187DCD">
        <w:rPr>
          <w:szCs w:val="26"/>
          <w:vertAlign w:val="subscript"/>
        </w:rPr>
        <w:t>f</w:t>
      </w:r>
      <w:proofErr w:type="spellEnd"/>
      <w:r w:rsidRPr="00187DCD">
        <w:rPr>
          <w:szCs w:val="26"/>
        </w:rPr>
        <w:t xml:space="preserve"> and W</w:t>
      </w:r>
      <w:r w:rsidRPr="00187DCD">
        <w:rPr>
          <w:szCs w:val="26"/>
          <w:vertAlign w:val="subscript"/>
        </w:rPr>
        <w:t>i</w:t>
      </w:r>
      <w:r w:rsidRPr="00187DCD">
        <w:rPr>
          <w:szCs w:val="26"/>
        </w:rPr>
        <w:t xml:space="preserve"> are the weights of the membrane after and before swelling.</w:t>
      </w:r>
    </w:p>
    <w:p w:rsidR="00F245AC" w:rsidRDefault="00F245AC"/>
    <w:p w:rsidR="00874FA2" w:rsidRPr="00187DCD" w:rsidRDefault="00874FA2" w:rsidP="00874FA2">
      <w:pPr>
        <w:pStyle w:val="Heading2"/>
        <w:spacing w:before="0"/>
        <w:rPr>
          <w:rFonts w:ascii="Times New Roman" w:hAnsi="Times New Roman"/>
          <w:lang w:bidi="fa-IR"/>
        </w:rPr>
      </w:pPr>
      <w:r>
        <w:rPr>
          <w:rFonts w:ascii="Times New Roman" w:hAnsi="Times New Roman"/>
          <w:lang w:bidi="fa-IR"/>
        </w:rPr>
        <w:t>S3</w:t>
      </w:r>
      <w:r w:rsidRPr="00187DCD">
        <w:rPr>
          <w:rFonts w:ascii="Times New Roman" w:hAnsi="Times New Roman"/>
          <w:lang w:bidi="fa-IR"/>
        </w:rPr>
        <w:t xml:space="preserve">. </w:t>
      </w:r>
      <w:r>
        <w:rPr>
          <w:rFonts w:ascii="Times New Roman" w:hAnsi="Times New Roman"/>
          <w:lang w:bidi="fa-IR"/>
        </w:rPr>
        <w:t>Results</w:t>
      </w:r>
    </w:p>
    <w:p w:rsidR="00D62B4E" w:rsidRPr="00187DCD" w:rsidRDefault="00D62B4E" w:rsidP="00D62B4E">
      <w:pPr>
        <w:keepNext/>
        <w:spacing w:after="0"/>
        <w:jc w:val="center"/>
      </w:pPr>
      <w:r w:rsidRPr="00187DCD">
        <w:rPr>
          <w:noProof/>
        </w:rPr>
        <w:drawing>
          <wp:inline distT="0" distB="0" distL="0" distR="0" wp14:anchorId="6B0F92AC" wp14:editId="4F7ACE23">
            <wp:extent cx="5943600" cy="8680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B4E" w:rsidRPr="00187DCD" w:rsidRDefault="00D62B4E" w:rsidP="00D62B4E">
      <w:pPr>
        <w:pStyle w:val="Caption"/>
        <w:spacing w:after="0" w:line="480" w:lineRule="auto"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187DCD">
        <w:rPr>
          <w:b/>
          <w:bCs/>
          <w:i w:val="0"/>
          <w:iCs w:val="0"/>
          <w:color w:val="auto"/>
          <w:sz w:val="24"/>
          <w:szCs w:val="24"/>
        </w:rPr>
        <w:t>Scheme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S1</w:t>
      </w:r>
      <w:r w:rsidRPr="00187DCD">
        <w:rPr>
          <w:b/>
          <w:bCs/>
          <w:i w:val="0"/>
          <w:iCs w:val="0"/>
          <w:color w:val="auto"/>
          <w:sz w:val="24"/>
          <w:szCs w:val="24"/>
        </w:rPr>
        <w:t>. Synthesis mechanism of PEGDA</w:t>
      </w:r>
    </w:p>
    <w:p w:rsidR="00D62B4E" w:rsidRDefault="00D62B4E" w:rsidP="00874FA2">
      <w:pPr>
        <w:jc w:val="center"/>
      </w:pPr>
    </w:p>
    <w:p w:rsidR="00FC5374" w:rsidRPr="00187DCD" w:rsidRDefault="00FC5374" w:rsidP="00FC5374">
      <w:pPr>
        <w:spacing w:after="0"/>
        <w:jc w:val="center"/>
        <w:rPr>
          <w:rFonts w:cstheme="majorBidi"/>
          <w:lang w:bidi="fa-IR"/>
        </w:rPr>
      </w:pPr>
      <w:r w:rsidRPr="00187DCD">
        <w:rPr>
          <w:rFonts w:cstheme="majorBidi"/>
          <w:noProof/>
        </w:rPr>
        <w:drawing>
          <wp:inline distT="0" distB="0" distL="0" distR="0" wp14:anchorId="7DD91393" wp14:editId="0BD0F102">
            <wp:extent cx="3087584" cy="327692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T-IR(IPN CMS-OCMC)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133" cy="327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74" w:rsidRPr="00187DCD" w:rsidRDefault="00FC5374" w:rsidP="00FC5374">
      <w:pPr>
        <w:pStyle w:val="Title"/>
        <w:jc w:val="both"/>
        <w:rPr>
          <w:rFonts w:ascii="Times New Roman" w:hAnsi="Times New Roman"/>
          <w:lang w:bidi="fa-IR"/>
        </w:rPr>
      </w:pPr>
      <w:r w:rsidRPr="00187DCD">
        <w:rPr>
          <w:rFonts w:ascii="Times New Roman" w:hAnsi="Times New Roman"/>
        </w:rPr>
        <w:t xml:space="preserve">Figure </w:t>
      </w:r>
      <w:r>
        <w:rPr>
          <w:rFonts w:ascii="Times New Roman" w:hAnsi="Times New Roman"/>
        </w:rPr>
        <w:t>S1</w:t>
      </w:r>
      <w:r w:rsidRPr="00187DCD">
        <w:rPr>
          <w:rFonts w:ascii="Times New Roman" w:hAnsi="Times New Roman"/>
        </w:rPr>
        <w:t>. FT-IR spectra of PEGDA, PEGMA-PEGDA, CMS, OCMCS, semi-IPN CMS50%, and semi-IPN OCMC50%</w:t>
      </w:r>
    </w:p>
    <w:p w:rsidR="00FC5374" w:rsidRDefault="00FC5374" w:rsidP="00874FA2">
      <w:pPr>
        <w:jc w:val="center"/>
      </w:pPr>
    </w:p>
    <w:p w:rsidR="00874FA2" w:rsidRDefault="00874FA2" w:rsidP="00874FA2">
      <w:pPr>
        <w:jc w:val="center"/>
      </w:pPr>
      <w:r w:rsidRPr="00874FA2">
        <w:rPr>
          <w:noProof/>
        </w:rPr>
        <w:drawing>
          <wp:inline distT="0" distB="0" distL="0" distR="0">
            <wp:extent cx="5943600" cy="2007870"/>
            <wp:effectExtent l="0" t="0" r="0" b="0"/>
            <wp:docPr id="1" name="Picture 1" descr="C:\Users\ASUS\Downloads\NMR(IPN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NMR(IPN)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A2" w:rsidRDefault="00FC5374" w:rsidP="00874FA2">
      <w:pPr>
        <w:jc w:val="center"/>
        <w:rPr>
          <w:b/>
          <w:bCs/>
        </w:rPr>
      </w:pPr>
      <w:r>
        <w:rPr>
          <w:b/>
          <w:bCs/>
        </w:rPr>
        <w:t>Figure S2</w:t>
      </w:r>
      <w:r w:rsidR="00874FA2" w:rsidRPr="00874FA2">
        <w:rPr>
          <w:b/>
          <w:bCs/>
        </w:rPr>
        <w:t xml:space="preserve">. </w:t>
      </w:r>
      <w:r w:rsidR="00874FA2" w:rsidRPr="00874FA2">
        <w:rPr>
          <w:b/>
          <w:bCs/>
          <w:vertAlign w:val="superscript"/>
        </w:rPr>
        <w:t>1</w:t>
      </w:r>
      <w:r w:rsidR="00874FA2" w:rsidRPr="00874FA2">
        <w:rPr>
          <w:b/>
          <w:bCs/>
        </w:rPr>
        <w:t xml:space="preserve"> HNMR spectra of CMC, OCMC, and CMS</w:t>
      </w:r>
    </w:p>
    <w:p w:rsidR="00FC5374" w:rsidRDefault="00FC5374" w:rsidP="00874FA2">
      <w:pPr>
        <w:jc w:val="center"/>
        <w:rPr>
          <w:b/>
          <w:bCs/>
        </w:rPr>
      </w:pPr>
    </w:p>
    <w:p w:rsidR="00FC5374" w:rsidRPr="00187DCD" w:rsidRDefault="00FC5374" w:rsidP="00FC5374">
      <w:pPr>
        <w:keepNext/>
        <w:spacing w:after="0"/>
        <w:jc w:val="center"/>
      </w:pPr>
      <w:r w:rsidRPr="00187DCD">
        <w:rPr>
          <w:rFonts w:cstheme="majorBidi"/>
          <w:noProof/>
        </w:rPr>
        <w:lastRenderedPageBreak/>
        <w:drawing>
          <wp:inline distT="0" distB="0" distL="0" distR="0" wp14:anchorId="4CD0F703" wp14:editId="07A118B7">
            <wp:extent cx="2753833" cy="2747066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P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115" cy="274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74" w:rsidRPr="00187DCD" w:rsidRDefault="00FC5374" w:rsidP="00FC5374">
      <w:pPr>
        <w:pStyle w:val="Title"/>
        <w:jc w:val="center"/>
        <w:rPr>
          <w:rFonts w:ascii="Times New Roman" w:hAnsi="Times New Roman"/>
          <w:lang w:bidi="fa-IR"/>
        </w:rPr>
      </w:pPr>
      <w:r>
        <w:rPr>
          <w:rFonts w:ascii="Times New Roman" w:hAnsi="Times New Roman"/>
        </w:rPr>
        <w:t>F</w:t>
      </w:r>
      <w:r w:rsidRPr="00187DCD">
        <w:rPr>
          <w:rFonts w:ascii="Times New Roman" w:hAnsi="Times New Roman"/>
        </w:rPr>
        <w:t>igure S</w:t>
      </w:r>
      <w:r>
        <w:rPr>
          <w:rFonts w:ascii="Times New Roman" w:hAnsi="Times New Roman"/>
        </w:rPr>
        <w:t>3</w:t>
      </w:r>
      <w:r w:rsidRPr="00187DCD">
        <w:rPr>
          <w:rFonts w:ascii="Times New Roman" w:hAnsi="Times New Roman"/>
        </w:rPr>
        <w:t>. Swelling ratio curve of CMS, OCMC, semi-IPN CMS50%, and semi-IPN OCMC50%</w:t>
      </w:r>
    </w:p>
    <w:p w:rsidR="004403DE" w:rsidRPr="00187DCD" w:rsidRDefault="004403DE" w:rsidP="004403DE">
      <w:pPr>
        <w:pStyle w:val="Title"/>
        <w:keepNext/>
        <w:jc w:val="both"/>
        <w:rPr>
          <w:rFonts w:ascii="Times New Roman" w:hAnsi="Times New Roman"/>
        </w:rPr>
      </w:pPr>
      <w:r w:rsidRPr="00187DCD">
        <w:rPr>
          <w:rFonts w:ascii="Times New Roman" w:hAnsi="Times New Roman"/>
          <w:noProof/>
        </w:rPr>
        <w:lastRenderedPageBreak/>
        <w:drawing>
          <wp:inline distT="0" distB="0" distL="0" distR="0" wp14:anchorId="3C1597D8" wp14:editId="236F188E">
            <wp:extent cx="5943600" cy="39408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3DE" w:rsidRPr="00187DCD" w:rsidRDefault="00874FA2" w:rsidP="00FC5374">
      <w:pPr>
        <w:pStyle w:val="Tit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="004403DE" w:rsidRPr="00187DCD">
        <w:rPr>
          <w:rFonts w:ascii="Times New Roman" w:hAnsi="Times New Roman"/>
        </w:rPr>
        <w:t>igure S</w:t>
      </w:r>
      <w:r w:rsidR="00FC5374">
        <w:rPr>
          <w:rFonts w:ascii="Times New Roman" w:hAnsi="Times New Roman"/>
        </w:rPr>
        <w:t>4</w:t>
      </w:r>
      <w:r w:rsidR="004403DE" w:rsidRPr="00187DCD">
        <w:rPr>
          <w:rFonts w:ascii="Times New Roman" w:hAnsi="Times New Roman"/>
        </w:rPr>
        <w:t>. Impedance plots of SS/GPEs/SS at various temperature. (a) semi-IPN CMS10%, (b) semi-IPN CMS30%, (c) semi-IPN CMS50%, (d) semi-IPN OCMC10%, (e) semi-IPN OCMC30%, and (f) semi-IPN OCMC50%</w:t>
      </w:r>
    </w:p>
    <w:sectPr w:rsidR="004403DE" w:rsidRPr="00187DC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12" w:rsidRDefault="00355312" w:rsidP="00874FA2">
      <w:pPr>
        <w:spacing w:after="0" w:line="240" w:lineRule="auto"/>
      </w:pPr>
      <w:r>
        <w:separator/>
      </w:r>
    </w:p>
  </w:endnote>
  <w:endnote w:type="continuationSeparator" w:id="0">
    <w:p w:rsidR="00355312" w:rsidRDefault="00355312" w:rsidP="0087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vOT999035f4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9677282"/>
      <w:docPartObj>
        <w:docPartGallery w:val="Page Numbers (Bottom of Page)"/>
        <w:docPartUnique/>
      </w:docPartObj>
    </w:sdtPr>
    <w:sdtEndPr/>
    <w:sdtContent>
      <w:p w:rsidR="00874FA2" w:rsidRDefault="00874FA2" w:rsidP="00874F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6A5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12" w:rsidRDefault="00355312" w:rsidP="00874FA2">
      <w:pPr>
        <w:spacing w:after="0" w:line="240" w:lineRule="auto"/>
      </w:pPr>
      <w:r>
        <w:separator/>
      </w:r>
    </w:p>
  </w:footnote>
  <w:footnote w:type="continuationSeparator" w:id="0">
    <w:p w:rsidR="00355312" w:rsidRDefault="00355312" w:rsidP="00874F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EE"/>
    <w:rsid w:val="00083369"/>
    <w:rsid w:val="001906C3"/>
    <w:rsid w:val="001F5188"/>
    <w:rsid w:val="00355312"/>
    <w:rsid w:val="004403DE"/>
    <w:rsid w:val="004917EE"/>
    <w:rsid w:val="004E7E07"/>
    <w:rsid w:val="00700295"/>
    <w:rsid w:val="00832233"/>
    <w:rsid w:val="0085611D"/>
    <w:rsid w:val="00874FA2"/>
    <w:rsid w:val="008F56B4"/>
    <w:rsid w:val="00A14814"/>
    <w:rsid w:val="00A66A52"/>
    <w:rsid w:val="00D431E6"/>
    <w:rsid w:val="00D62B4E"/>
    <w:rsid w:val="00F245AC"/>
    <w:rsid w:val="00FC5374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785BA7-44EB-4042-8B4F-A11BC55A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7EE"/>
    <w:pPr>
      <w:spacing w:line="480" w:lineRule="auto"/>
    </w:pPr>
    <w:rPr>
      <w:rFonts w:ascii="Times New Roman" w:hAnsi="Times New Roman" w:cs="B Nazani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7EE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17EE"/>
    <w:rPr>
      <w:rFonts w:asciiTheme="majorBidi" w:eastAsiaTheme="majorEastAsia" w:hAnsiTheme="majorBidi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4917E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403DE"/>
    <w:pPr>
      <w:spacing w:after="0"/>
      <w:contextualSpacing/>
    </w:pPr>
    <w:rPr>
      <w:rFonts w:asciiTheme="majorBidi" w:eastAsiaTheme="majorEastAsia" w:hAnsiTheme="majorBidi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3DE"/>
    <w:rPr>
      <w:rFonts w:asciiTheme="majorBidi" w:eastAsiaTheme="majorEastAsia" w:hAnsiTheme="majorBidi" w:cstheme="majorBidi"/>
      <w:b/>
      <w:spacing w:val="-10"/>
      <w:kern w:val="28"/>
      <w:sz w:val="24"/>
      <w:szCs w:val="56"/>
    </w:rPr>
  </w:style>
  <w:style w:type="character" w:customStyle="1" w:styleId="MTEquationSection">
    <w:name w:val="MTEquationSection"/>
    <w:rsid w:val="00874FA2"/>
    <w:rPr>
      <w:rFonts w:ascii="Times New Roman" w:hAnsi="Times New Roman" w:cs="Times New Roman"/>
      <w:b/>
      <w:bCs/>
      <w:vanish/>
      <w:color w:val="FF0000"/>
      <w:sz w:val="28"/>
      <w:szCs w:val="28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874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FA2"/>
    <w:rPr>
      <w:rFonts w:ascii="Times New Roman" w:hAnsi="Times New Roman" w:cs="B Nazani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4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FA2"/>
    <w:rPr>
      <w:rFonts w:ascii="Times New Roman" w:hAnsi="Times New Roman" w:cs="B Nazani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62B4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2021-09-28T19:05:00Z</dcterms:created>
  <dcterms:modified xsi:type="dcterms:W3CDTF">2021-09-29T11:41:00Z</dcterms:modified>
</cp:coreProperties>
</file>