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822E1" w14:textId="77777777" w:rsidR="00784DA7" w:rsidRPr="009A5A07" w:rsidRDefault="00000000" w:rsidP="009A5A07">
      <w:pPr>
        <w:pStyle w:val="1"/>
        <w:jc w:val="center"/>
        <w:rPr>
          <w:rFonts w:ascii="Times New Roman" w:hAnsi="Times New Roman" w:cs="Times New Roman"/>
          <w:color w:val="000000" w:themeColor="text1"/>
          <w:sz w:val="28"/>
          <w:szCs w:val="28"/>
        </w:rPr>
      </w:pPr>
      <w:bookmarkStart w:id="0" w:name="supplementary-methods"/>
      <w:r w:rsidRPr="009A5A07">
        <w:rPr>
          <w:rFonts w:ascii="Times New Roman" w:hAnsi="Times New Roman" w:cs="Times New Roman"/>
          <w:color w:val="000000" w:themeColor="text1"/>
          <w:sz w:val="28"/>
          <w:szCs w:val="28"/>
        </w:rPr>
        <w:t>Supplementary Methods</w:t>
      </w:r>
    </w:p>
    <w:p w14:paraId="5D7F1456" w14:textId="77777777" w:rsidR="00784DA7" w:rsidRPr="009A5A07" w:rsidRDefault="00000000" w:rsidP="009A5A07">
      <w:pPr>
        <w:pStyle w:val="2"/>
        <w:jc w:val="center"/>
        <w:rPr>
          <w:rFonts w:ascii="Times New Roman" w:hAnsi="Times New Roman" w:cs="Times New Roman"/>
          <w:b w:val="0"/>
          <w:bCs w:val="0"/>
          <w:i/>
          <w:iCs/>
          <w:color w:val="000000" w:themeColor="text1"/>
          <w:sz w:val="24"/>
          <w:szCs w:val="24"/>
        </w:rPr>
      </w:pPr>
      <w:bookmarkStart w:id="1" w:name="Xbadec82ce11e2796670c6a8721ca75fedb2e4c3"/>
      <w:r w:rsidRPr="009A5A07">
        <w:rPr>
          <w:rFonts w:ascii="Times New Roman" w:hAnsi="Times New Roman" w:cs="Times New Roman"/>
          <w:b w:val="0"/>
          <w:bCs w:val="0"/>
          <w:i/>
          <w:iCs/>
          <w:color w:val="000000" w:themeColor="text1"/>
          <w:sz w:val="24"/>
          <w:szCs w:val="24"/>
        </w:rPr>
        <w:t>Multiple imputation for incomplete clustered binary outcomes in longitudinal electronic health records</w:t>
      </w:r>
    </w:p>
    <w:p w14:paraId="6F3C1828"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This supplement provides the technical details underlying the clustered logistic factor (CLF) imputation model, its longitudinal extension, the patient-level random-intercept extension, comparator methods, simulation design, and performance metrics. The main article gives a concise description for epidemiologic readers; the details below are intended to support reproducibility and statistical review.</w:t>
      </w:r>
    </w:p>
    <w:p w14:paraId="6F77AC77" w14:textId="77777777" w:rsidR="00784DA7" w:rsidRPr="009A5A07" w:rsidRDefault="00000000">
      <w:pPr>
        <w:pStyle w:val="2"/>
        <w:rPr>
          <w:rFonts w:ascii="Times New Roman" w:hAnsi="Times New Roman" w:cs="Times New Roman"/>
          <w:color w:val="000000" w:themeColor="text1"/>
          <w:sz w:val="24"/>
          <w:szCs w:val="24"/>
        </w:rPr>
      </w:pPr>
      <w:bookmarkStart w:id="2" w:name="X1746f56659c2c6b91d0bfcc54fb5ba3bf7f8795"/>
      <w:bookmarkEnd w:id="1"/>
      <w:r w:rsidRPr="009A5A07">
        <w:rPr>
          <w:rFonts w:ascii="Times New Roman" w:hAnsi="Times New Roman" w:cs="Times New Roman"/>
          <w:color w:val="000000" w:themeColor="text1"/>
          <w:sz w:val="24"/>
          <w:szCs w:val="24"/>
        </w:rPr>
        <w:t>S1. Data structure, target outcomes, and notation</w:t>
      </w:r>
    </w:p>
    <w:p w14:paraId="5D204DAF"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imputation target was an unrecorded but observable periodontal site. Structurally absent sites, such as sites on extracted teeth, were not imputed because the measurement unit no longer existed. For patient p, visit t, and periodontal site j, let</w:t>
      </w:r>
    </w:p>
    <w:p w14:paraId="3B51278A"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ptj</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oMath>
      </m:oMathPara>
    </w:p>
    <w:p w14:paraId="3366A15D" w14:textId="44CDE562"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denote a binary periodontal endpoint. The five endpoints analysed in parallel were PPD</w:t>
      </w:r>
      <w:r w:rsidR="00CB0B6A">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 5 mm, PPD</w:t>
      </w:r>
      <w:r w:rsidR="00CB0B6A">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 6 mm, CAL</w:t>
      </w:r>
      <w:r w:rsidR="00CB0B6A">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 3 mm, CAL</w:t>
      </w:r>
      <w:r w:rsidR="00CB0B6A">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 4 mm, and CAL</w:t>
      </w:r>
      <w:r w:rsidR="00CB0B6A">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 5 mm, where</w:t>
      </w:r>
    </w:p>
    <w:p w14:paraId="03494A86"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CAL=PPD+REC.</m:t>
          </m:r>
        </m:oMath>
      </m:oMathPara>
    </w:p>
    <w:p w14:paraId="2DBCB31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For imputation, each patient-visit examination was treated as one cluster:</w:t>
      </w:r>
    </w:p>
    <w:p w14:paraId="3B2EA2D1" w14:textId="77777777" w:rsidR="00784DA7" w:rsidRPr="009A5A07" w:rsidRDefault="00000000">
      <w:pPr>
        <w:pStyle w:val="a0"/>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i</m:t>
          </m:r>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t</m:t>
              </m:r>
            </m:e>
          </m:d>
          <m:r>
            <m:rPr>
              <m:sty m:val="p"/>
            </m:rPr>
            <w:rPr>
              <w:rFonts w:ascii="Cambria Math" w:hAnsi="Cambria Math" w:cs="Times New Roman"/>
              <w:color w:val="000000" w:themeColor="text1"/>
            </w:rPr>
            <m:t>,</m:t>
          </m:r>
          <m:r>
            <w:rPr>
              <w:rFonts w:ascii="Cambria Math" w:hAnsi="Cambria Math" w:cs="Times New Roman"/>
              <w:color w:val="000000" w:themeColor="text1"/>
            </w:rPr>
            <m:t>  j</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oMath>
      </m:oMathPara>
    </w:p>
    <w:p w14:paraId="0728FE47" w14:textId="42694C1D"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 xml:space="preserve">In a complete full-mouth examination,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r>
          <w:rPr>
            <w:rFonts w:ascii="Cambria Math" w:hAnsi="Cambria Math" w:cs="Times New Roman"/>
            <w:color w:val="000000" w:themeColor="text1"/>
          </w:rPr>
          <m:t xml:space="preserve"> </m:t>
        </m:r>
      </m:oMath>
      <w:r w:rsidRPr="009A5A07">
        <w:rPr>
          <w:rFonts w:ascii="Times New Roman" w:hAnsi="Times New Roman" w:cs="Times New Roman"/>
          <w:color w:val="000000" w:themeColor="text1"/>
        </w:rPr>
        <w:t>≤ 192. Let</w:t>
      </w:r>
    </w:p>
    <w:p w14:paraId="4AAF8ECF"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ij1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ijr</m:t>
                      </m:r>
                    </m:sub>
                  </m:sSub>
                </m:e>
              </m:d>
            </m:e>
            <m:sup>
              <m:r>
                <w:rPr>
                  <w:rFonts w:ascii="Cambria Math" w:hAnsi="Cambria Math" w:cs="Times New Roman"/>
                  <w:color w:val="000000" w:themeColor="text1"/>
                </w:rPr>
                <m:t>T</m:t>
              </m:r>
            </m:sup>
          </m:sSup>
        </m:oMath>
      </m:oMathPara>
    </w:p>
    <w:p w14:paraId="4C066AB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denote the predictor vector for site j in cluster i. In the analyses, Xij contained site-, tooth-, patient-, and visit-level predictors, including age, smoking status, diabetes, jaw, tooth position, site location, and visit number.</w:t>
      </w:r>
    </w:p>
    <w:p w14:paraId="2D382427"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b/>
          <w:bCs/>
          <w:color w:val="000000" w:themeColor="text1"/>
        </w:rPr>
        <w:t>Table S1. Notation used in the supplementary methods</w:t>
      </w:r>
    </w:p>
    <w:tbl>
      <w:tblPr>
        <w:tblStyle w:val="Table"/>
        <w:tblW w:w="0" w:type="auto"/>
        <w:tblLook w:val="0020" w:firstRow="1" w:lastRow="0" w:firstColumn="0" w:lastColumn="0" w:noHBand="0" w:noVBand="0"/>
      </w:tblPr>
      <w:tblGrid>
        <w:gridCol w:w="963"/>
        <w:gridCol w:w="5442"/>
      </w:tblGrid>
      <w:tr w:rsidR="009A5A07" w:rsidRPr="009A5A07" w14:paraId="4E3CC8F1" w14:textId="77777777" w:rsidTr="00784DA7">
        <w:trPr>
          <w:cnfStyle w:val="100000000000" w:firstRow="1" w:lastRow="0" w:firstColumn="0" w:lastColumn="0" w:oddVBand="0" w:evenVBand="0" w:oddHBand="0" w:evenHBand="0" w:firstRowFirstColumn="0" w:firstRowLastColumn="0" w:lastRowFirstColumn="0" w:lastRowLastColumn="0"/>
          <w:tblHeader/>
        </w:trPr>
        <w:tc>
          <w:tcPr>
            <w:tcW w:w="0" w:type="auto"/>
          </w:tcPr>
          <w:p w14:paraId="5DCFBED0"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Symbol</w:t>
            </w:r>
          </w:p>
        </w:tc>
        <w:tc>
          <w:tcPr>
            <w:tcW w:w="0" w:type="auto"/>
          </w:tcPr>
          <w:p w14:paraId="05D818D1"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Meaning</w:t>
            </w:r>
          </w:p>
        </w:tc>
      </w:tr>
      <w:tr w:rsidR="009A5A07" w:rsidRPr="009A5A07" w14:paraId="3D22A5D7" w14:textId="77777777">
        <w:tc>
          <w:tcPr>
            <w:tcW w:w="0" w:type="auto"/>
          </w:tcPr>
          <w:p w14:paraId="0CF5962D"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p</w:t>
            </w:r>
          </w:p>
        </w:tc>
        <w:tc>
          <w:tcPr>
            <w:tcW w:w="0" w:type="auto"/>
          </w:tcPr>
          <w:p w14:paraId="448F00E8"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Patient index</w:t>
            </w:r>
          </w:p>
        </w:tc>
      </w:tr>
      <w:tr w:rsidR="009A5A07" w:rsidRPr="009A5A07" w14:paraId="2EA3CF18" w14:textId="77777777">
        <w:tc>
          <w:tcPr>
            <w:tcW w:w="0" w:type="auto"/>
          </w:tcPr>
          <w:p w14:paraId="7540EF9C"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t</w:t>
            </w:r>
          </w:p>
        </w:tc>
        <w:tc>
          <w:tcPr>
            <w:tcW w:w="0" w:type="auto"/>
          </w:tcPr>
          <w:p w14:paraId="573530F3"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Visit index</w:t>
            </w:r>
          </w:p>
        </w:tc>
      </w:tr>
      <w:tr w:rsidR="009A5A07" w:rsidRPr="009A5A07" w14:paraId="2421F92F" w14:textId="77777777">
        <w:tc>
          <w:tcPr>
            <w:tcW w:w="0" w:type="auto"/>
          </w:tcPr>
          <w:p w14:paraId="5D4C8603"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i</w:t>
            </w:r>
            <w:proofErr w:type="spellEnd"/>
            <w:r w:rsidRPr="009A5A07">
              <w:rPr>
                <w:rFonts w:ascii="Times New Roman" w:hAnsi="Times New Roman" w:cs="Times New Roman"/>
                <w:color w:val="000000" w:themeColor="text1"/>
              </w:rPr>
              <w:t>=(</w:t>
            </w:r>
            <w:proofErr w:type="spellStart"/>
            <w:r w:rsidRPr="009A5A07">
              <w:rPr>
                <w:rFonts w:ascii="Times New Roman" w:hAnsi="Times New Roman" w:cs="Times New Roman"/>
                <w:color w:val="000000" w:themeColor="text1"/>
              </w:rPr>
              <w:t>p,t</w:t>
            </w:r>
            <w:proofErr w:type="spellEnd"/>
            <w:r w:rsidRPr="009A5A07">
              <w:rPr>
                <w:rFonts w:ascii="Times New Roman" w:hAnsi="Times New Roman" w:cs="Times New Roman"/>
                <w:color w:val="000000" w:themeColor="text1"/>
              </w:rPr>
              <w:t>)</w:t>
            </w:r>
          </w:p>
        </w:tc>
        <w:tc>
          <w:tcPr>
            <w:tcW w:w="0" w:type="auto"/>
          </w:tcPr>
          <w:p w14:paraId="5BBE0711"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Patient-visit cluster</w:t>
            </w:r>
          </w:p>
        </w:tc>
      </w:tr>
      <w:tr w:rsidR="009A5A07" w:rsidRPr="009A5A07" w14:paraId="4CEC36C8" w14:textId="77777777">
        <w:tc>
          <w:tcPr>
            <w:tcW w:w="0" w:type="auto"/>
          </w:tcPr>
          <w:p w14:paraId="46614A07"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j,k</w:t>
            </w:r>
            <w:proofErr w:type="spellEnd"/>
          </w:p>
        </w:tc>
        <w:tc>
          <w:tcPr>
            <w:tcW w:w="0" w:type="auto"/>
          </w:tcPr>
          <w:p w14:paraId="1D61D319"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Site indices within a patient-visit cluster</w:t>
            </w:r>
          </w:p>
        </w:tc>
      </w:tr>
      <w:tr w:rsidR="009A5A07" w:rsidRPr="009A5A07" w14:paraId="15E0A27A" w14:textId="77777777">
        <w:tc>
          <w:tcPr>
            <w:tcW w:w="0" w:type="auto"/>
          </w:tcPr>
          <w:p w14:paraId="1CFE6230"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Y</w:t>
            </w:r>
            <w:r w:rsidRPr="00046FB5">
              <w:rPr>
                <w:rFonts w:ascii="Times New Roman" w:hAnsi="Times New Roman" w:cs="Times New Roman"/>
                <w:color w:val="000000" w:themeColor="text1"/>
                <w:vertAlign w:val="subscript"/>
              </w:rPr>
              <w:t>ij</w:t>
            </w:r>
            <w:proofErr w:type="spellEnd"/>
          </w:p>
        </w:tc>
        <w:tc>
          <w:tcPr>
            <w:tcW w:w="0" w:type="auto"/>
          </w:tcPr>
          <w:p w14:paraId="66098282"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Binary disease outcome at site j in cluster i</w:t>
            </w:r>
          </w:p>
        </w:tc>
      </w:tr>
      <w:tr w:rsidR="009A5A07" w:rsidRPr="009A5A07" w14:paraId="408D7373" w14:textId="77777777">
        <w:tc>
          <w:tcPr>
            <w:tcW w:w="0" w:type="auto"/>
          </w:tcPr>
          <w:p w14:paraId="65C5CF5A"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X</w:t>
            </w:r>
            <w:r w:rsidRPr="00046FB5">
              <w:rPr>
                <w:rFonts w:ascii="Times New Roman" w:hAnsi="Times New Roman" w:cs="Times New Roman"/>
                <w:color w:val="000000" w:themeColor="text1"/>
                <w:vertAlign w:val="subscript"/>
              </w:rPr>
              <w:t>ij</w:t>
            </w:r>
            <w:proofErr w:type="spellEnd"/>
          </w:p>
        </w:tc>
        <w:tc>
          <w:tcPr>
            <w:tcW w:w="0" w:type="auto"/>
          </w:tcPr>
          <w:p w14:paraId="70B08FE7"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Predictor vector for site j in cluster i</w:t>
            </w:r>
          </w:p>
        </w:tc>
      </w:tr>
      <w:tr w:rsidR="009A5A07" w:rsidRPr="009A5A07" w14:paraId="1718A2CE" w14:textId="77777777">
        <w:tc>
          <w:tcPr>
            <w:tcW w:w="0" w:type="auto"/>
          </w:tcPr>
          <w:p w14:paraId="0D92D73A"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μ</w:t>
            </w:r>
            <w:r w:rsidRPr="00046FB5">
              <w:rPr>
                <w:rFonts w:ascii="Times New Roman" w:hAnsi="Times New Roman" w:cs="Times New Roman"/>
                <w:color w:val="000000" w:themeColor="text1"/>
                <w:vertAlign w:val="subscript"/>
              </w:rPr>
              <w:t>ij</w:t>
            </w:r>
            <w:proofErr w:type="spellEnd"/>
          </w:p>
        </w:tc>
        <w:tc>
          <w:tcPr>
            <w:tcW w:w="0" w:type="auto"/>
          </w:tcPr>
          <w:p w14:paraId="55577461" w14:textId="70D8B5C9"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 xml:space="preserve">Marginal probability </w:t>
            </w:r>
            <w:proofErr w:type="spellStart"/>
            <w:r w:rsidRPr="009A5A07">
              <w:rPr>
                <w:rFonts w:ascii="Times New Roman" w:hAnsi="Times New Roman" w:cs="Times New Roman"/>
                <w:color w:val="000000" w:themeColor="text1"/>
              </w:rPr>
              <w:t>Pr</w:t>
            </w:r>
            <w:proofErr w:type="spellEnd"/>
            <w:r w:rsidRPr="009A5A07">
              <w:rPr>
                <w:rFonts w:ascii="Times New Roman" w:hAnsi="Times New Roman" w:cs="Times New Roman"/>
                <w:color w:val="000000" w:themeColor="text1"/>
              </w:rPr>
              <w:t>(</w:t>
            </w:r>
            <w:proofErr w:type="spellStart"/>
            <w:r w:rsidRPr="009A5A07">
              <w:rPr>
                <w:rFonts w:ascii="Times New Roman" w:hAnsi="Times New Roman" w:cs="Times New Roman"/>
                <w:color w:val="000000" w:themeColor="text1"/>
              </w:rPr>
              <w:t>Y</w:t>
            </w:r>
            <w:r w:rsidRPr="00046FB5">
              <w:rPr>
                <w:rFonts w:ascii="Times New Roman" w:hAnsi="Times New Roman" w:cs="Times New Roman"/>
                <w:color w:val="000000" w:themeColor="text1"/>
                <w:vertAlign w:val="subscript"/>
              </w:rPr>
              <w:t>ij</w:t>
            </w:r>
            <w:proofErr w:type="spellEnd"/>
            <w:r w:rsidRPr="009A5A07">
              <w:rPr>
                <w:rFonts w:ascii="Times New Roman" w:hAnsi="Times New Roman" w:cs="Times New Roman"/>
                <w:color w:val="000000" w:themeColor="text1"/>
              </w:rPr>
              <w:t>=1</w:t>
            </w:r>
            <w:r w:rsidR="00046FB5">
              <w:rPr>
                <w:rFonts w:ascii="Times New Roman" w:hAnsi="Times New Roman" w:cs="Times New Roman"/>
                <w:color w:val="000000" w:themeColor="text1"/>
              </w:rPr>
              <w:t>)</w:t>
            </w:r>
          </w:p>
        </w:tc>
      </w:tr>
      <w:tr w:rsidR="009A5A07" w:rsidRPr="009A5A07" w14:paraId="7CF76A03" w14:textId="77777777">
        <w:tc>
          <w:tcPr>
            <w:tcW w:w="0" w:type="auto"/>
          </w:tcPr>
          <w:p w14:paraId="272A6C17"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lastRenderedPageBreak/>
              <w:t>ρj</w:t>
            </w:r>
            <w:r w:rsidRPr="00046FB5">
              <w:rPr>
                <w:rFonts w:ascii="Times New Roman" w:hAnsi="Times New Roman" w:cs="Times New Roman"/>
                <w:color w:val="000000" w:themeColor="text1"/>
                <w:vertAlign w:val="subscript"/>
              </w:rPr>
              <w:t>k</w:t>
            </w:r>
            <w:proofErr w:type="spellEnd"/>
          </w:p>
        </w:tc>
        <w:tc>
          <w:tcPr>
            <w:tcW w:w="0" w:type="auto"/>
          </w:tcPr>
          <w:p w14:paraId="21816B20"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Working correlation between sites j and k</w:t>
            </w:r>
          </w:p>
        </w:tc>
      </w:tr>
      <w:tr w:rsidR="009A5A07" w:rsidRPr="009A5A07" w14:paraId="5C5D1238" w14:textId="77777777">
        <w:tc>
          <w:tcPr>
            <w:tcW w:w="0" w:type="auto"/>
          </w:tcPr>
          <w:p w14:paraId="3AAAE88E"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R</w:t>
            </w:r>
            <w:r w:rsidRPr="00046FB5">
              <w:rPr>
                <w:rFonts w:ascii="Times New Roman" w:hAnsi="Times New Roman" w:cs="Times New Roman"/>
                <w:color w:val="000000" w:themeColor="text1"/>
                <w:vertAlign w:val="subscript"/>
              </w:rPr>
              <w:t>i</w:t>
            </w:r>
          </w:p>
        </w:tc>
        <w:tc>
          <w:tcPr>
            <w:tcW w:w="0" w:type="auto"/>
          </w:tcPr>
          <w:p w14:paraId="49A865FA"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Working correlation matrix for cluster i</w:t>
            </w:r>
          </w:p>
        </w:tc>
      </w:tr>
      <w:tr w:rsidR="009A5A07" w:rsidRPr="009A5A07" w14:paraId="707688B6" w14:textId="77777777">
        <w:tc>
          <w:tcPr>
            <w:tcW w:w="0" w:type="auto"/>
          </w:tcPr>
          <w:p w14:paraId="7990C57B"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Σ</w:t>
            </w:r>
            <w:r w:rsidRPr="00046FB5">
              <w:rPr>
                <w:rFonts w:ascii="Times New Roman" w:hAnsi="Times New Roman" w:cs="Times New Roman"/>
                <w:color w:val="000000" w:themeColor="text1"/>
                <w:vertAlign w:val="subscript"/>
              </w:rPr>
              <w:t>i</w:t>
            </w:r>
            <w:proofErr w:type="spellEnd"/>
          </w:p>
        </w:tc>
        <w:tc>
          <w:tcPr>
            <w:tcW w:w="0" w:type="auto"/>
          </w:tcPr>
          <w:p w14:paraId="41F50967"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Working covariance matrix for cluster i</w:t>
            </w:r>
          </w:p>
        </w:tc>
      </w:tr>
      <w:tr w:rsidR="009A5A07" w:rsidRPr="009A5A07" w14:paraId="0BF863E3" w14:textId="77777777">
        <w:tc>
          <w:tcPr>
            <w:tcW w:w="0" w:type="auto"/>
          </w:tcPr>
          <w:p w14:paraId="0E679539" w14:textId="77777777" w:rsidR="00784DA7" w:rsidRPr="009A5A07" w:rsidRDefault="00000000">
            <w:pPr>
              <w:pStyle w:val="Compact"/>
              <w:rPr>
                <w:rFonts w:ascii="Times New Roman" w:hAnsi="Times New Roman" w:cs="Times New Roman"/>
                <w:color w:val="000000" w:themeColor="text1"/>
              </w:rPr>
            </w:pPr>
            <w:proofErr w:type="spellStart"/>
            <w:r w:rsidRPr="009A5A07">
              <w:rPr>
                <w:rFonts w:ascii="Times New Roman" w:hAnsi="Times New Roman" w:cs="Times New Roman"/>
                <w:color w:val="000000" w:themeColor="text1"/>
              </w:rPr>
              <w:t>q</w:t>
            </w:r>
            <w:r w:rsidRPr="00046FB5">
              <w:rPr>
                <w:rFonts w:ascii="Times New Roman" w:hAnsi="Times New Roman" w:cs="Times New Roman"/>
                <w:color w:val="000000" w:themeColor="text1"/>
                <w:vertAlign w:val="subscript"/>
              </w:rPr>
              <w:t>ij</w:t>
            </w:r>
            <w:proofErr w:type="spellEnd"/>
          </w:p>
        </w:tc>
        <w:tc>
          <w:tcPr>
            <w:tcW w:w="0" w:type="auto"/>
          </w:tcPr>
          <w:p w14:paraId="36D45CC9" w14:textId="77777777" w:rsidR="00784DA7" w:rsidRPr="009A5A07" w:rsidRDefault="00000000">
            <w:pPr>
              <w:pStyle w:val="Compact"/>
              <w:rPr>
                <w:rFonts w:ascii="Times New Roman" w:hAnsi="Times New Roman" w:cs="Times New Roman"/>
                <w:color w:val="000000" w:themeColor="text1"/>
              </w:rPr>
            </w:pPr>
            <w:r w:rsidRPr="009A5A07">
              <w:rPr>
                <w:rFonts w:ascii="Times New Roman" w:hAnsi="Times New Roman" w:cs="Times New Roman"/>
                <w:color w:val="000000" w:themeColor="text1"/>
              </w:rPr>
              <w:t>Posterior predictive mean for a masked or missing site</w:t>
            </w:r>
          </w:p>
        </w:tc>
      </w:tr>
    </w:tbl>
    <w:p w14:paraId="531CBF46" w14:textId="77777777" w:rsidR="00784DA7" w:rsidRPr="009A5A07" w:rsidRDefault="00000000">
      <w:pPr>
        <w:pStyle w:val="2"/>
        <w:rPr>
          <w:rFonts w:ascii="Times New Roman" w:hAnsi="Times New Roman" w:cs="Times New Roman"/>
          <w:color w:val="000000" w:themeColor="text1"/>
          <w:sz w:val="24"/>
          <w:szCs w:val="24"/>
        </w:rPr>
      </w:pPr>
      <w:bookmarkStart w:id="3" w:name="s2.-marginal-mean-model"/>
      <w:bookmarkEnd w:id="2"/>
      <w:r w:rsidRPr="009A5A07">
        <w:rPr>
          <w:rFonts w:ascii="Times New Roman" w:hAnsi="Times New Roman" w:cs="Times New Roman"/>
          <w:color w:val="000000" w:themeColor="text1"/>
          <w:sz w:val="24"/>
          <w:szCs w:val="24"/>
        </w:rPr>
        <w:t>S2. Marginal mean model</w:t>
      </w:r>
    </w:p>
    <w:p w14:paraId="10E2C908"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CLF framework begins with a marginal logistic model for the binary site-level outcome. This model has a population-averaged interpretation and is fitted using observed sites:</w:t>
      </w:r>
    </w:p>
    <w:p w14:paraId="67470142"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ij</m:t>
                  </m:r>
                </m:sub>
              </m:sSub>
            </m:e>
          </m:d>
          <m:r>
            <m:rPr>
              <m:sty m:val="p"/>
            </m:rPr>
            <w:rPr>
              <w:rFonts w:ascii="Cambria Math" w:hAnsi="Cambria Math" w:cs="Times New Roman"/>
              <w:color w:val="000000" w:themeColor="text1"/>
            </w:rPr>
            <m:t>,</m:t>
          </m:r>
        </m:oMath>
      </m:oMathPara>
    </w:p>
    <w:p w14:paraId="2A083A83" w14:textId="77CDDB04" w:rsidR="00784DA7" w:rsidRPr="009A5A07" w:rsidRDefault="00045766">
      <w:pPr>
        <w:pStyle w:val="FirstParagraph"/>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 xml:space="preserve">                  logit</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ij</m:t>
                  </m:r>
                </m:sub>
              </m:sSub>
            </m:e>
          </m:d>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w:rPr>
                  <w:rFonts w:ascii="Cambria Math" w:hAnsi="Cambria Math" w:cs="Times New Roman"/>
                  <w:color w:val="000000" w:themeColor="text1"/>
                </w:rPr>
                <m:t>ij</m:t>
              </m:r>
            </m:sub>
            <m:sup>
              <m:r>
                <w:rPr>
                  <w:rFonts w:ascii="Cambria Math" w:hAnsi="Cambria Math" w:cs="Times New Roman"/>
                  <w:color w:val="000000" w:themeColor="text1"/>
                </w:rPr>
                <m:t>T</m:t>
              </m:r>
            </m:sup>
          </m:sSubSup>
          <m:r>
            <w:rPr>
              <w:rFonts w:ascii="Cambria Math" w:hAnsi="Cambria Math" w:cs="Times New Roman"/>
              <w:color w:val="000000" w:themeColor="text1"/>
            </w:rPr>
            <m:t>β</m:t>
          </m:r>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m:t>
              </m:r>
            </m:e>
          </m:d>
        </m:oMath>
      </m:oMathPara>
    </w:p>
    <w:p w14:paraId="18B97EE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fitted value from this mean model represents the estimated marginal probability of disease at site j in patient-visit cluster i. The same mean-model predictor set was used across CLF and comparator methods so that method comparisons depended on the imputation strategy rather than on different covariate information.</w:t>
      </w:r>
    </w:p>
    <w:p w14:paraId="1F45DFB9" w14:textId="77777777" w:rsidR="00784DA7" w:rsidRPr="009A5A07" w:rsidRDefault="00000000">
      <w:pPr>
        <w:pStyle w:val="2"/>
        <w:rPr>
          <w:rFonts w:ascii="Times New Roman" w:hAnsi="Times New Roman" w:cs="Times New Roman"/>
          <w:color w:val="000000" w:themeColor="text1"/>
          <w:sz w:val="24"/>
          <w:szCs w:val="24"/>
        </w:rPr>
      </w:pPr>
      <w:bookmarkStart w:id="4" w:name="X2824b38ea2fdf6345d5ed74ce9dab15edc818d6"/>
      <w:bookmarkEnd w:id="3"/>
      <w:r w:rsidRPr="009A5A07">
        <w:rPr>
          <w:rFonts w:ascii="Times New Roman" w:hAnsi="Times New Roman" w:cs="Times New Roman"/>
          <w:color w:val="000000" w:themeColor="text1"/>
          <w:sz w:val="24"/>
          <w:szCs w:val="24"/>
        </w:rPr>
        <w:t>S3. Working correlation model within each patient-visit cluster</w:t>
      </w:r>
    </w:p>
    <w:p w14:paraId="56A48F74"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Periodontal sites within the same examination are correlated because they share anatomy and local disease processes. Instead of fitting high-dimensional random effects for up to 192 sites, CLF uses a structured working correlation model based on anatomical proximity. After fitting the marginal mean model, Pearson-type residuals are computed among observed sites:</w:t>
      </w:r>
    </w:p>
    <w:p w14:paraId="0220276A"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μ</m:t>
                      </m:r>
                    </m:e>
                  </m:acc>
                </m:e>
                <m:sub>
                  <m:r>
                    <w:rPr>
                      <w:rFonts w:ascii="Cambria Math" w:hAnsi="Cambria Math" w:cs="Times New Roman"/>
                      <w:color w:val="000000" w:themeColor="text1"/>
                    </w:rPr>
                    <m:t>ij</m:t>
                  </m:r>
                </m:sub>
              </m:sSub>
            </m:num>
            <m:den>
              <m:rad>
                <m:radPr>
                  <m:degHide m:val="1"/>
                  <m:ctrlPr>
                    <w:rPr>
                      <w:rFonts w:ascii="Cambria Math" w:hAnsi="Cambria Math" w:cs="Times New Roman"/>
                      <w:color w:val="000000" w:themeColor="text1"/>
                    </w:rPr>
                  </m:ctrlPr>
                </m:radPr>
                <m:deg/>
                <m:e>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μ</m:t>
                          </m:r>
                        </m:e>
                      </m:acc>
                    </m:e>
                    <m:sub>
                      <m:r>
                        <w:rPr>
                          <w:rFonts w:ascii="Cambria Math" w:hAnsi="Cambria Math" w:cs="Times New Roman"/>
                          <w:color w:val="000000" w:themeColor="text1"/>
                        </w:rPr>
                        <m:t>ij</m:t>
                      </m:r>
                    </m:sub>
                  </m:sSub>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μ</m:t>
                              </m:r>
                            </m:e>
                          </m:acc>
                        </m:e>
                        <m:sub>
                          <m:r>
                            <w:rPr>
                              <w:rFonts w:ascii="Cambria Math" w:hAnsi="Cambria Math" w:cs="Times New Roman"/>
                              <w:color w:val="000000" w:themeColor="text1"/>
                            </w:rPr>
                            <m:t>ij</m:t>
                          </m:r>
                        </m:sub>
                      </m:sSub>
                    </m:e>
                  </m:d>
                </m:e>
              </m:rad>
            </m:den>
          </m:f>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S2</m:t>
              </m:r>
            </m:e>
          </m:d>
        </m:oMath>
      </m:oMathPara>
    </w:p>
    <w:p w14:paraId="2694D1EB"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For any pair of observed sites j and k in the same patient-visit cluster, the working correlation is modelled as a function of anatomical indicators:</w:t>
      </w:r>
    </w:p>
    <w:p w14:paraId="3645F7FF"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jk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1</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jk</m:t>
              </m:r>
            </m:sub>
            <m:sup>
              <m:r>
                <m:rPr>
                  <m:sty m:val="p"/>
                </m:rPr>
                <w:rPr>
                  <w:rFonts w:ascii="Cambria Math" w:hAnsi="Cambria Math" w:cs="Times New Roman"/>
                  <w:color w:val="000000" w:themeColor="text1"/>
                </w:rPr>
                <m:t>tooth</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2</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jk</m:t>
              </m:r>
            </m:sub>
            <m:sup>
              <m:r>
                <m:rPr>
                  <m:sty m:val="p"/>
                </m:rPr>
                <w:rPr>
                  <w:rFonts w:ascii="Cambria Math" w:hAnsi="Cambria Math" w:cs="Times New Roman"/>
                  <w:color w:val="000000" w:themeColor="text1"/>
                </w:rPr>
                <m:t>adjacent</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3</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jk</m:t>
              </m:r>
            </m:sub>
            <m:sup>
              <m:r>
                <m:rPr>
                  <m:sty m:val="p"/>
                </m:rPr>
                <w:rPr>
                  <w:rFonts w:ascii="Cambria Math" w:hAnsi="Cambria Math" w:cs="Times New Roman"/>
                  <w:color w:val="000000" w:themeColor="text1"/>
                </w:rPr>
                <m:t>quadrant</m:t>
              </m:r>
            </m:sup>
          </m:sSubSup>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S3</m:t>
              </m:r>
            </m:e>
          </m:d>
        </m:oMath>
      </m:oMathPara>
    </w:p>
    <w:p w14:paraId="3547B107" w14:textId="50A667F9"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 xml:space="preserve">where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jk</m:t>
            </m:r>
          </m:sub>
          <m:sup>
            <m:r>
              <m:rPr>
                <m:sty m:val="p"/>
              </m:rPr>
              <w:rPr>
                <w:rFonts w:ascii="Cambria Math" w:hAnsi="Cambria Math" w:cs="Times New Roman"/>
                <w:color w:val="000000" w:themeColor="text1"/>
              </w:rPr>
              <m:t>tooth</m:t>
            </m:r>
          </m:sup>
        </m:sSubSup>
      </m:oMath>
      <w:r w:rsidRPr="009A5A07">
        <w:rPr>
          <w:rFonts w:ascii="Times New Roman" w:hAnsi="Times New Roman" w:cs="Times New Roman"/>
          <w:color w:val="000000" w:themeColor="text1"/>
        </w:rPr>
        <w:t xml:space="preserv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jk</m:t>
            </m:r>
          </m:sub>
          <m:sup>
            <m:r>
              <m:rPr>
                <m:sty m:val="p"/>
              </m:rPr>
              <w:rPr>
                <w:rFonts w:ascii="Cambria Math" w:hAnsi="Cambria Math" w:cs="Times New Roman"/>
                <w:color w:val="000000" w:themeColor="text1"/>
              </w:rPr>
              <m:t>adjacent</m:t>
            </m:r>
          </m:sup>
        </m:sSubSup>
      </m:oMath>
      <w:r w:rsidRPr="009A5A07">
        <w:rPr>
          <w:rFonts w:ascii="Times New Roman" w:hAnsi="Times New Roman" w:cs="Times New Roman"/>
          <w:color w:val="000000" w:themeColor="text1"/>
        </w:rPr>
        <w:t xml:space="preserve">, and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jk</m:t>
            </m:r>
          </m:sub>
          <m:sup>
            <m:r>
              <m:rPr>
                <m:sty m:val="p"/>
              </m:rPr>
              <w:rPr>
                <w:rFonts w:ascii="Cambria Math" w:hAnsi="Cambria Math" w:cs="Times New Roman"/>
                <w:color w:val="000000" w:themeColor="text1"/>
              </w:rPr>
              <m:t>quadrant</m:t>
            </m:r>
          </m:sup>
        </m:sSubSup>
      </m:oMath>
      <w:r w:rsidRPr="009A5A07">
        <w:rPr>
          <w:rFonts w:ascii="Times New Roman" w:hAnsi="Times New Roman" w:cs="Times New Roman"/>
          <w:color w:val="000000" w:themeColor="text1"/>
        </w:rPr>
        <w:t xml:space="preserve"> indicate whether two sites are on the same tooth, adjacent sites, or in the same quadrant. The α parameters are estimated by regressing pairwise products of standardized residuals,</w:t>
      </w:r>
    </w:p>
    <w:p w14:paraId="1A5F26A6"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ij</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ik</m:t>
              </m:r>
            </m:sub>
          </m:sSub>
          <m:r>
            <m:rPr>
              <m:sty m:val="p"/>
            </m:rPr>
            <w:rPr>
              <w:rFonts w:ascii="Cambria Math" w:hAnsi="Cambria Math" w:cs="Times New Roman"/>
              <w:color w:val="000000" w:themeColor="text1"/>
            </w:rPr>
            <m:t>,</m:t>
          </m:r>
        </m:oMath>
      </m:oMathPara>
    </w:p>
    <w:p w14:paraId="4F5A5E42"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on the anatomical indicators. The fitted pairwise correlations are used to construct the within-cluster working correlation matrix</w:t>
      </w:r>
    </w:p>
    <w:p w14:paraId="58DEED68"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jk</m:t>
                      </m:r>
                    </m:sub>
                  </m:sSub>
                </m:e>
              </m:d>
            </m:e>
            <m:sub>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sub>
          </m:sSub>
          <m:r>
            <m:rPr>
              <m:sty m:val="p"/>
            </m:rPr>
            <w:rPr>
              <w:rFonts w:ascii="Cambria Math" w:hAnsi="Cambria Math" w:cs="Times New Roman"/>
              <w:color w:val="000000" w:themeColor="text1"/>
            </w:rPr>
            <m:t>.</m:t>
          </m:r>
        </m:oMath>
      </m:oMathPara>
    </w:p>
    <w:p w14:paraId="7B468A0A"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lastRenderedPageBreak/>
        <w:t>The model is intentionally parsimonious: it captures the main spatial dependence patterns while remaining computationally feasible for high-dimensional full-mouth charting data.</w:t>
      </w:r>
    </w:p>
    <w:p w14:paraId="5C2AAAFA" w14:textId="77777777" w:rsidR="00784DA7" w:rsidRPr="009A5A07" w:rsidRDefault="00000000">
      <w:pPr>
        <w:pStyle w:val="2"/>
        <w:rPr>
          <w:rFonts w:ascii="Times New Roman" w:hAnsi="Times New Roman" w:cs="Times New Roman"/>
          <w:color w:val="000000" w:themeColor="text1"/>
          <w:sz w:val="24"/>
          <w:szCs w:val="24"/>
        </w:rPr>
      </w:pPr>
      <w:bookmarkStart w:id="5" w:name="Xea212216f30efd571a00257770c500801116378"/>
      <w:bookmarkEnd w:id="4"/>
      <w:r w:rsidRPr="009A5A07">
        <w:rPr>
          <w:rFonts w:ascii="Times New Roman" w:hAnsi="Times New Roman" w:cs="Times New Roman"/>
          <w:color w:val="000000" w:themeColor="text1"/>
          <w:sz w:val="24"/>
          <w:szCs w:val="24"/>
        </w:rPr>
        <w:t>S4. Bernoulli covariance construction and feasibility checks</w:t>
      </w:r>
    </w:p>
    <w:p w14:paraId="6BEE10B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For Bernoulli outcomes, the working covariance between two sites must respect both the marginal probabilities and the feasible range of binary correlations. Given μj, μk, and ρjk within a cluster, the off-diagonal covariance element is</w:t>
      </w:r>
    </w:p>
    <w:p w14:paraId="2703F26E"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jk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jk</m:t>
              </m:r>
            </m:sub>
          </m:sSub>
          <m:rad>
            <m:radPr>
              <m:degHide m:val="1"/>
              <m:ctrlPr>
                <w:rPr>
                  <w:rFonts w:ascii="Cambria Math" w:hAnsi="Cambria Math" w:cs="Times New Roman"/>
                  <w:color w:val="000000" w:themeColor="text1"/>
                </w:rPr>
              </m:ctrlPr>
            </m:radPr>
            <m:deg/>
            <m:e>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e>
              </m:d>
            </m:e>
          </m:rad>
          <m:r>
            <m:rPr>
              <m:sty m:val="p"/>
            </m:rPr>
            <w:rPr>
              <w:rFonts w:ascii="Cambria Math" w:hAnsi="Cambria Math" w:cs="Times New Roman"/>
              <w:color w:val="000000" w:themeColor="text1"/>
            </w:rPr>
            <m:t>,</m:t>
          </m:r>
          <m:r>
            <w:rPr>
              <w:rFonts w:ascii="Cambria Math" w:hAnsi="Cambria Math" w:cs="Times New Roman"/>
              <w:color w:val="000000" w:themeColor="text1"/>
            </w:rPr>
            <m:t>  j</m:t>
          </m:r>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S4</m:t>
              </m:r>
            </m:e>
          </m:d>
        </m:oMath>
      </m:oMathPara>
    </w:p>
    <w:p w14:paraId="5D783768"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diagonal element is the Bernoulli variance:</w:t>
      </w:r>
    </w:p>
    <w:p w14:paraId="67F27BA0"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jj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S5</m:t>
              </m:r>
            </m:e>
          </m:d>
        </m:oMath>
      </m:oMathPara>
    </w:p>
    <w:p w14:paraId="5C7DAA1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Pairwise correlations were required to satisfy the Fréchet bounds for Bernoulli variables with marginal probabilities μj and μk:</w:t>
      </w:r>
    </w:p>
    <w:p w14:paraId="5BF28BE5"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max</m:t>
          </m:r>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num>
                    <m:den>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e>
                      </m:d>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e>
                      </m:d>
                    </m:den>
                  </m:f>
                </m:e>
              </m:rad>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e>
                      </m:d>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e>
                      </m:d>
                    </m:num>
                    <m:den>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den>
                  </m:f>
                </m:e>
              </m:rad>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jk</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S6a</m:t>
              </m:r>
            </m:e>
          </m:d>
        </m:oMath>
      </m:oMathPara>
    </w:p>
    <w:p w14:paraId="02EDA6BD" w14:textId="77777777" w:rsidR="00784DA7" w:rsidRPr="009A5A07" w:rsidRDefault="00000000">
      <w:pPr>
        <w:pStyle w:val="FirstParagrap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jk</m:t>
              </m:r>
            </m:sub>
          </m:sSub>
          <m:r>
            <m:rPr>
              <m:sty m:val="p"/>
            </m:rPr>
            <w:rPr>
              <w:rFonts w:ascii="Cambria Math" w:hAnsi="Cambria Math" w:cs="Times New Roman"/>
              <w:color w:val="000000" w:themeColor="text1"/>
            </w:rPr>
            <m:t>≤min</m:t>
          </m:r>
          <m:d>
            <m:dPr>
              <m:begChr m:val="{"/>
              <m:endChr m:val="}"/>
              <m:ctrlPr>
                <w:rPr>
                  <w:rFonts w:ascii="Cambria Math" w:hAnsi="Cambria Math" w:cs="Times New Roman"/>
                  <w:color w:val="000000" w:themeColor="text1"/>
                </w:rPr>
              </m:ctrlPr>
            </m:dPr>
            <m:e>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e>
                      </m:d>
                    </m:num>
                    <m:den>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den>
                  </m:f>
                </m:e>
              </m:rad>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e>
                      </m:d>
                    </m:num>
                    <m:den>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den>
                  </m:f>
                </m:e>
              </m:rad>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S6b</m:t>
              </m:r>
            </m:e>
          </m:d>
        </m:oMath>
      </m:oMathPara>
    </w:p>
    <w:p w14:paraId="72224C44"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resulting covariance matrix was also required to be positive definite:</w:t>
      </w:r>
    </w:p>
    <w:p w14:paraId="28D4C1F8"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oMath>
      </m:oMathPara>
    </w:p>
    <w:p w14:paraId="05221BD7"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If a sampled parameter set produced infeasible correlations or a non-positive-definite matrix, the parameters were redrawn up to a fixed number of attempts. These checks prevent conditional probabilities outside the unit interval and help stabilize sequential imputation.</w:t>
      </w:r>
    </w:p>
    <w:p w14:paraId="0892CB4B" w14:textId="77777777" w:rsidR="00784DA7" w:rsidRPr="009A5A07" w:rsidRDefault="00000000">
      <w:pPr>
        <w:pStyle w:val="2"/>
        <w:rPr>
          <w:rFonts w:ascii="Times New Roman" w:hAnsi="Times New Roman" w:cs="Times New Roman"/>
          <w:color w:val="000000" w:themeColor="text1"/>
          <w:sz w:val="24"/>
          <w:szCs w:val="24"/>
        </w:rPr>
      </w:pPr>
      <w:bookmarkStart w:id="6" w:name="Xdf5aa8703b58c747ea3160945c011b8b822ea0d"/>
      <w:bookmarkEnd w:id="5"/>
      <w:r w:rsidRPr="009A5A07">
        <w:rPr>
          <w:rFonts w:ascii="Times New Roman" w:hAnsi="Times New Roman" w:cs="Times New Roman"/>
          <w:color w:val="000000" w:themeColor="text1"/>
          <w:sz w:val="24"/>
          <w:szCs w:val="24"/>
        </w:rPr>
        <w:t>S5. Sequential conditional regression representation</w:t>
      </w:r>
    </w:p>
    <w:p w14:paraId="028DBAF7"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Directly modelling the full joint distribution for up to 192 correlated binary variables is computationally difficult. CLF therefore uses a sequential conditional regression representation implied by the working covariance matrix. Sites are ordered so that observed sites precede missing sites. For site j, let Y&lt;j denote the outcomes at previously ordered sites, and let Σ</w:t>
      </w:r>
      <w:r w:rsidRPr="00B87152">
        <w:rPr>
          <w:rFonts w:ascii="Times New Roman" w:hAnsi="Times New Roman" w:cs="Times New Roman"/>
          <w:color w:val="000000" w:themeColor="text1"/>
          <w:vertAlign w:val="subscript"/>
        </w:rPr>
        <w:t>&lt;j,&lt;j</w:t>
      </w:r>
      <w:r w:rsidRPr="009A5A07">
        <w:rPr>
          <w:rFonts w:ascii="Times New Roman" w:hAnsi="Times New Roman" w:cs="Times New Roman"/>
          <w:color w:val="000000" w:themeColor="text1"/>
        </w:rPr>
        <w:t xml:space="preserve"> and Σ</w:t>
      </w:r>
      <w:r w:rsidRPr="00B87152">
        <w:rPr>
          <w:rFonts w:ascii="Times New Roman" w:hAnsi="Times New Roman" w:cs="Times New Roman"/>
          <w:color w:val="000000" w:themeColor="text1"/>
          <w:vertAlign w:val="subscript"/>
        </w:rPr>
        <w:t>&lt;j,j</w:t>
      </w:r>
      <w:r w:rsidRPr="009A5A07">
        <w:rPr>
          <w:rFonts w:ascii="Times New Roman" w:hAnsi="Times New Roman" w:cs="Times New Roman"/>
          <w:color w:val="000000" w:themeColor="text1"/>
        </w:rPr>
        <w:t xml:space="preserve"> denote the corresponding submatrices of the working covariance matrix.</w:t>
      </w:r>
    </w:p>
    <w:p w14:paraId="124A4A7C"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The regression coefficients for predicting site j from previous sites are</w:t>
      </w:r>
    </w:p>
    <w:p w14:paraId="471825BB"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m:rPr>
                  <m:sty m:val="p"/>
                </m:rPr>
                <w:rPr>
                  <w:rFonts w:ascii="Cambria Math" w:hAnsi="Cambria Math" w:cs="Times New Roman"/>
                  <w:color w:val="000000" w:themeColor="text1"/>
                </w:rPr>
                <m:t>&lt;</m:t>
              </m:r>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Σ</m:t>
              </m:r>
            </m:e>
            <m:sub>
              <m:r>
                <m:rPr>
                  <m:sty m:val="p"/>
                </m:rPr>
                <w:rPr>
                  <w:rFonts w:ascii="Cambria Math" w:hAnsi="Cambria Math" w:cs="Times New Roman"/>
                  <w:color w:val="000000" w:themeColor="text1"/>
                </w:rPr>
                <m:t>&lt;</m:t>
              </m:r>
              <m:r>
                <w:rPr>
                  <w:rFonts w:ascii="Cambria Math" w:hAnsi="Cambria Math" w:cs="Times New Roman"/>
                  <w:color w:val="000000" w:themeColor="text1"/>
                </w:rPr>
                <m:t>j</m:t>
              </m:r>
              <m:r>
                <m:rPr>
                  <m:sty m:val="p"/>
                </m:rPr>
                <w:rPr>
                  <w:rFonts w:ascii="Cambria Math" w:hAnsi="Cambria Math" w:cs="Times New Roman"/>
                  <w:color w:val="000000" w:themeColor="text1"/>
                </w:rPr>
                <m:t>,&lt;</m:t>
              </m:r>
              <m:r>
                <w:rPr>
                  <w:rFonts w:ascii="Cambria Math" w:hAnsi="Cambria Math" w:cs="Times New Roman"/>
                  <w:color w:val="000000" w:themeColor="text1"/>
                </w:rPr>
                <m:t>j</m:t>
              </m:r>
            </m:sub>
            <m:sup>
              <m:r>
                <m:rPr>
                  <m:sty m:val="p"/>
                </m:rPr>
                <w:rPr>
                  <w:rFonts w:ascii="Cambria Math" w:hAnsi="Cambria Math" w:cs="Times New Roman"/>
                  <w:color w:val="000000" w:themeColor="text1"/>
                </w:rPr>
                <m:t>-</m:t>
              </m:r>
              <m:r>
                <w:rPr>
                  <w:rFonts w:ascii="Cambria Math" w:hAnsi="Cambria Math" w:cs="Times New Roman"/>
                  <w:color w:val="000000" w:themeColor="text1"/>
                </w:rPr>
                <m:t>1</m:t>
              </m:r>
            </m:sup>
          </m:sSubSup>
          <m:sSub>
            <m:sSubPr>
              <m:ctrlPr>
                <w:rPr>
                  <w:rFonts w:ascii="Cambria Math" w:hAnsi="Cambria Math" w:cs="Times New Roman"/>
                  <w:color w:val="000000" w:themeColor="text1"/>
                </w:rPr>
              </m:ctrlPr>
            </m:sSubPr>
            <m:e>
              <m:r>
                <w:rPr>
                  <w:rFonts w:ascii="Cambria Math" w:hAnsi="Cambria Math" w:cs="Times New Roman"/>
                  <w:color w:val="000000" w:themeColor="text1"/>
                </w:rPr>
                <m:t>Σ</m:t>
              </m:r>
            </m:e>
            <m:sub>
              <m:r>
                <m:rPr>
                  <m:sty m:val="p"/>
                </m:rPr>
                <w:rPr>
                  <w:rFonts w:ascii="Cambria Math" w:hAnsi="Cambria Math" w:cs="Times New Roman"/>
                  <w:color w:val="000000" w:themeColor="text1"/>
                </w:rPr>
                <m:t>&lt;</m:t>
              </m:r>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S7</m:t>
              </m:r>
            </m:e>
          </m:d>
        </m:oMath>
      </m:oMathPara>
    </w:p>
    <w:p w14:paraId="046C47A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conditional mean used for imputing a missing site is then</w:t>
      </w:r>
    </w:p>
    <w:p w14:paraId="4904DD61"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E</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m:rPr>
                      <m:sty m:val="p"/>
                    </m:rPr>
                    <w:rPr>
                      <w:rFonts w:ascii="Cambria Math" w:hAnsi="Cambria Math" w:cs="Times New Roman"/>
                      <w:color w:val="000000" w:themeColor="text1"/>
                    </w:rPr>
                    <m:t>&lt;</m:t>
                  </m:r>
                  <m:r>
                    <w:rPr>
                      <w:rFonts w:ascii="Cambria Math" w:hAnsi="Cambria Math" w:cs="Times New Roman"/>
                      <w:color w:val="000000" w:themeColor="text1"/>
                    </w:rPr>
                    <m:t>j</m:t>
                  </m:r>
                </m:sub>
              </m:sSub>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k</m:t>
              </m:r>
              <m:r>
                <m:rPr>
                  <m:sty m:val="p"/>
                </m:rPr>
                <w:rPr>
                  <w:rFonts w:ascii="Cambria Math" w:hAnsi="Cambria Math" w:cs="Times New Roman"/>
                  <w:color w:val="000000" w:themeColor="text1"/>
                </w:rPr>
                <m:t>&lt;</m:t>
              </m:r>
              <m:r>
                <w:rPr>
                  <w:rFonts w:ascii="Cambria Math" w:hAnsi="Cambria Math" w:cs="Times New Roman"/>
                  <w:color w:val="000000" w:themeColor="text1"/>
                </w:rPr>
                <m:t>j</m:t>
              </m:r>
            </m:sub>
            <m:sup>
              <m:r>
                <w:rPr>
                  <w:rFonts w:ascii="Cambria Math" w:hAnsi="Cambria Math" w:cs="Times New Roman"/>
                  <w:color w:val="000000" w:themeColor="text1"/>
                </w:rPr>
                <m:t>​</m:t>
              </m:r>
            </m:sup>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k</m:t>
                      </m:r>
                    </m:sub>
                  </m:sSub>
                </m:e>
              </m:d>
            </m:e>
          </m:nary>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S8</m:t>
              </m:r>
            </m:e>
          </m:d>
        </m:oMath>
      </m:oMathPara>
    </w:p>
    <w:p w14:paraId="5AADAFAC"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Because the approximation is based on a working covariance model, p</w:t>
      </w:r>
      <w:r w:rsidRPr="00600243">
        <w:rPr>
          <w:rFonts w:ascii="Times New Roman" w:hAnsi="Times New Roman" w:cs="Times New Roman"/>
          <w:color w:val="000000" w:themeColor="text1"/>
          <w:vertAlign w:val="subscript"/>
        </w:rPr>
        <w:t>j</w:t>
      </w:r>
      <w:r w:rsidRPr="009A5A07">
        <w:rPr>
          <w:rFonts w:ascii="Times New Roman" w:hAnsi="Times New Roman" w:cs="Times New Roman"/>
          <w:color w:val="000000" w:themeColor="text1"/>
        </w:rPr>
        <w:t xml:space="preserve"> is bounded before drawing the binary imputed value:</w:t>
      </w:r>
    </w:p>
    <w:p w14:paraId="543946BB" w14:textId="77777777" w:rsidR="00784DA7" w:rsidRPr="009A5A07" w:rsidRDefault="00000000">
      <w:pPr>
        <w:pStyle w:val="a0"/>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=min{</m:t>
          </m:r>
          <m:r>
            <w:rPr>
              <w:rFonts w:ascii="Cambria Math" w:hAnsi="Cambria Math" w:cs="Times New Roman"/>
              <w:color w:val="000000" w:themeColor="text1"/>
            </w:rPr>
            <m:t>1</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6</m:t>
              </m:r>
            </m:sup>
          </m:sSup>
          <m:r>
            <m:rPr>
              <m:sty m:val="p"/>
            </m:rPr>
            <w:rPr>
              <w:rFonts w:ascii="Cambria Math" w:hAnsi="Cambria Math" w:cs="Times New Roman"/>
              <w:color w:val="000000" w:themeColor="text1"/>
            </w:rPr>
            <m:t>,max</m:t>
          </m:r>
          <m:d>
            <m:dPr>
              <m:ctrlPr>
                <w:rPr>
                  <w:rFonts w:ascii="Cambria Math" w:hAnsi="Cambria Math" w:cs="Times New Roman"/>
                  <w:color w:val="000000" w:themeColor="text1"/>
                </w:rPr>
              </m:ctrlPr>
            </m:dPr>
            <m:e>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6</m:t>
                  </m:r>
                </m:sup>
              </m:s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j</m:t>
                  </m:r>
                </m:sub>
              </m:sSub>
            </m:e>
          </m:d>
          <m:r>
            <m:rPr>
              <m:sty m:val="p"/>
            </m:rPr>
            <w:rPr>
              <w:rFonts w:ascii="Cambria Math" w:hAnsi="Cambria Math" w:cs="Times New Roman"/>
              <w:color w:val="000000" w:themeColor="text1"/>
            </w:rPr>
            <m:t>},</m:t>
          </m:r>
        </m:oMath>
      </m:oMathPara>
    </w:p>
    <w:p w14:paraId="345B4754" w14:textId="77777777" w:rsidR="00784DA7" w:rsidRPr="009A5A07" w:rsidRDefault="00000000">
      <w:pPr>
        <w:pStyle w:val="FirstParagrap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imp</m:t>
              </m:r>
            </m:sup>
          </m:sSubSup>
          <m:r>
            <m:rPr>
              <m:sty m:val="p"/>
            </m:rPr>
            <w:rPr>
              <w:rFonts w:ascii="Cambria Math" w:hAnsi="Cambria Math" w:cs="Times New Roman"/>
              <w:color w:val="000000" w:themeColor="text1"/>
            </w:rPr>
            <m:t>∼Bernoulli</m:t>
          </m:r>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S9</m:t>
              </m:r>
            </m:e>
          </m:d>
        </m:oMath>
      </m:oMathPara>
    </w:p>
    <w:p w14:paraId="2CCC41BA"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This sequential representation preserves the main within-examination dependence structure while avoiding the computational burden of explicitly enumerating a 192-dimensional binary distribution.</w:t>
      </w:r>
    </w:p>
    <w:p w14:paraId="330238BD" w14:textId="77777777" w:rsidR="00784DA7" w:rsidRPr="009A5A07" w:rsidRDefault="00000000">
      <w:pPr>
        <w:pStyle w:val="2"/>
        <w:rPr>
          <w:rFonts w:ascii="Times New Roman" w:hAnsi="Times New Roman" w:cs="Times New Roman"/>
          <w:color w:val="000000" w:themeColor="text1"/>
          <w:sz w:val="24"/>
          <w:szCs w:val="24"/>
        </w:rPr>
      </w:pPr>
      <w:bookmarkStart w:id="7" w:name="s6.-multiple-imputation-algorithm"/>
      <w:bookmarkEnd w:id="6"/>
      <w:r w:rsidRPr="009A5A07">
        <w:rPr>
          <w:rFonts w:ascii="Times New Roman" w:hAnsi="Times New Roman" w:cs="Times New Roman"/>
          <w:color w:val="000000" w:themeColor="text1"/>
          <w:sz w:val="24"/>
          <w:szCs w:val="24"/>
        </w:rPr>
        <w:t>S6. Multiple imputation algorithm</w:t>
      </w:r>
    </w:p>
    <w:p w14:paraId="77477F07"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For each endpoint and each incomplete dataset, the CLF imputation procedure was implemented as follows.</w:t>
      </w:r>
    </w:p>
    <w:p w14:paraId="0CE11D9E" w14:textId="77777777" w:rsidR="00784DA7" w:rsidRPr="009A5A07" w:rsidRDefault="00000000">
      <w:pPr>
        <w:pStyle w:val="Compact"/>
        <w:numPr>
          <w:ilvl w:val="0"/>
          <w:numId w:val="2"/>
        </w:numPr>
        <w:rPr>
          <w:rFonts w:ascii="Times New Roman" w:hAnsi="Times New Roman" w:cs="Times New Roman"/>
          <w:color w:val="000000" w:themeColor="text1"/>
        </w:rPr>
      </w:pPr>
      <w:r w:rsidRPr="009A5A07">
        <w:rPr>
          <w:rFonts w:ascii="Times New Roman" w:hAnsi="Times New Roman" w:cs="Times New Roman"/>
          <w:color w:val="000000" w:themeColor="text1"/>
        </w:rPr>
        <w:t>Fit the marginal logistic mean model using observed site-level outcomes and the pre-specified predictor set.</w:t>
      </w:r>
    </w:p>
    <w:p w14:paraId="3339E36E" w14:textId="77777777" w:rsidR="00784DA7" w:rsidRPr="009A5A07" w:rsidRDefault="00000000">
      <w:pPr>
        <w:pStyle w:val="Compact"/>
        <w:numPr>
          <w:ilvl w:val="0"/>
          <w:numId w:val="2"/>
        </w:numPr>
        <w:rPr>
          <w:rFonts w:ascii="Times New Roman" w:hAnsi="Times New Roman" w:cs="Times New Roman"/>
          <w:color w:val="000000" w:themeColor="text1"/>
        </w:rPr>
      </w:pPr>
      <w:r w:rsidRPr="009A5A07">
        <w:rPr>
          <w:rFonts w:ascii="Times New Roman" w:hAnsi="Times New Roman" w:cs="Times New Roman"/>
          <w:color w:val="000000" w:themeColor="text1"/>
        </w:rPr>
        <w:t>Estimate the working correlation model by regressing pairwise products of standardized residuals on anatomical proximity indicators.</w:t>
      </w:r>
    </w:p>
    <w:p w14:paraId="4ED6D32B" w14:textId="77777777" w:rsidR="00784DA7" w:rsidRPr="009A5A07" w:rsidRDefault="00000000">
      <w:pPr>
        <w:pStyle w:val="Compact"/>
        <w:numPr>
          <w:ilvl w:val="0"/>
          <w:numId w:val="2"/>
        </w:numPr>
        <w:rPr>
          <w:rFonts w:ascii="Times New Roman" w:hAnsi="Times New Roman" w:cs="Times New Roman"/>
          <w:color w:val="000000" w:themeColor="text1"/>
        </w:rPr>
      </w:pPr>
      <w:r w:rsidRPr="009A5A07">
        <w:rPr>
          <w:rFonts w:ascii="Times New Roman" w:hAnsi="Times New Roman" w:cs="Times New Roman"/>
          <w:color w:val="000000" w:themeColor="text1"/>
        </w:rPr>
        <w:t>Draw mean and correlation parameters from large-sample multivariate normal approximations:</w:t>
      </w:r>
    </w:p>
    <w:p w14:paraId="226FFB27" w14:textId="77777777" w:rsidR="00784DA7" w:rsidRPr="009A5A07" w:rsidRDefault="00000000">
      <w:pPr>
        <w:pStyle w:val="FirstParagrap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w:rPr>
                  <w:rFonts w:ascii="Cambria Math" w:hAnsi="Cambria Math" w:cs="Times New Roman"/>
                  <w:color w:val="000000" w:themeColor="text1"/>
                </w:rPr>
                <m:t>β</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N</m:t>
          </m:r>
          <m:d>
            <m:dPr>
              <m:ctrlPr>
                <w:rPr>
                  <w:rFonts w:ascii="Cambria Math" w:hAnsi="Cambria Math" w:cs="Times New Roman"/>
                  <w:color w:val="000000" w:themeColor="text1"/>
                </w:rPr>
              </m:ctrlPr>
            </m:dPr>
            <m:e>
              <m:acc>
                <m:accPr>
                  <m:ctrlPr>
                    <w:rPr>
                      <w:rFonts w:ascii="Cambria Math" w:hAnsi="Cambria Math" w:cs="Times New Roman"/>
                      <w:color w:val="000000" w:themeColor="text1"/>
                    </w:rPr>
                  </m:ctrlPr>
                </m:accPr>
                <m:e>
                  <m:r>
                    <w:rPr>
                      <w:rFonts w:ascii="Cambria Math" w:hAnsi="Cambria Math" w:cs="Times New Roman"/>
                      <w:color w:val="000000" w:themeColor="text1"/>
                    </w:rPr>
                    <m:t>β</m:t>
                  </m:r>
                </m:e>
              </m:acc>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V</m:t>
                      </m:r>
                    </m:e>
                  </m:acc>
                </m:e>
                <m:sub>
                  <m:r>
                    <w:rPr>
                      <w:rFonts w:ascii="Cambria Math" w:hAnsi="Cambria Math" w:cs="Times New Roman"/>
                      <w:color w:val="000000" w:themeColor="text1"/>
                    </w:rPr>
                    <m:t>β</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sSup>
            <m:sSupPr>
              <m:ctrlPr>
                <w:rPr>
                  <w:rFonts w:ascii="Cambria Math" w:hAnsi="Cambria Math" w:cs="Times New Roman"/>
                  <w:color w:val="000000" w:themeColor="text1"/>
                </w:rPr>
              </m:ctrlPr>
            </m:sSupPr>
            <m:e>
              <m:r>
                <w:rPr>
                  <w:rFonts w:ascii="Cambria Math" w:hAnsi="Cambria Math" w:cs="Times New Roman"/>
                  <w:color w:val="000000" w:themeColor="text1"/>
                </w:rPr>
                <m:t>α</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N</m:t>
          </m:r>
          <m:d>
            <m:dPr>
              <m:ctrlPr>
                <w:rPr>
                  <w:rFonts w:ascii="Cambria Math" w:hAnsi="Cambria Math" w:cs="Times New Roman"/>
                  <w:color w:val="000000" w:themeColor="text1"/>
                </w:rPr>
              </m:ctrlPr>
            </m:dPr>
            <m:e>
              <m:acc>
                <m:accPr>
                  <m:ctrlPr>
                    <w:rPr>
                      <w:rFonts w:ascii="Cambria Math" w:hAnsi="Cambria Math" w:cs="Times New Roman"/>
                      <w:color w:val="000000" w:themeColor="text1"/>
                    </w:rPr>
                  </m:ctrlPr>
                </m:accPr>
                <m:e>
                  <m:r>
                    <w:rPr>
                      <w:rFonts w:ascii="Cambria Math" w:hAnsi="Cambria Math" w:cs="Times New Roman"/>
                      <w:color w:val="000000" w:themeColor="text1"/>
                    </w:rPr>
                    <m:t>α</m:t>
                  </m:r>
                </m:e>
              </m:acc>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V</m:t>
                      </m:r>
                    </m:e>
                  </m:acc>
                </m:e>
                <m:sub>
                  <m:r>
                    <w:rPr>
                      <w:rFonts w:ascii="Cambria Math" w:hAnsi="Cambria Math" w:cs="Times New Roman"/>
                      <w:color w:val="000000" w:themeColor="text1"/>
                    </w:rPr>
                    <m:t>α</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S10</m:t>
              </m:r>
            </m:e>
          </m:d>
        </m:oMath>
      </m:oMathPara>
    </w:p>
    <w:p w14:paraId="3D02DB8A" w14:textId="3A3C8FC9" w:rsidR="00784DA7" w:rsidRPr="009A5A07" w:rsidRDefault="00000000">
      <w:pPr>
        <w:pStyle w:val="Compact"/>
        <w:numPr>
          <w:ilvl w:val="0"/>
          <w:numId w:val="3"/>
        </w:numPr>
        <w:rPr>
          <w:rFonts w:ascii="Times New Roman" w:hAnsi="Times New Roman" w:cs="Times New Roman"/>
          <w:color w:val="000000" w:themeColor="text1"/>
        </w:rPr>
      </w:pPr>
      <w:r w:rsidRPr="009A5A07">
        <w:rPr>
          <w:rFonts w:ascii="Times New Roman" w:hAnsi="Times New Roman" w:cs="Times New Roman"/>
          <w:color w:val="000000" w:themeColor="text1"/>
        </w:rPr>
        <w:t xml:space="preserve">Use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β</m:t>
            </m:r>
          </m:e>
          <m:sup>
            <m:r>
              <m:rPr>
                <m:sty m:val="p"/>
              </m:rPr>
              <w:rPr>
                <w:rFonts w:ascii="Cambria Math" w:hAnsi="Cambria Math" w:cs="Times New Roman"/>
                <w:color w:val="000000" w:themeColor="text1"/>
              </w:rPr>
              <m:t>*</m:t>
            </m:r>
          </m:sup>
        </m:sSup>
      </m:oMath>
      <w:r w:rsidRPr="009A5A07">
        <w:rPr>
          <w:rFonts w:ascii="Times New Roman" w:hAnsi="Times New Roman" w:cs="Times New Roman"/>
          <w:color w:val="000000" w:themeColor="text1"/>
        </w:rPr>
        <w:t xml:space="preserve"> to obtain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μ</m:t>
            </m:r>
          </m:e>
          <m:sub>
            <m:r>
              <w:rPr>
                <w:rFonts w:ascii="Cambria Math" w:hAnsi="Cambria Math" w:cs="Times New Roman"/>
                <w:color w:val="000000" w:themeColor="text1"/>
              </w:rPr>
              <m:t>ij</m:t>
            </m:r>
          </m:sub>
          <m:sup>
            <m:r>
              <m:rPr>
                <m:sty m:val="p"/>
              </m:rPr>
              <w:rPr>
                <w:rFonts w:ascii="Cambria Math" w:hAnsi="Cambria Math" w:cs="Times New Roman"/>
                <w:color w:val="000000" w:themeColor="text1"/>
              </w:rPr>
              <m:t>*</m:t>
            </m:r>
          </m:sup>
        </m:sSubSup>
      </m:oMath>
      <w:r w:rsidRPr="009A5A07">
        <w:rPr>
          <w:rFonts w:ascii="Times New Roman" w:hAnsi="Times New Roman" w:cs="Times New Roman"/>
          <w:color w:val="000000" w:themeColor="text1"/>
        </w:rPr>
        <w:t xml:space="preserve"> and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α</m:t>
            </m:r>
          </m:e>
          <m:sup>
            <m:r>
              <m:rPr>
                <m:sty m:val="p"/>
              </m:rPr>
              <w:rPr>
                <w:rFonts w:ascii="Cambria Math" w:hAnsi="Cambria Math" w:cs="Times New Roman"/>
                <w:color w:val="000000" w:themeColor="text1"/>
              </w:rPr>
              <m:t>*</m:t>
            </m:r>
          </m:sup>
        </m:sSup>
      </m:oMath>
      <w:r w:rsidRPr="009A5A07">
        <w:rPr>
          <w:rFonts w:ascii="Times New Roman" w:hAnsi="Times New Roman" w:cs="Times New Roman"/>
          <w:color w:val="000000" w:themeColor="text1"/>
        </w:rPr>
        <w:t xml:space="preserve"> to obtain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oMath>
      <w:r w:rsidRPr="009A5A07">
        <w:rPr>
          <w:rFonts w:ascii="Times New Roman" w:hAnsi="Times New Roman" w:cs="Times New Roman"/>
          <w:color w:val="000000" w:themeColor="text1"/>
        </w:rPr>
        <w:t xml:space="preserve"> for each patient-visit cluster.</w:t>
      </w:r>
    </w:p>
    <w:p w14:paraId="31AD04D7" w14:textId="69DF737B" w:rsidR="00784DA7" w:rsidRPr="009A5A07" w:rsidRDefault="00000000">
      <w:pPr>
        <w:pStyle w:val="Compact"/>
        <w:numPr>
          <w:ilvl w:val="0"/>
          <w:numId w:val="3"/>
        </w:numPr>
        <w:rPr>
          <w:rFonts w:ascii="Times New Roman" w:hAnsi="Times New Roman" w:cs="Times New Roman"/>
          <w:color w:val="000000" w:themeColor="text1"/>
        </w:rPr>
      </w:pPr>
      <w:r w:rsidRPr="009A5A07">
        <w:rPr>
          <w:rFonts w:ascii="Times New Roman" w:hAnsi="Times New Roman" w:cs="Times New Roman"/>
          <w:color w:val="000000" w:themeColor="text1"/>
        </w:rPr>
        <w:t xml:space="preserve">Convert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oMath>
      <w:r w:rsidRPr="009A5A07">
        <w:rPr>
          <w:rFonts w:ascii="Times New Roman" w:hAnsi="Times New Roman" w:cs="Times New Roman"/>
          <w:color w:val="000000" w:themeColor="text1"/>
        </w:rPr>
        <w:t xml:space="preserve"> to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Σ</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oMath>
      <w:r w:rsidRPr="009A5A07">
        <w:rPr>
          <w:rFonts w:ascii="Times New Roman" w:hAnsi="Times New Roman" w:cs="Times New Roman"/>
          <w:color w:val="000000" w:themeColor="text1"/>
        </w:rPr>
        <w:t>, and apply Fréchet-bound and positive-definiteness checks.</w:t>
      </w:r>
    </w:p>
    <w:p w14:paraId="559F7F6D" w14:textId="7CDFC4E3" w:rsidR="00784DA7" w:rsidRPr="009A5A07" w:rsidRDefault="00000000">
      <w:pPr>
        <w:pStyle w:val="Compact"/>
        <w:numPr>
          <w:ilvl w:val="0"/>
          <w:numId w:val="3"/>
        </w:numPr>
        <w:rPr>
          <w:rFonts w:ascii="Times New Roman" w:hAnsi="Times New Roman" w:cs="Times New Roman"/>
          <w:color w:val="000000" w:themeColor="text1"/>
        </w:rPr>
      </w:pPr>
      <w:r w:rsidRPr="009A5A07">
        <w:rPr>
          <w:rFonts w:ascii="Times New Roman" w:hAnsi="Times New Roman" w:cs="Times New Roman"/>
          <w:color w:val="000000" w:themeColor="text1"/>
        </w:rPr>
        <w:t>Order sites so that observed sites precede missing sites, calculate conditional means using the sequential regression representation, and draw missing values from Bernoulli distributions</w:t>
      </w:r>
      <w:r w:rsidR="008D769D">
        <w:rPr>
          <w:rFonts w:ascii="Times New Roman" w:hAnsi="Times New Roman" w:cs="Times New Roman"/>
          <w:color w:val="000000" w:themeColor="text1"/>
        </w:rPr>
        <w:t xml:space="preserve"> </w:t>
      </w:r>
      <w:r w:rsidR="008D769D" w:rsidRPr="008D769D">
        <w:rPr>
          <w:rFonts w:ascii="Times New Roman" w:hAnsi="Times New Roman" w:cs="Times New Roman"/>
          <w:color w:val="000000" w:themeColor="text1"/>
        </w:rPr>
        <w:t>with probability clamped to [10⁻⁶, 1−10⁻⁶]</w:t>
      </w:r>
      <w:r w:rsidRPr="009A5A07">
        <w:rPr>
          <w:rFonts w:ascii="Times New Roman" w:hAnsi="Times New Roman" w:cs="Times New Roman"/>
          <w:color w:val="000000" w:themeColor="text1"/>
        </w:rPr>
        <w:t>.</w:t>
      </w:r>
    </w:p>
    <w:p w14:paraId="62E851D6" w14:textId="77777777" w:rsidR="00784DA7" w:rsidRPr="009A5A07" w:rsidRDefault="00000000">
      <w:pPr>
        <w:pStyle w:val="Compact"/>
        <w:numPr>
          <w:ilvl w:val="0"/>
          <w:numId w:val="3"/>
        </w:numPr>
        <w:rPr>
          <w:rFonts w:ascii="Times New Roman" w:hAnsi="Times New Roman" w:cs="Times New Roman"/>
          <w:color w:val="000000" w:themeColor="text1"/>
        </w:rPr>
      </w:pPr>
      <w:r w:rsidRPr="009A5A07">
        <w:rPr>
          <w:rFonts w:ascii="Times New Roman" w:hAnsi="Times New Roman" w:cs="Times New Roman"/>
          <w:color w:val="000000" w:themeColor="text1"/>
        </w:rPr>
        <w:t>Repeat the process for M=10 imputations for CLF-based methods.</w:t>
      </w:r>
    </w:p>
    <w:p w14:paraId="05986566" w14:textId="77777777" w:rsidR="00784DA7" w:rsidRPr="009A5A07" w:rsidRDefault="00000000">
      <w:pPr>
        <w:pStyle w:val="Compact"/>
        <w:numPr>
          <w:ilvl w:val="0"/>
          <w:numId w:val="3"/>
        </w:numPr>
        <w:rPr>
          <w:rFonts w:ascii="Times New Roman" w:hAnsi="Times New Roman" w:cs="Times New Roman"/>
          <w:color w:val="000000" w:themeColor="text1"/>
        </w:rPr>
      </w:pPr>
      <w:r w:rsidRPr="009A5A07">
        <w:rPr>
          <w:rFonts w:ascii="Times New Roman" w:hAnsi="Times New Roman" w:cs="Times New Roman"/>
          <w:color w:val="000000" w:themeColor="text1"/>
        </w:rPr>
        <w:t>For prediction-oriented performance metrics, average imputed binary values across the M completed datasets to obtain posterior predictive means:</w:t>
      </w:r>
    </w:p>
    <w:p w14:paraId="4276A7B0" w14:textId="77777777" w:rsidR="00784DA7" w:rsidRPr="009A5A07" w:rsidRDefault="00000000">
      <w:pPr>
        <w:pStyle w:val="FirstParagrap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M</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m</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M</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Y</m:t>
                  </m:r>
                </m:e>
                <m:sub>
                  <m:r>
                    <w:rPr>
                      <w:rFonts w:ascii="Cambria Math" w:hAnsi="Cambria Math" w:cs="Times New Roman"/>
                      <w:color w:val="000000" w:themeColor="text1"/>
                    </w:rPr>
                    <m:t>ij</m:t>
                  </m:r>
                </m:sub>
                <m:sup>
                  <m:r>
                    <m:rPr>
                      <m:sty m:val="p"/>
                    </m:rPr>
                    <w:rPr>
                      <w:rFonts w:ascii="Cambria Math" w:hAnsi="Cambria Math" w:cs="Times New Roman"/>
                      <w:color w:val="000000" w:themeColor="text1"/>
                    </w:rPr>
                    <m:t>imp,</m:t>
                  </m:r>
                  <m:r>
                    <w:rPr>
                      <w:rFonts w:ascii="Cambria Math" w:hAnsi="Cambria Math" w:cs="Times New Roman"/>
                      <w:color w:val="000000" w:themeColor="text1"/>
                    </w:rPr>
                    <m:t>m</m:t>
                  </m:r>
                </m:sup>
              </m:sSubSup>
            </m:e>
          </m:nary>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S11</m:t>
              </m:r>
            </m:e>
          </m:d>
        </m:oMath>
      </m:oMathPara>
    </w:p>
    <w:p w14:paraId="5D0BD62A"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For site-level prediction metrics, posterior predictive averaging was used rather than Rubin-style pooling because the target was recovery of masked binary outcomes. For downstream regression analyses, completed datasets can be analysed separately and pooled using standard multiple-imputation rules; in the simulation benchmarking, regression coefficient bias was evaluated relative to the ground-truth complete-data analysis.</w:t>
      </w:r>
    </w:p>
    <w:p w14:paraId="2A23F12F" w14:textId="77777777" w:rsidR="00784DA7" w:rsidRPr="009A5A07" w:rsidRDefault="00000000">
      <w:pPr>
        <w:pStyle w:val="2"/>
        <w:rPr>
          <w:rFonts w:ascii="Times New Roman" w:hAnsi="Times New Roman" w:cs="Times New Roman"/>
          <w:color w:val="000000" w:themeColor="text1"/>
          <w:sz w:val="24"/>
          <w:szCs w:val="24"/>
        </w:rPr>
      </w:pPr>
      <w:bookmarkStart w:id="8" w:name="X0bb8a2fd2dae5d2a24bf41ce15ac806b849c026"/>
      <w:bookmarkEnd w:id="7"/>
      <w:r w:rsidRPr="009A5A07">
        <w:rPr>
          <w:rFonts w:ascii="Times New Roman" w:hAnsi="Times New Roman" w:cs="Times New Roman"/>
          <w:color w:val="000000" w:themeColor="text1"/>
          <w:sz w:val="24"/>
          <w:szCs w:val="24"/>
        </w:rPr>
        <w:lastRenderedPageBreak/>
        <w:t>S7. Patient-level random-intercept extension (CLF-RE)</w:t>
      </w:r>
    </w:p>
    <w:p w14:paraId="3FE86F71"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main CLF model treats each patient-visit examination as a cluster. To partially account for between-patient heterogeneity across repeated visits, a patient-level random-intercept extension was also evaluated. The mean model was</w:t>
      </w:r>
    </w:p>
    <w:p w14:paraId="530813F2"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logit</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ptj</m:t>
                  </m:r>
                </m:sub>
              </m:sSub>
            </m:e>
          </m:d>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X</m:t>
              </m:r>
            </m:e>
            <m:sub>
              <m:r>
                <w:rPr>
                  <w:rFonts w:ascii="Cambria Math" w:hAnsi="Cambria Math" w:cs="Times New Roman"/>
                  <w:color w:val="000000" w:themeColor="text1"/>
                </w:rPr>
                <m:t>ptj</m:t>
              </m:r>
            </m:sub>
            <m:sup>
              <m:r>
                <w:rPr>
                  <w:rFonts w:ascii="Cambria Math" w:hAnsi="Cambria Math" w:cs="Times New Roman"/>
                  <w:color w:val="000000" w:themeColor="text1"/>
                </w:rPr>
                <m:t>T</m:t>
              </m:r>
            </m:sup>
          </m:sSubSup>
          <m:r>
            <w:rPr>
              <w:rFonts w:ascii="Cambria Math" w:hAnsi="Cambria Math" w:cs="Times New Roman"/>
              <w:color w:val="000000" w:themeColor="text1"/>
            </w:rPr>
            <m:t>β</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N</m:t>
          </m:r>
          <m:d>
            <m:dPr>
              <m:ctrlPr>
                <w:rPr>
                  <w:rFonts w:ascii="Cambria Math" w:hAnsi="Cambria Math" w:cs="Times New Roman"/>
                  <w:color w:val="000000" w:themeColor="text1"/>
                </w:rPr>
              </m:ctrlPr>
            </m:dPr>
            <m:e>
              <m:r>
                <w:rPr>
                  <w:rFonts w:ascii="Cambria Math" w:hAnsi="Cambria Math" w:cs="Times New Roman"/>
                  <w:color w:val="000000" w:themeColor="text1"/>
                </w:rPr>
                <m:t>0</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σ</m:t>
                  </m:r>
                </m:e>
                <m:sub>
                  <m:r>
                    <w:rPr>
                      <w:rFonts w:ascii="Cambria Math" w:hAnsi="Cambria Math" w:cs="Times New Roman"/>
                      <w:color w:val="000000" w:themeColor="text1"/>
                    </w:rPr>
                    <m:t>b</m:t>
                  </m:r>
                </m:sub>
                <m:sup>
                  <m:r>
                    <w:rPr>
                      <w:rFonts w:ascii="Cambria Math" w:hAnsi="Cambria Math" w:cs="Times New Roman"/>
                      <w:color w:val="000000" w:themeColor="text1"/>
                    </w:rPr>
                    <m:t>2</m:t>
                  </m:r>
                </m:sup>
              </m:sSubSup>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S12</m:t>
              </m:r>
            </m:e>
          </m:d>
        </m:oMath>
      </m:oMathPara>
    </w:p>
    <w:p w14:paraId="77F2193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random-intercept model was fitted using a generalized linear mixed model. Patient-specific empirical Bayes estimates and their conditional standard deviations were extracted. During imputation, bp was drawn from an approximate normal posterior centered at the patient-specific estimate:</w:t>
      </w:r>
    </w:p>
    <w:p w14:paraId="1DBDEE7B" w14:textId="77777777" w:rsidR="00784DA7" w:rsidRPr="009A5A07" w:rsidRDefault="00000000">
      <w:pPr>
        <w:pStyle w:val="a0"/>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b</m:t>
              </m:r>
            </m:e>
            <m:sub>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N</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b</m:t>
                      </m:r>
                    </m:e>
                  </m:acc>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acc>
                <m:accPr>
                  <m:ctrlPr>
                    <w:rPr>
                      <w:rFonts w:ascii="Cambria Math" w:hAnsi="Cambria Math" w:cs="Times New Roman"/>
                      <w:color w:val="000000" w:themeColor="text1"/>
                    </w:rPr>
                  </m:ctrlPr>
                </m:accPr>
                <m:e>
                  <m:r>
                    <m:rPr>
                      <m:sty m:val="p"/>
                    </m:rPr>
                    <w:rPr>
                      <w:rFonts w:ascii="Cambria Math" w:hAnsi="Cambria Math" w:cs="Times New Roman"/>
                      <w:color w:val="000000" w:themeColor="text1"/>
                    </w:rPr>
                    <m:t>Var</m:t>
                  </m:r>
                </m:e>
              </m:acc>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∣data</m:t>
                  </m:r>
                </m:e>
              </m:d>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S13</m:t>
              </m:r>
            </m:e>
          </m:d>
        </m:oMath>
      </m:oMathPara>
    </w:p>
    <w:p w14:paraId="1A72B1A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If the estimated random-effect variance was near zero,</w:t>
      </w:r>
    </w:p>
    <w:p w14:paraId="3D158299" w14:textId="77777777" w:rsidR="00784DA7" w:rsidRPr="009A5A07" w:rsidRDefault="00000000">
      <w:pPr>
        <w:pStyle w:val="a0"/>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acc>
                <m:accPr>
                  <m:ctrlPr>
                    <w:rPr>
                      <w:rFonts w:ascii="Cambria Math" w:hAnsi="Cambria Math" w:cs="Times New Roman"/>
                      <w:color w:val="000000" w:themeColor="text1"/>
                    </w:rPr>
                  </m:ctrlPr>
                </m:accPr>
                <m:e>
                  <m:r>
                    <w:rPr>
                      <w:rFonts w:ascii="Cambria Math" w:hAnsi="Cambria Math" w:cs="Times New Roman"/>
                      <w:color w:val="000000" w:themeColor="text1"/>
                    </w:rPr>
                    <m:t>σ</m:t>
                  </m:r>
                </m:e>
              </m:acc>
            </m:e>
            <m:sub>
              <m:r>
                <w:rPr>
                  <w:rFonts w:ascii="Cambria Math" w:hAnsi="Cambria Math" w:cs="Times New Roman"/>
                  <w:color w:val="000000" w:themeColor="text1"/>
                </w:rPr>
                <m:t>b</m:t>
              </m:r>
            </m:sub>
            <m:sup>
              <m:r>
                <w:rPr>
                  <w:rFonts w:ascii="Cambria Math" w:hAnsi="Cambria Math" w:cs="Times New Roman"/>
                  <w:color w:val="000000" w:themeColor="text1"/>
                </w:rPr>
                <m:t>2</m:t>
              </m:r>
            </m:sup>
          </m:sSubSup>
          <m:r>
            <m:rPr>
              <m:sty m:val="p"/>
            </m:rPr>
            <w:rPr>
              <w:rFonts w:ascii="Cambria Math" w:hAnsi="Cambria Math" w:cs="Times New Roman"/>
              <w:color w:val="000000" w:themeColor="text1"/>
            </w:rPr>
            <m:t>&lt;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6</m:t>
              </m:r>
            </m:sup>
          </m:sSup>
          <m:r>
            <m:rPr>
              <m:sty m:val="p"/>
            </m:rPr>
            <w:rPr>
              <w:rFonts w:ascii="Cambria Math" w:hAnsi="Cambria Math" w:cs="Times New Roman"/>
              <w:color w:val="000000" w:themeColor="text1"/>
            </w:rPr>
            <m:t>,</m:t>
          </m:r>
        </m:oMath>
      </m:oMathPara>
    </w:p>
    <w:p w14:paraId="7D3FECE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model reverted to the standard marginal logistic mean model. If the random-effect offset caused a specific patient-visit covariance matrix to fail the feasibility checks, that cluster was imputed without the random-effect offset, while other feasible clusters retained it.</w:t>
      </w:r>
    </w:p>
    <w:p w14:paraId="186FC158"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This extension is not a full longitudinal correlation model. It captures stable between-patient heterogeneity but does not explicitly impose an autoregressive or transition structure across visits. This distinction is important for interpreting CLF-RE as a pragmatic extension rather than a complete model of within-patient temporal dependence.</w:t>
      </w:r>
    </w:p>
    <w:p w14:paraId="125910A2" w14:textId="77777777" w:rsidR="00784DA7" w:rsidRPr="009A5A07" w:rsidRDefault="00000000">
      <w:pPr>
        <w:pStyle w:val="2"/>
        <w:rPr>
          <w:rFonts w:ascii="Times New Roman" w:hAnsi="Times New Roman" w:cs="Times New Roman"/>
          <w:color w:val="000000" w:themeColor="text1"/>
          <w:sz w:val="24"/>
          <w:szCs w:val="24"/>
        </w:rPr>
      </w:pPr>
      <w:bookmarkStart w:id="9" w:name="s8.-comparator-imputation-methods"/>
      <w:bookmarkEnd w:id="8"/>
      <w:r w:rsidRPr="009A5A07">
        <w:rPr>
          <w:rFonts w:ascii="Times New Roman" w:hAnsi="Times New Roman" w:cs="Times New Roman"/>
          <w:color w:val="000000" w:themeColor="text1"/>
          <w:sz w:val="24"/>
          <w:szCs w:val="24"/>
        </w:rPr>
        <w:t>S8. Comparator imputation methods</w:t>
      </w:r>
    </w:p>
    <w:p w14:paraId="7DDFCB26"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Comparator methods used the same predictor information as CLF where possible.</w:t>
      </w:r>
    </w:p>
    <w:p w14:paraId="0D8168C5"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b/>
          <w:bCs/>
          <w:color w:val="000000" w:themeColor="text1"/>
        </w:rPr>
        <w:t>MICE-logreg:</w:t>
      </w:r>
      <w:r w:rsidRPr="009A5A07">
        <w:rPr>
          <w:rFonts w:ascii="Times New Roman" w:hAnsi="Times New Roman" w:cs="Times New Roman"/>
          <w:color w:val="000000" w:themeColor="text1"/>
        </w:rPr>
        <w:t xml:space="preserve"> Multiple imputation by chained equations with logistic regression for binary site-level outcomes. This method treats each site outcome conditionally on predictors but does not explicitly model the patient-visit cluster structure.</w:t>
      </w:r>
    </w:p>
    <w:p w14:paraId="389CF9B3"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b/>
          <w:bCs/>
          <w:color w:val="000000" w:themeColor="text1"/>
        </w:rPr>
        <w:t>MICE-2l.bin:</w:t>
      </w:r>
      <w:r w:rsidRPr="009A5A07">
        <w:rPr>
          <w:rFonts w:ascii="Times New Roman" w:hAnsi="Times New Roman" w:cs="Times New Roman"/>
          <w:color w:val="000000" w:themeColor="text1"/>
        </w:rPr>
        <w:t xml:space="preserve"> A two-level binary imputation model with the patient-visit cluster as the level-2 grouping variable. This method is conceptually aligned with clustered data but was computationally limited in the 192-site setting.</w:t>
      </w:r>
    </w:p>
    <w:p w14:paraId="79242157"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b/>
          <w:bCs/>
          <w:color w:val="000000" w:themeColor="text1"/>
        </w:rPr>
        <w:t>KNN:</w:t>
      </w:r>
      <w:r w:rsidRPr="009A5A07">
        <w:rPr>
          <w:rFonts w:ascii="Times New Roman" w:hAnsi="Times New Roman" w:cs="Times New Roman"/>
          <w:color w:val="000000" w:themeColor="text1"/>
        </w:rPr>
        <w:t xml:space="preserve"> K-nearest-neighbour imputation with</w:t>
      </w:r>
    </w:p>
    <w:p w14:paraId="7A1FF439" w14:textId="77777777" w:rsidR="00784DA7" w:rsidRPr="009A5A07" w:rsidRDefault="00000000">
      <w:pPr>
        <w:pStyle w:val="a0"/>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5</m:t>
          </m:r>
        </m:oMath>
      </m:oMathPara>
    </w:p>
    <w:p w14:paraId="36E9250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based on covariate distance. This method is deterministic and does not propagate imputation uncertainty.</w:t>
      </w:r>
    </w:p>
    <w:p w14:paraId="293E0377"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For MICE-logreg, M=10 imputations were used. MICE-2l.bin was run with M=5 imputations and 3 iterations because of computational constraints. KNN produced a single completed dataset.</w:t>
      </w:r>
    </w:p>
    <w:p w14:paraId="4B17AD1E" w14:textId="77777777" w:rsidR="00784DA7" w:rsidRPr="009A5A07" w:rsidRDefault="00000000">
      <w:pPr>
        <w:pStyle w:val="2"/>
        <w:rPr>
          <w:rFonts w:ascii="Times New Roman" w:hAnsi="Times New Roman" w:cs="Times New Roman"/>
          <w:color w:val="000000" w:themeColor="text1"/>
          <w:sz w:val="24"/>
          <w:szCs w:val="24"/>
        </w:rPr>
      </w:pPr>
      <w:bookmarkStart w:id="10" w:name="s9.-simulation-design"/>
      <w:bookmarkEnd w:id="9"/>
      <w:r w:rsidRPr="009A5A07">
        <w:rPr>
          <w:rFonts w:ascii="Times New Roman" w:hAnsi="Times New Roman" w:cs="Times New Roman"/>
          <w:color w:val="000000" w:themeColor="text1"/>
          <w:sz w:val="24"/>
          <w:szCs w:val="24"/>
        </w:rPr>
        <w:lastRenderedPageBreak/>
        <w:t>S9. Simulation design</w:t>
      </w:r>
    </w:p>
    <w:p w14:paraId="66593D46"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simulation study was designed to evaluate whether imputation recovered known site-level and patient-level quantities under controlled missingness. Simulated datasets contained</w:t>
      </w:r>
    </w:p>
    <w:p w14:paraId="08909D6B" w14:textId="77777777" w:rsidR="00784DA7" w:rsidRPr="009A5A07" w:rsidRDefault="00000000">
      <w:pPr>
        <w:pStyle w:val="a0"/>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50</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r>
            <w:rPr>
              <w:rFonts w:ascii="Cambria Math" w:hAnsi="Cambria Math" w:cs="Times New Roman"/>
              <w:color w:val="000000" w:themeColor="text1"/>
            </w:rPr>
            <m:t>200</m:t>
          </m:r>
          <m:r>
            <m:rPr>
              <m:sty m:val="p"/>
            </m:rPr>
            <w:rPr>
              <w:rFonts w:ascii="Cambria Math" w:hAnsi="Cambria Math" w:cs="Times New Roman"/>
              <w:color w:val="000000" w:themeColor="text1"/>
            </w:rPr>
            <m:t>}</m:t>
          </m:r>
        </m:oMath>
      </m:oMathPara>
    </w:p>
    <w:p w14:paraId="2EF3D66F"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patients, 3 visits per patient, and up to 192 sites per visit. PPD was generated from covariate-driven models constrained to the clinically plausible range</w:t>
      </w:r>
    </w:p>
    <w:p w14:paraId="5B761B84" w14:textId="77777777" w:rsidR="00784DA7" w:rsidRPr="009A5A07" w:rsidRDefault="00000000">
      <w:pPr>
        <w:pStyle w:val="a0"/>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1</m:t>
          </m:r>
          <m:r>
            <m:rPr>
              <m:sty m:val="p"/>
            </m:rPr>
            <w:rPr>
              <w:rFonts w:ascii="Cambria Math" w:hAnsi="Cambria Math" w:cs="Times New Roman"/>
              <w:color w:val="000000" w:themeColor="text1"/>
            </w:rPr>
            <m:t>≤PPD≤</m:t>
          </m:r>
          <m:r>
            <w:rPr>
              <w:rFonts w:ascii="Cambria Math" w:hAnsi="Cambria Math" w:cs="Times New Roman"/>
              <w:color w:val="000000" w:themeColor="text1"/>
            </w:rPr>
            <m:t>15 </m:t>
          </m:r>
          <m:r>
            <m:rPr>
              <m:sty m:val="p"/>
            </m:rPr>
            <w:rPr>
              <w:rFonts w:ascii="Cambria Math" w:hAnsi="Cambria Math" w:cs="Times New Roman"/>
              <w:color w:val="000000" w:themeColor="text1"/>
            </w:rPr>
            <m:t>mm,</m:t>
          </m:r>
        </m:oMath>
      </m:oMathPara>
    </w:p>
    <w:p w14:paraId="5D0A83D3"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with autoregressive visit-to-visit evolution. Gingival recession was generated and added to PPD to obtain CAL. Binary endpoints were obtained by thresholding PPD and CAL at the five epidemiologic cut-points used in the main analysis.</w:t>
      </w:r>
    </w:p>
    <w:p w14:paraId="77700C91"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Seven missingness scenarios were applied to the same underlying complete simulated datasets.</w:t>
      </w:r>
    </w:p>
    <w:p w14:paraId="209F0B7E"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b/>
          <w:bCs/>
          <w:color w:val="000000" w:themeColor="text1"/>
        </w:rPr>
        <w:t>MCAR scenarios:</w:t>
      </w:r>
      <w:r w:rsidRPr="009A5A07">
        <w:rPr>
          <w:rFonts w:ascii="Times New Roman" w:hAnsi="Times New Roman" w:cs="Times New Roman"/>
          <w:color w:val="000000" w:themeColor="text1"/>
        </w:rPr>
        <w:t xml:space="preserve"> Coordinated tooth-level and site-level dropout rates were</w:t>
      </w:r>
    </w:p>
    <w:p w14:paraId="10889B25" w14:textId="77777777" w:rsidR="00784DA7" w:rsidRPr="009A5A07" w:rsidRDefault="00000000">
      <w:pPr>
        <w:pStyle w:val="a0"/>
        <w:rPr>
          <w:rFonts w:ascii="Times New Roman" w:hAnsi="Times New Roman" w:cs="Times New Roman"/>
          <w:color w:val="000000" w:themeColor="text1"/>
        </w:rPr>
      </w:pPr>
      <m:oMathPara>
        <m:oMathParaPr>
          <m:jc m:val="center"/>
        </m:oMathParaPr>
        <m:oMath>
          <m:d>
            <m:dPr>
              <m:ctrlPr>
                <w:rPr>
                  <w:rFonts w:ascii="Cambria Math" w:hAnsi="Cambria Math" w:cs="Times New Roman"/>
                  <w:color w:val="000000" w:themeColor="text1"/>
                </w:rPr>
              </m:ctrlPr>
            </m:dPr>
            <m:e>
              <m:r>
                <w:rPr>
                  <w:rFonts w:ascii="Cambria Math" w:hAnsi="Cambria Math" w:cs="Times New Roman"/>
                  <w:color w:val="000000" w:themeColor="text1"/>
                </w:rPr>
                <m:t>10</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20</m:t>
              </m:r>
              <m:r>
                <m:rPr>
                  <m:sty m:val="p"/>
                </m:rPr>
                <w:rPr>
                  <w:rFonts w:ascii="Cambria Math" w:hAnsi="Cambria Math" w:cs="Times New Roman"/>
                  <w:color w:val="000000" w:themeColor="text1"/>
                </w:rPr>
                <m:t>%,</m:t>
              </m:r>
              <m:r>
                <w:rPr>
                  <w:rFonts w:ascii="Cambria Math" w:hAnsi="Cambria Math" w:cs="Times New Roman"/>
                  <w:color w:val="000000" w:themeColor="text1"/>
                </w:rPr>
                <m:t>2</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40</m:t>
              </m:r>
              <m:r>
                <m:rPr>
                  <m:sty m:val="p"/>
                </m:rPr>
                <w:rPr>
                  <w:rFonts w:ascii="Cambria Math" w:hAnsi="Cambria Math" w:cs="Times New Roman"/>
                  <w:color w:val="000000" w:themeColor="text1"/>
                </w:rPr>
                <m:t>%,</m:t>
              </m:r>
              <m:r>
                <w:rPr>
                  <w:rFonts w:ascii="Cambria Math" w:hAnsi="Cambria Math" w:cs="Times New Roman"/>
                  <w:color w:val="000000" w:themeColor="text1"/>
                </w:rPr>
                <m:t>8</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60</m:t>
              </m:r>
              <m:r>
                <m:rPr>
                  <m:sty m:val="p"/>
                </m:rPr>
                <w:rPr>
                  <w:rFonts w:ascii="Cambria Math" w:hAnsi="Cambria Math" w:cs="Times New Roman"/>
                  <w:color w:val="000000" w:themeColor="text1"/>
                </w:rPr>
                <m:t>%,</m:t>
              </m:r>
              <m:r>
                <w:rPr>
                  <w:rFonts w:ascii="Cambria Math" w:hAnsi="Cambria Math" w:cs="Times New Roman"/>
                  <w:color w:val="000000" w:themeColor="text1"/>
                </w:rPr>
                <m:t>20</m:t>
              </m:r>
              <m:r>
                <m:rPr>
                  <m:sty m:val="p"/>
                </m:rPr>
                <w:rPr>
                  <w:rFonts w:ascii="Cambria Math" w:hAnsi="Cambria Math" w:cs="Times New Roman"/>
                  <w:color w:val="000000" w:themeColor="text1"/>
                </w:rPr>
                <m:t>%</m:t>
              </m:r>
            </m:e>
          </m:d>
          <m:r>
            <m:rPr>
              <m:sty m:val="p"/>
            </m:rPr>
            <w:rPr>
              <w:rFonts w:ascii="Cambria Math" w:hAnsi="Cambria Math" w:cs="Times New Roman"/>
              <w:color w:val="000000" w:themeColor="text1"/>
            </w:rPr>
            <m:t>.</m:t>
          </m:r>
        </m:oMath>
      </m:oMathPara>
    </w:p>
    <w:p w14:paraId="63B4A106"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These were chosen to bracket the level of missingness observed in the ODR application.</w:t>
      </w:r>
    </w:p>
    <w:p w14:paraId="23924111"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b/>
          <w:bCs/>
          <w:color w:val="000000" w:themeColor="text1"/>
        </w:rPr>
        <w:t>CAL-driven NMAR base scenario:</w:t>
      </w:r>
      <w:r w:rsidRPr="009A5A07">
        <w:rPr>
          <w:rFonts w:ascii="Times New Roman" w:hAnsi="Times New Roman" w:cs="Times New Roman"/>
          <w:color w:val="000000" w:themeColor="text1"/>
        </w:rPr>
        <w:t xml:space="preserve"> 35% random tooth removal followed by higher site-level missingness among CAL&lt;3 mm sites than among CAL≥3 mm sites:</w:t>
      </w:r>
    </w:p>
    <w:p w14:paraId="3CD6F381"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∣CAL&lt;</m:t>
              </m:r>
              <m:r>
                <w:rPr>
                  <w:rFonts w:ascii="Cambria Math" w:hAnsi="Cambria Math" w:cs="Times New Roman"/>
                  <w:color w:val="000000" w:themeColor="text1"/>
                </w:rPr>
                <m:t>3</m:t>
              </m:r>
            </m:e>
          </m:d>
          <m:r>
            <m:rPr>
              <m:sty m:val="p"/>
            </m:rPr>
            <w:rPr>
              <w:rFonts w:ascii="Cambria Math" w:hAnsi="Cambria Math" w:cs="Times New Roman"/>
              <w:color w:val="000000" w:themeColor="text1"/>
            </w:rPr>
            <m:t>=</m:t>
          </m:r>
          <m:r>
            <w:rPr>
              <w:rFonts w:ascii="Cambria Math" w:hAnsi="Cambria Math" w:cs="Times New Roman"/>
              <w:color w:val="000000" w:themeColor="text1"/>
            </w:rPr>
            <m:t>0.30</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∣CAL≥</m:t>
              </m:r>
              <m:r>
                <w:rPr>
                  <w:rFonts w:ascii="Cambria Math" w:hAnsi="Cambria Math" w:cs="Times New Roman"/>
                  <w:color w:val="000000" w:themeColor="text1"/>
                </w:rPr>
                <m:t>3</m:t>
              </m:r>
            </m:e>
          </m:d>
          <m:r>
            <m:rPr>
              <m:sty m:val="p"/>
            </m:rPr>
            <w:rPr>
              <w:rFonts w:ascii="Cambria Math" w:hAnsi="Cambria Math" w:cs="Times New Roman"/>
              <w:color w:val="000000" w:themeColor="text1"/>
            </w:rPr>
            <m:t>=</m:t>
          </m:r>
          <m:r>
            <w:rPr>
              <w:rFonts w:ascii="Cambria Math" w:hAnsi="Cambria Math" w:cs="Times New Roman"/>
              <w:color w:val="000000" w:themeColor="text1"/>
            </w:rPr>
            <m:t>0.10</m:t>
          </m:r>
          <m:r>
            <m:rPr>
              <m:sty m:val="p"/>
            </m:rPr>
            <w:rPr>
              <w:rFonts w:ascii="Cambria Math" w:hAnsi="Cambria Math" w:cs="Times New Roman"/>
              <w:color w:val="000000" w:themeColor="text1"/>
            </w:rPr>
            <m:t>.</m:t>
          </m:r>
        </m:oMath>
      </m:oMathPara>
    </w:p>
    <w:p w14:paraId="1D487CE6"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b/>
          <w:bCs/>
          <w:color w:val="000000" w:themeColor="text1"/>
        </w:rPr>
        <w:t>CAL-driven NMAR heavy scenario:</w:t>
      </w:r>
      <w:r w:rsidRPr="009A5A07">
        <w:rPr>
          <w:rFonts w:ascii="Times New Roman" w:hAnsi="Times New Roman" w:cs="Times New Roman"/>
          <w:color w:val="000000" w:themeColor="text1"/>
        </w:rPr>
        <w:t xml:space="preserve"> The same structure was used with higher paired missingness probabilities:</w:t>
      </w:r>
    </w:p>
    <w:p w14:paraId="00EC3FA7"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∣CAL&lt;</m:t>
              </m:r>
              <m:r>
                <w:rPr>
                  <w:rFonts w:ascii="Cambria Math" w:hAnsi="Cambria Math" w:cs="Times New Roman"/>
                  <w:color w:val="000000" w:themeColor="text1"/>
                </w:rPr>
                <m:t>3</m:t>
              </m:r>
            </m:e>
          </m:d>
          <m:r>
            <m:rPr>
              <m:sty m:val="p"/>
            </m:rPr>
            <w:rPr>
              <w:rFonts w:ascii="Cambria Math" w:hAnsi="Cambria Math" w:cs="Times New Roman"/>
              <w:color w:val="000000" w:themeColor="text1"/>
            </w:rPr>
            <m:t>=</m:t>
          </m:r>
          <m:r>
            <w:rPr>
              <w:rFonts w:ascii="Cambria Math" w:hAnsi="Cambria Math" w:cs="Times New Roman"/>
              <w:color w:val="000000" w:themeColor="text1"/>
            </w:rPr>
            <m:t>0.40</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∣CAL≥</m:t>
              </m:r>
              <m:r>
                <w:rPr>
                  <w:rFonts w:ascii="Cambria Math" w:hAnsi="Cambria Math" w:cs="Times New Roman"/>
                  <w:color w:val="000000" w:themeColor="text1"/>
                </w:rPr>
                <m:t>3</m:t>
              </m:r>
            </m:e>
          </m:d>
          <m:r>
            <m:rPr>
              <m:sty m:val="p"/>
            </m:rPr>
            <w:rPr>
              <w:rFonts w:ascii="Cambria Math" w:hAnsi="Cambria Math" w:cs="Times New Roman"/>
              <w:color w:val="000000" w:themeColor="text1"/>
            </w:rPr>
            <m:t>=</m:t>
          </m:r>
          <m:r>
            <w:rPr>
              <w:rFonts w:ascii="Cambria Math" w:hAnsi="Cambria Math" w:cs="Times New Roman"/>
              <w:color w:val="000000" w:themeColor="text1"/>
            </w:rPr>
            <m:t>0.15</m:t>
          </m:r>
          <m:r>
            <m:rPr>
              <m:sty m:val="p"/>
            </m:rPr>
            <w:rPr>
              <w:rFonts w:ascii="Cambria Math" w:hAnsi="Cambria Math" w:cs="Times New Roman"/>
              <w:color w:val="000000" w:themeColor="text1"/>
            </w:rPr>
            <m:t>.</m:t>
          </m:r>
        </m:oMath>
      </m:oMathPara>
    </w:p>
    <w:p w14:paraId="025290B6"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b/>
          <w:bCs/>
          <w:color w:val="000000" w:themeColor="text1"/>
        </w:rPr>
        <w:t>PPD-driven NMAR base scenario:</w:t>
      </w:r>
      <w:r w:rsidRPr="009A5A07">
        <w:rPr>
          <w:rFonts w:ascii="Times New Roman" w:hAnsi="Times New Roman" w:cs="Times New Roman"/>
          <w:color w:val="000000" w:themeColor="text1"/>
        </w:rPr>
        <w:t xml:space="preserve"> 35% random tooth removal followed by higher site-level missingness among PPD&lt;5 mm sites than among PPD≥5 mm sites:</w:t>
      </w:r>
    </w:p>
    <w:p w14:paraId="34863B95"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∣PPD&lt;</m:t>
              </m:r>
              <m:r>
                <w:rPr>
                  <w:rFonts w:ascii="Cambria Math" w:hAnsi="Cambria Math" w:cs="Times New Roman"/>
                  <w:color w:val="000000" w:themeColor="text1"/>
                </w:rPr>
                <m:t>5</m:t>
              </m:r>
            </m:e>
          </m:d>
          <m:r>
            <m:rPr>
              <m:sty m:val="p"/>
            </m:rPr>
            <w:rPr>
              <w:rFonts w:ascii="Cambria Math" w:hAnsi="Cambria Math" w:cs="Times New Roman"/>
              <w:color w:val="000000" w:themeColor="text1"/>
            </w:rPr>
            <m:t>=</m:t>
          </m:r>
          <m:r>
            <w:rPr>
              <w:rFonts w:ascii="Cambria Math" w:hAnsi="Cambria Math" w:cs="Times New Roman"/>
              <w:color w:val="000000" w:themeColor="text1"/>
            </w:rPr>
            <m:t>0.25</m:t>
          </m:r>
          <m:r>
            <m:rPr>
              <m:sty m:val="p"/>
            </m:rPr>
            <w:rPr>
              <w:rFonts w:ascii="Cambria Math" w:hAnsi="Cambria Math" w:cs="Times New Roman"/>
              <w:color w:val="000000" w:themeColor="text1"/>
            </w:rPr>
            <m:t>,</m:t>
          </m:r>
          <m:r>
            <w:rPr>
              <w:rFonts w:ascii="Cambria Math" w:hAnsi="Cambria Math" w:cs="Times New Roman"/>
              <w:color w:val="000000" w:themeColor="text1"/>
            </w:rPr>
            <m:t>  </m:t>
          </m:r>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∣PPD≥</m:t>
              </m:r>
              <m:r>
                <w:rPr>
                  <w:rFonts w:ascii="Cambria Math" w:hAnsi="Cambria Math" w:cs="Times New Roman"/>
                  <w:color w:val="000000" w:themeColor="text1"/>
                </w:rPr>
                <m:t>5</m:t>
              </m:r>
            </m:e>
          </m:d>
          <m:r>
            <m:rPr>
              <m:sty m:val="p"/>
            </m:rPr>
            <w:rPr>
              <w:rFonts w:ascii="Cambria Math" w:hAnsi="Cambria Math" w:cs="Times New Roman"/>
              <w:color w:val="000000" w:themeColor="text1"/>
            </w:rPr>
            <m:t>=</m:t>
          </m:r>
          <m:r>
            <w:rPr>
              <w:rFonts w:ascii="Cambria Math" w:hAnsi="Cambria Math" w:cs="Times New Roman"/>
              <w:color w:val="000000" w:themeColor="text1"/>
            </w:rPr>
            <m:t>0.05</m:t>
          </m:r>
          <m:r>
            <m:rPr>
              <m:sty m:val="p"/>
            </m:rPr>
            <w:rPr>
              <w:rFonts w:ascii="Cambria Math" w:hAnsi="Cambria Math" w:cs="Times New Roman"/>
              <w:color w:val="000000" w:themeColor="text1"/>
            </w:rPr>
            <m:t>.</m:t>
          </m:r>
        </m:oMath>
      </m:oMathPara>
    </w:p>
    <w:p w14:paraId="1CA8A193" w14:textId="55A82952"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Here, R=0 denotes that the site value was masked. Five replicates were generated for each scenario in the main benchmarking analysis, and all methods were applied to identical masked datasets within each replicate. This design ensured that differences between methods reflected the imputation procedures rather than different missing-data realizations.</w:t>
      </w:r>
    </w:p>
    <w:p w14:paraId="0C4B58D0" w14:textId="77777777" w:rsidR="00784DA7" w:rsidRPr="009A5A07" w:rsidRDefault="00000000">
      <w:pPr>
        <w:pStyle w:val="2"/>
        <w:rPr>
          <w:rFonts w:ascii="Times New Roman" w:hAnsi="Times New Roman" w:cs="Times New Roman"/>
          <w:color w:val="000000" w:themeColor="text1"/>
          <w:sz w:val="24"/>
          <w:szCs w:val="24"/>
        </w:rPr>
      </w:pPr>
      <w:bookmarkStart w:id="11" w:name="Xaf5033d7afe5da1e14b216ae64f79c28a5f4740"/>
      <w:bookmarkEnd w:id="10"/>
      <w:r w:rsidRPr="009A5A07">
        <w:rPr>
          <w:rFonts w:ascii="Times New Roman" w:hAnsi="Times New Roman" w:cs="Times New Roman"/>
          <w:color w:val="000000" w:themeColor="text1"/>
          <w:sz w:val="24"/>
          <w:szCs w:val="24"/>
        </w:rPr>
        <w:t>S10. Downstream disease progression analysis</w:t>
      </w:r>
    </w:p>
    <w:p w14:paraId="419ADB92"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 xml:space="preserve">To evaluate whether imputation affected epidemiologic association estimates, patient-level disease count change between the first and last visit was regressed on age, smoking, and diabetes. For each simulated dataset, three analyses were compared: the ground-truth </w:t>
      </w:r>
      <w:r w:rsidRPr="009A5A07">
        <w:rPr>
          <w:rFonts w:ascii="Times New Roman" w:hAnsi="Times New Roman" w:cs="Times New Roman"/>
          <w:color w:val="000000" w:themeColor="text1"/>
        </w:rPr>
        <w:lastRenderedPageBreak/>
        <w:t>complete-data analysis, the observed-only incomplete-data analysis, and the CLF-RE imputed-data analysis.</w:t>
      </w:r>
    </w:p>
    <w:p w14:paraId="6CE6547A" w14:textId="37ED67C9"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 xml:space="preserve">Let </w:t>
      </w:r>
      <m:oMath>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e>
          <m:sub>
            <m:r>
              <m:rPr>
                <m:sty m:val="p"/>
              </m:rPr>
              <w:rPr>
                <w:rFonts w:ascii="Cambria Math" w:hAnsi="Cambria Math" w:cs="Times New Roman"/>
                <w:color w:val="000000" w:themeColor="text1"/>
              </w:rPr>
              <m:t>truth</m:t>
            </m:r>
          </m:sub>
        </m:sSub>
      </m:oMath>
      <w:r w:rsidRPr="009A5A07">
        <w:rPr>
          <w:rFonts w:ascii="Times New Roman" w:hAnsi="Times New Roman" w:cs="Times New Roman"/>
          <w:color w:val="000000" w:themeColor="text1"/>
        </w:rPr>
        <w:t xml:space="preserve"> denote the coefficient from the complete-data analysis and </w:t>
      </w:r>
      <m:oMath>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e>
          <m:sub>
            <m:r>
              <m:rPr>
                <m:sty m:val="p"/>
              </m:rPr>
              <w:rPr>
                <w:rFonts w:ascii="Cambria Math" w:hAnsi="Cambria Math" w:cs="Times New Roman"/>
                <w:color w:val="000000" w:themeColor="text1"/>
              </w:rPr>
              <m:t>method</m:t>
            </m:r>
          </m:sub>
        </m:sSub>
      </m:oMath>
      <w:r w:rsidR="00361BFD">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denote the coefficient from either the observed-only or imputed analysis. Coefficient bias was calculated as</w:t>
      </w:r>
    </w:p>
    <w:p w14:paraId="5B43CC26"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Bias</m:t>
          </m:r>
          <m:d>
            <m:dPr>
              <m:ctrlPr>
                <w:rPr>
                  <w:rFonts w:ascii="Cambria Math" w:hAnsi="Cambria Math" w:cs="Times New Roman"/>
                  <w:color w:val="000000" w:themeColor="text1"/>
                </w:rPr>
              </m:ctrlPr>
            </m:dPr>
            <m:e>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e>
            <m:sub>
              <m:r>
                <m:rPr>
                  <m:sty m:val="p"/>
                </m:rPr>
                <w:rPr>
                  <w:rFonts w:ascii="Cambria Math" w:hAnsi="Cambria Math" w:cs="Times New Roman"/>
                  <w:color w:val="000000" w:themeColor="text1"/>
                </w:rPr>
                <m:t>method</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e>
            <m:sub>
              <m:r>
                <m:rPr>
                  <m:sty m:val="p"/>
                </m:rPr>
                <w:rPr>
                  <w:rFonts w:ascii="Cambria Math" w:hAnsi="Cambria Math" w:cs="Times New Roman"/>
                  <w:color w:val="000000" w:themeColor="text1"/>
                </w:rPr>
                <m:t>truth</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S14</m:t>
              </m:r>
            </m:e>
          </m:d>
        </m:oMath>
      </m:oMathPara>
    </w:p>
    <w:p w14:paraId="52FBA2FF"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Bias reduction was calculated as</w:t>
      </w:r>
    </w:p>
    <w:p w14:paraId="1AA8FEA2"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Bias reduction=</m:t>
          </m:r>
          <m:f>
            <m:fPr>
              <m:ctrlPr>
                <w:rPr>
                  <w:rFonts w:ascii="Cambria Math" w:hAnsi="Cambria Math" w:cs="Times New Roman"/>
                  <w:color w:val="000000" w:themeColor="text1"/>
                </w:rPr>
              </m:ctrlPr>
            </m:fPr>
            <m:num>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Bias</m:t>
                      </m:r>
                    </m:e>
                    <m:sub>
                      <m:r>
                        <m:rPr>
                          <m:sty m:val="p"/>
                        </m:rPr>
                        <w:rPr>
                          <w:rFonts w:ascii="Cambria Math" w:hAnsi="Cambria Math" w:cs="Times New Roman"/>
                          <w:color w:val="000000" w:themeColor="text1"/>
                        </w:rPr>
                        <m:t>observed</m:t>
                      </m:r>
                    </m:sub>
                  </m:sSub>
                </m:e>
              </m:d>
            </m:num>
            <m:den>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Bias</m:t>
                      </m:r>
                    </m:e>
                    <m:sub>
                      <m:r>
                        <m:rPr>
                          <m:sty m:val="p"/>
                        </m:rPr>
                        <w:rPr>
                          <w:rFonts w:ascii="Cambria Math" w:hAnsi="Cambria Math" w:cs="Times New Roman"/>
                          <w:color w:val="000000" w:themeColor="text1"/>
                        </w:rPr>
                        <m:t>imputed</m:t>
                      </m:r>
                    </m:sub>
                  </m:sSub>
                </m:e>
              </m:d>
            </m:den>
          </m:f>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S15</m:t>
              </m:r>
            </m:e>
          </m:d>
        </m:oMath>
      </m:oMathPara>
    </w:p>
    <w:p w14:paraId="603D5934"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Values greater than 1 indicate that the imputed analysis was closer to the complete-data benchmark. This analysis focused on whether incomplete charting attenuated or distorted risk-factor associations and whether imputation recovered estimates closer to the complete-data benchmark. The downstream analysis was evaluated across 10 replicates at n=200 for selected missingness scenarios and endpoints.</w:t>
      </w:r>
    </w:p>
    <w:p w14:paraId="2C93FD41" w14:textId="77777777" w:rsidR="00784DA7" w:rsidRPr="009A5A07" w:rsidRDefault="00000000">
      <w:pPr>
        <w:pStyle w:val="2"/>
        <w:rPr>
          <w:rFonts w:ascii="Times New Roman" w:hAnsi="Times New Roman" w:cs="Times New Roman"/>
          <w:color w:val="000000" w:themeColor="text1"/>
          <w:sz w:val="24"/>
          <w:szCs w:val="24"/>
        </w:rPr>
      </w:pPr>
      <w:bookmarkStart w:id="12" w:name="X5913bddf4b97b1ea337b515029a7163918c1a84"/>
      <w:bookmarkEnd w:id="11"/>
      <w:r w:rsidRPr="009A5A07">
        <w:rPr>
          <w:rFonts w:ascii="Times New Roman" w:hAnsi="Times New Roman" w:cs="Times New Roman"/>
          <w:color w:val="000000" w:themeColor="text1"/>
          <w:sz w:val="24"/>
          <w:szCs w:val="24"/>
        </w:rPr>
        <w:t>S11. Real-world ODR application and masking experiments</w:t>
      </w:r>
    </w:p>
    <w:p w14:paraId="44676687"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real-world application used data from the National Dental Centre Singapore-Oral Disease Registry. The analytic cohort included 721 patients with at least two periodontal visits. Descriptive summaries used the full cohort. To enable computational benchmarking across all methods, masking experiments were conducted in a 60-patient subset that retained all recorded visits for the selected patients.</w:t>
      </w:r>
    </w:p>
    <w:p w14:paraId="4DD5208F"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In the masking experiments, observed complete entries within the subset were treated as the reference before additional missingness was imposed. MCAR site-level dropout at 5%, 10%, and 20% was evaluated:</w:t>
      </w:r>
    </w:p>
    <w:p w14:paraId="044EEDC9"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Pr</m:t>
          </m:r>
          <m:d>
            <m:dPr>
              <m:ctrlPr>
                <w:rPr>
                  <w:rFonts w:ascii="Cambria Math" w:hAnsi="Cambria Math" w:cs="Times New Roman"/>
                  <w:color w:val="000000" w:themeColor="text1"/>
                </w:rPr>
              </m:ctrlPr>
            </m:dPr>
            <m:e>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m:t>
              </m:r>
            </m:e>
          </m:d>
          <m:r>
            <m:rPr>
              <m:sty m:val="p"/>
            </m:rPr>
            <w:rPr>
              <w:rFonts w:ascii="Cambria Math" w:hAnsi="Cambria Math" w:cs="Times New Roman"/>
              <w:color w:val="000000" w:themeColor="text1"/>
            </w:rPr>
            <m:t>∈{</m:t>
          </m:r>
          <m:r>
            <w:rPr>
              <w:rFonts w:ascii="Cambria Math" w:hAnsi="Cambria Math" w:cs="Times New Roman"/>
              <w:color w:val="000000" w:themeColor="text1"/>
            </w:rPr>
            <m:t>0.05</m:t>
          </m:r>
          <m:r>
            <m:rPr>
              <m:sty m:val="p"/>
            </m:rPr>
            <w:rPr>
              <w:rFonts w:ascii="Cambria Math" w:hAnsi="Cambria Math" w:cs="Times New Roman"/>
              <w:color w:val="000000" w:themeColor="text1"/>
            </w:rPr>
            <m:t>,</m:t>
          </m:r>
          <m:r>
            <w:rPr>
              <w:rFonts w:ascii="Cambria Math" w:hAnsi="Cambria Math" w:cs="Times New Roman"/>
              <w:color w:val="000000" w:themeColor="text1"/>
            </w:rPr>
            <m:t>0.10</m:t>
          </m:r>
          <m:r>
            <m:rPr>
              <m:sty m:val="p"/>
            </m:rPr>
            <w:rPr>
              <w:rFonts w:ascii="Cambria Math" w:hAnsi="Cambria Math" w:cs="Times New Roman"/>
              <w:color w:val="000000" w:themeColor="text1"/>
            </w:rPr>
            <m:t>,</m:t>
          </m:r>
          <m:r>
            <w:rPr>
              <w:rFonts w:ascii="Cambria Math" w:hAnsi="Cambria Math" w:cs="Times New Roman"/>
              <w:color w:val="000000" w:themeColor="text1"/>
            </w:rPr>
            <m:t>0.20</m:t>
          </m:r>
          <m:r>
            <m:rPr>
              <m:sty m:val="p"/>
            </m:rPr>
            <w:rPr>
              <w:rFonts w:ascii="Cambria Math" w:hAnsi="Cambria Math" w:cs="Times New Roman"/>
              <w:color w:val="000000" w:themeColor="text1"/>
            </w:rPr>
            <m:t>}.</m:t>
          </m:r>
        </m:oMath>
      </m:oMathPara>
    </w:p>
    <w:p w14:paraId="6304F7B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Outcome-dependent NMAR scenarios were also evaluated, using CAL-driven and PPD-driven masking mechanisms analogous to those used in the simulation study. This design allowed calculation of site-level discrimination, calibration, and patient-level recovery because the artificially masked values were known. For truly unrecorded sites in routine clinical data, ground truth was unavailable; therefore, the real-world analysis emphasized changes in estimated disease burden, diagnosis-stratified prevalence, and patient-level counts after imputation.</w:t>
      </w:r>
    </w:p>
    <w:p w14:paraId="509FC3BA" w14:textId="77777777" w:rsidR="00784DA7" w:rsidRPr="009A5A07" w:rsidRDefault="00000000">
      <w:pPr>
        <w:pStyle w:val="2"/>
        <w:rPr>
          <w:rFonts w:ascii="Times New Roman" w:hAnsi="Times New Roman" w:cs="Times New Roman"/>
          <w:color w:val="000000" w:themeColor="text1"/>
          <w:sz w:val="24"/>
          <w:szCs w:val="24"/>
        </w:rPr>
      </w:pPr>
      <w:bookmarkStart w:id="13" w:name="s12.-performance-metrics"/>
      <w:bookmarkEnd w:id="12"/>
      <w:r w:rsidRPr="009A5A07">
        <w:rPr>
          <w:rFonts w:ascii="Times New Roman" w:hAnsi="Times New Roman" w:cs="Times New Roman"/>
          <w:color w:val="000000" w:themeColor="text1"/>
          <w:sz w:val="24"/>
          <w:szCs w:val="24"/>
        </w:rPr>
        <w:t>S12. Performance metrics</w:t>
      </w:r>
    </w:p>
    <w:p w14:paraId="1C24A2C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Let q</w:t>
      </w:r>
      <w:r w:rsidRPr="00423498">
        <w:rPr>
          <w:rFonts w:ascii="Times New Roman" w:hAnsi="Times New Roman" w:cs="Times New Roman"/>
          <w:color w:val="000000" w:themeColor="text1"/>
          <w:vertAlign w:val="subscript"/>
        </w:rPr>
        <w:t>ij</w:t>
      </w:r>
      <w:r w:rsidRPr="009A5A07">
        <w:rPr>
          <w:rFonts w:ascii="Times New Roman" w:hAnsi="Times New Roman" w:cs="Times New Roman"/>
          <w:color w:val="000000" w:themeColor="text1"/>
        </w:rPr>
        <w:t xml:space="preserve"> denote the posterior predictive mean for a masked site, obtained by averaging the imputed binary values across imputations, and let yij denote the corresponding ground-truth value in simulations or masking experiments.</w:t>
      </w:r>
    </w:p>
    <w:p w14:paraId="44851E22"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The site-level Brier score was calculated as</w:t>
      </w:r>
    </w:p>
    <w:p w14:paraId="41E1CB87"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w:lastRenderedPageBreak/>
            <m:t>Brier=</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mis</m:t>
                  </m:r>
                </m:sub>
              </m:sSub>
            </m:den>
          </m:f>
          <m:nary>
            <m:naryPr>
              <m:chr m:val="∑"/>
              <m:limLoc m:val="undOvr"/>
              <m:supHide m:val="1"/>
              <m:ctrlPr>
                <w:rPr>
                  <w:rFonts w:ascii="Cambria Math" w:hAnsi="Cambria Math" w:cs="Times New Roman"/>
                  <w:color w:val="000000" w:themeColor="text1"/>
                </w:rPr>
              </m:ctrlPr>
            </m:naryPr>
            <m:sub>
              <m:d>
                <m:dPr>
                  <m:ctrlPr>
                    <w:rPr>
                      <w:rFonts w:ascii="Cambria Math" w:hAnsi="Cambria Math" w:cs="Times New Roman"/>
                      <w:color w:val="000000" w:themeColor="text1"/>
                    </w:rPr>
                  </m:ctrlPr>
                </m:dPr>
                <m:e>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e>
              </m:d>
              <m:r>
                <m:rPr>
                  <m:scr m:val="script"/>
                  <m:sty m:val="p"/>
                </m:rPr>
                <w:rPr>
                  <w:rFonts w:ascii="Cambria Math" w:hAnsi="Cambria Math" w:cs="Times New Roman"/>
                  <w:color w:val="000000" w:themeColor="text1"/>
                </w:rPr>
                <m:t>∈M</m:t>
              </m:r>
            </m:sub>
            <m:sup>
              <m:r>
                <w:rPr>
                  <w:rFonts w:ascii="Cambria Math" w:hAnsi="Cambria Math" w:cs="Times New Roman"/>
                  <w:color w:val="000000" w:themeColor="text1"/>
                </w:rPr>
                <m:t>​</m:t>
              </m:r>
            </m:sup>
            <m:e>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m:t>
                          </m:r>
                        </m:sub>
                      </m:sSub>
                    </m:e>
                  </m:d>
                </m:e>
                <m:sup>
                  <m:r>
                    <w:rPr>
                      <w:rFonts w:ascii="Cambria Math" w:hAnsi="Cambria Math" w:cs="Times New Roman"/>
                      <w:color w:val="000000" w:themeColor="text1"/>
                    </w:rPr>
                    <m:t>2</m:t>
                  </m:r>
                </m:sup>
              </m:sSup>
            </m:e>
          </m:nary>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S16</m:t>
              </m:r>
            </m:e>
          </m:d>
        </m:oMath>
      </m:oMathPara>
    </w:p>
    <w:p w14:paraId="0E49D755"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where M is the set of masked sites and Nmathrmmis=|M|.</w:t>
      </w:r>
    </w:p>
    <w:p w14:paraId="41D690D3"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Classification accuracy used a 0.5 probability threshold:</w:t>
      </w:r>
    </w:p>
    <w:p w14:paraId="5F7ECA4A"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Accuracy=</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mis</m:t>
                  </m:r>
                </m:sub>
              </m:sSub>
            </m:den>
          </m:f>
          <m:nary>
            <m:naryPr>
              <m:chr m:val="∑"/>
              <m:limLoc m:val="undOvr"/>
              <m:supHide m:val="1"/>
              <m:ctrlPr>
                <w:rPr>
                  <w:rFonts w:ascii="Cambria Math" w:hAnsi="Cambria Math" w:cs="Times New Roman"/>
                  <w:color w:val="000000" w:themeColor="text1"/>
                </w:rPr>
              </m:ctrlPr>
            </m:naryPr>
            <m:sub>
              <m:d>
                <m:dPr>
                  <m:ctrlPr>
                    <w:rPr>
                      <w:rFonts w:ascii="Cambria Math" w:hAnsi="Cambria Math" w:cs="Times New Roman"/>
                      <w:color w:val="000000" w:themeColor="text1"/>
                    </w:rPr>
                  </m:ctrlPr>
                </m:dPr>
                <m:e>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e>
              </m:d>
              <m:r>
                <m:rPr>
                  <m:scr m:val="script"/>
                  <m:sty m:val="p"/>
                </m:rPr>
                <w:rPr>
                  <w:rFonts w:ascii="Cambria Math" w:hAnsi="Cambria Math" w:cs="Times New Roman"/>
                  <w:color w:val="000000" w:themeColor="text1"/>
                </w:rPr>
                <m:t>∈M</m:t>
              </m:r>
            </m:sub>
            <m:sup>
              <m:r>
                <w:rPr>
                  <w:rFonts w:ascii="Cambria Math" w:hAnsi="Cambria Math" w:cs="Times New Roman"/>
                  <w:color w:val="000000" w:themeColor="text1"/>
                </w:rPr>
                <m:t>​</m:t>
              </m:r>
            </m:sup>
            <m:e>
              <m:r>
                <w:rPr>
                  <w:rFonts w:ascii="Cambria Math" w:hAnsi="Cambria Math" w:cs="Times New Roman"/>
                  <w:color w:val="000000" w:themeColor="text1"/>
                </w:rPr>
                <m:t>I</m:t>
              </m:r>
            </m:e>
          </m:nary>
          <m:r>
            <m:rPr>
              <m:sty m:val="p"/>
            </m:rPr>
            <w:rPr>
              <w:rFonts w:ascii="Cambria Math" w:hAnsi="Cambria Math" w:cs="Times New Roman"/>
              <w:color w:val="000000" w:themeColor="text1"/>
            </w:rPr>
            <m:t>{</m:t>
          </m:r>
          <m:r>
            <w:rPr>
              <w:rFonts w:ascii="Cambria Math" w:hAnsi="Cambria Math" w:cs="Times New Roman"/>
              <w:color w:val="000000" w:themeColor="text1"/>
            </w:rPr>
            <m:t>I</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r>
                <w:rPr>
                  <w:rFonts w:ascii="Cambria Math" w:hAnsi="Cambria Math" w:cs="Times New Roman"/>
                  <w:color w:val="000000" w:themeColor="text1"/>
                </w:rPr>
                <m:t>0.5</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S17</m:t>
              </m:r>
            </m:e>
          </m:d>
        </m:oMath>
      </m:oMathPara>
    </w:p>
    <w:p w14:paraId="1E235858"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The area under the receiver operating characteristic curve (AUC) was calculated from qij and yij across masked sites. Prevalence error compared the mean posterior predictive probability with the true masked-site prevalence:</w:t>
      </w:r>
    </w:p>
    <w:p w14:paraId="4D00EB2E"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PrevErr=</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mis</m:t>
                  </m:r>
                </m:sub>
              </m:sSub>
            </m:den>
          </m:f>
          <m:nary>
            <m:naryPr>
              <m:chr m:val="∑"/>
              <m:limLoc m:val="undOvr"/>
              <m:supHide m:val="1"/>
              <m:ctrlPr>
                <w:rPr>
                  <w:rFonts w:ascii="Cambria Math" w:hAnsi="Cambria Math" w:cs="Times New Roman"/>
                  <w:color w:val="000000" w:themeColor="text1"/>
                </w:rPr>
              </m:ctrlPr>
            </m:naryPr>
            <m:sub>
              <m:d>
                <m:dPr>
                  <m:ctrlPr>
                    <w:rPr>
                      <w:rFonts w:ascii="Cambria Math" w:hAnsi="Cambria Math" w:cs="Times New Roman"/>
                      <w:color w:val="000000" w:themeColor="text1"/>
                    </w:rPr>
                  </m:ctrlPr>
                </m:dPr>
                <m:e>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e>
              </m:d>
              <m:r>
                <m:rPr>
                  <m:scr m:val="script"/>
                  <m:sty m:val="p"/>
                </m:rPr>
                <w:rPr>
                  <w:rFonts w:ascii="Cambria Math" w:hAnsi="Cambria Math" w:cs="Times New Roman"/>
                  <w:color w:val="000000" w:themeColor="text1"/>
                </w:rPr>
                <m:t>∈M</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ij</m:t>
                  </m:r>
                </m:sub>
              </m:sSub>
            </m:e>
          </m:nary>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m:rPr>
                      <m:sty m:val="p"/>
                    </m:rPr>
                    <w:rPr>
                      <w:rFonts w:ascii="Cambria Math" w:hAnsi="Cambria Math" w:cs="Times New Roman"/>
                      <w:color w:val="000000" w:themeColor="text1"/>
                    </w:rPr>
                    <m:t>mis</m:t>
                  </m:r>
                </m:sub>
              </m:sSub>
            </m:den>
          </m:f>
          <m:nary>
            <m:naryPr>
              <m:chr m:val="∑"/>
              <m:limLoc m:val="undOvr"/>
              <m:supHide m:val="1"/>
              <m:ctrlPr>
                <w:rPr>
                  <w:rFonts w:ascii="Cambria Math" w:hAnsi="Cambria Math" w:cs="Times New Roman"/>
                  <w:color w:val="000000" w:themeColor="text1"/>
                </w:rPr>
              </m:ctrlPr>
            </m:naryPr>
            <m:sub>
              <m:d>
                <m:dPr>
                  <m:ctrlPr>
                    <w:rPr>
                      <w:rFonts w:ascii="Cambria Math" w:hAnsi="Cambria Math" w:cs="Times New Roman"/>
                      <w:color w:val="000000" w:themeColor="text1"/>
                    </w:rPr>
                  </m:ctrlPr>
                </m:dPr>
                <m:e>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e>
              </m:d>
              <m:r>
                <m:rPr>
                  <m:scr m:val="script"/>
                  <m:sty m:val="p"/>
                </m:rPr>
                <w:rPr>
                  <w:rFonts w:ascii="Cambria Math" w:hAnsi="Cambria Math" w:cs="Times New Roman"/>
                  <w:color w:val="000000" w:themeColor="text1"/>
                </w:rPr>
                <m:t>∈M</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S18</m:t>
              </m:r>
            </m:e>
          </m:d>
        </m:oMath>
      </m:oMathPara>
    </w:p>
    <w:p w14:paraId="374B1AEE"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Prevalence RMSE summarized this error across replicates:</w:t>
      </w:r>
    </w:p>
    <w:p w14:paraId="5754E06B" w14:textId="77777777" w:rsidR="00784DA7" w:rsidRPr="009A5A07" w:rsidRDefault="00000000">
      <w:pPr>
        <w:pStyle w:val="a0"/>
        <w:rPr>
          <w:rFonts w:ascii="Times New Roman" w:hAnsi="Times New Roman" w:cs="Times New Roman"/>
          <w:color w:val="000000" w:themeColor="text1"/>
        </w:rPr>
      </w:pPr>
      <m:oMathPara>
        <m:oMathParaPr>
          <m:jc m:val="center"/>
        </m:oMathParaPr>
        <m:oMath>
          <m:r>
            <m:rPr>
              <m:sty m:val="p"/>
            </m:rPr>
            <w:rPr>
              <w:rFonts w:ascii="Cambria Math" w:hAnsi="Cambria Math" w:cs="Times New Roman"/>
              <w:color w:val="000000" w:themeColor="text1"/>
            </w:rPr>
            <m:t>PrevRMSE=</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L</m:t>
                  </m:r>
                </m:den>
              </m:f>
              <m:nary>
                <m:naryPr>
                  <m:chr m:val="∑"/>
                  <m:limLoc m:val="undOvr"/>
                  <m:ctrlPr>
                    <w:rPr>
                      <w:rFonts w:ascii="Cambria Math" w:hAnsi="Cambria Math" w:cs="Times New Roman"/>
                      <w:color w:val="000000" w:themeColor="text1"/>
                    </w:rPr>
                  </m:ctrlPr>
                </m:naryPr>
                <m:sub>
                  <m:r>
                    <m:rPr>
                      <m:scr m:val="script"/>
                      <m:sty m:val="p"/>
                    </m:rPr>
                    <w:rPr>
                      <w:rFonts w:ascii="Cambria Math" w:hAnsi="Cambria Math" w:cs="Times New Roman"/>
                      <w:color w:val="000000" w:themeColor="text1"/>
                    </w:rPr>
                    <m:t>l=</m:t>
                  </m:r>
                  <m:r>
                    <w:rPr>
                      <w:rFonts w:ascii="Cambria Math" w:hAnsi="Cambria Math" w:cs="Times New Roman"/>
                      <w:color w:val="000000" w:themeColor="text1"/>
                    </w:rPr>
                    <m:t>1</m:t>
                  </m:r>
                </m:sub>
                <m:sup>
                  <m:r>
                    <w:rPr>
                      <w:rFonts w:ascii="Cambria Math" w:hAnsi="Cambria Math" w:cs="Times New Roman"/>
                      <w:color w:val="000000" w:themeColor="text1"/>
                    </w:rPr>
                    <m:t>L</m:t>
                  </m:r>
                </m:sup>
                <m:e>
                  <m:sSubSup>
                    <m:sSubSupPr>
                      <m:ctrlPr>
                        <w:rPr>
                          <w:rFonts w:ascii="Cambria Math" w:hAnsi="Cambria Math" w:cs="Times New Roman"/>
                          <w:color w:val="000000" w:themeColor="text1"/>
                        </w:rPr>
                      </m:ctrlPr>
                    </m:sSubSupPr>
                    <m:e>
                      <m:r>
                        <m:rPr>
                          <m:sty m:val="p"/>
                        </m:rPr>
                        <w:rPr>
                          <w:rFonts w:ascii="Cambria Math" w:hAnsi="Cambria Math" w:cs="Times New Roman"/>
                          <w:color w:val="000000" w:themeColor="text1"/>
                        </w:rPr>
                        <m:t>PrevErr</m:t>
                      </m:r>
                    </m:e>
                    <m:sub>
                      <m:r>
                        <m:rPr>
                          <m:scr m:val="script"/>
                          <m:sty m:val="p"/>
                        </m:rPr>
                        <w:rPr>
                          <w:rFonts w:ascii="Cambria Math" w:hAnsi="Cambria Math" w:cs="Times New Roman"/>
                          <w:color w:val="000000" w:themeColor="text1"/>
                        </w:rPr>
                        <m:t>l</m:t>
                      </m:r>
                    </m:sub>
                    <m:sup>
                      <m:r>
                        <w:rPr>
                          <w:rFonts w:ascii="Cambria Math" w:hAnsi="Cambria Math" w:cs="Times New Roman"/>
                          <w:color w:val="000000" w:themeColor="text1"/>
                        </w:rPr>
                        <m:t>2</m:t>
                      </m:r>
                    </m:sup>
                  </m:sSubSup>
                </m:e>
              </m:nary>
            </m:e>
          </m:ra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S19</m:t>
              </m:r>
            </m:e>
          </m:d>
        </m:oMath>
      </m:oMathPara>
    </w:p>
    <w:p w14:paraId="6E325F68"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where L is the number of replicates.</w:t>
      </w:r>
    </w:p>
    <w:p w14:paraId="1D830042"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For patient-level disease burden, the true and imputed disease counts for patient-visit cluster i were</w:t>
      </w:r>
    </w:p>
    <w:p w14:paraId="45ADB7F9"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sup>
            <m:e>
              <m:sSub>
                <m:sSubPr>
                  <m:ctrlPr>
                    <w:rPr>
                      <w:rFonts w:ascii="Cambria Math" w:hAnsi="Cambria Math" w:cs="Times New Roman"/>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ij</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C</m:t>
                  </m:r>
                </m:e>
              </m:acc>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i</m:t>
                  </m:r>
                </m:sub>
              </m:sSub>
            </m:sup>
            <m:e>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ij</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S20</m:t>
              </m:r>
            </m:e>
          </m:d>
        </m:oMath>
      </m:oMathPara>
    </w:p>
    <w:p w14:paraId="347796B0"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Patient-level bias and RMSE were calculated across patient-visit clusters:</w:t>
      </w:r>
    </w:p>
    <w:p w14:paraId="6ADC9F7F" w14:textId="77777777" w:rsidR="00784DA7" w:rsidRPr="009A5A07" w:rsidRDefault="00000000">
      <w:pPr>
        <w:pStyle w:val="a0"/>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Bias</m:t>
              </m:r>
            </m:e>
            <m:sub>
              <m:r>
                <m:rPr>
                  <m:sty m:val="p"/>
                </m:rPr>
                <w:rPr>
                  <w:rFonts w:ascii="Cambria Math" w:hAnsi="Cambria Math" w:cs="Times New Roman"/>
                  <w:color w:val="000000" w:themeColor="text1"/>
                </w:rPr>
                <m:t>count</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c</m:t>
                  </m:r>
                </m:sub>
              </m:sSub>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c</m:t>
                  </m:r>
                </m:sub>
              </m:sSub>
            </m:sup>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C</m:t>
                          </m:r>
                        </m:e>
                      </m:acc>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i</m:t>
                      </m:r>
                    </m:sub>
                  </m:sSub>
                </m:e>
              </m:d>
            </m:e>
          </m:nary>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S21</m:t>
              </m:r>
            </m:e>
          </m:d>
        </m:oMath>
      </m:oMathPara>
    </w:p>
    <w:p w14:paraId="2CDFC8DE" w14:textId="77777777" w:rsidR="00784DA7" w:rsidRPr="009A5A07" w:rsidRDefault="00000000">
      <w:pPr>
        <w:pStyle w:val="FirstParagrap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RMSE</m:t>
              </m:r>
            </m:e>
            <m:sub>
              <m:r>
                <m:rPr>
                  <m:sty m:val="p"/>
                </m:rPr>
                <w:rPr>
                  <w:rFonts w:ascii="Cambria Math" w:hAnsi="Cambria Math" w:cs="Times New Roman"/>
                  <w:color w:val="000000" w:themeColor="text1"/>
                </w:rPr>
                <m:t>count</m:t>
              </m:r>
            </m:sub>
          </m:sSub>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c</m:t>
                      </m:r>
                    </m:sub>
                  </m:sSub>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c</m:t>
                      </m:r>
                    </m:sub>
                  </m:sSub>
                </m:sup>
                <m:e>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C</m:t>
                                  </m:r>
                                </m:e>
                              </m:acc>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i</m:t>
                              </m:r>
                            </m:sub>
                          </m:sSub>
                        </m:e>
                      </m:d>
                    </m:e>
                    <m:sup>
                      <m:r>
                        <w:rPr>
                          <w:rFonts w:ascii="Cambria Math" w:hAnsi="Cambria Math" w:cs="Times New Roman"/>
                          <w:color w:val="000000" w:themeColor="text1"/>
                        </w:rPr>
                        <m:t>2</m:t>
                      </m:r>
                    </m:sup>
                  </m:sSup>
                </m:e>
              </m:nary>
            </m:e>
          </m:ra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S22</m:t>
              </m:r>
            </m:e>
          </m:d>
        </m:oMath>
      </m:oMathPara>
    </w:p>
    <w:p w14:paraId="2029BE8C"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Runtime was recorded per endpoint and method to assess computational feasibility in the high-dimensional 192-site cluster setting.</w:t>
      </w:r>
    </w:p>
    <w:p w14:paraId="52AB32BF" w14:textId="0CC6A268" w:rsidR="00BC5533" w:rsidRPr="00BC5533" w:rsidRDefault="00000000" w:rsidP="00BC5533">
      <w:pPr>
        <w:pStyle w:val="2"/>
        <w:rPr>
          <w:rFonts w:ascii="Times New Roman" w:hAnsi="Times New Roman" w:cs="Times New Roman"/>
          <w:color w:val="000000" w:themeColor="text1"/>
          <w:sz w:val="24"/>
          <w:szCs w:val="24"/>
        </w:rPr>
      </w:pPr>
      <w:bookmarkStart w:id="14" w:name="s13.-nmar-sensitivity-analyses"/>
      <w:bookmarkEnd w:id="13"/>
      <w:r w:rsidRPr="009A5A07">
        <w:rPr>
          <w:rFonts w:ascii="Times New Roman" w:hAnsi="Times New Roman" w:cs="Times New Roman"/>
          <w:color w:val="000000" w:themeColor="text1"/>
          <w:sz w:val="24"/>
          <w:szCs w:val="24"/>
        </w:rPr>
        <w:lastRenderedPageBreak/>
        <w:t>S13. NMAR sensitivity analyses</w:t>
      </w:r>
    </w:p>
    <w:p w14:paraId="318BFA9E" w14:textId="672FA5A7" w:rsidR="00BC5533"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 xml:space="preserve">The NMAR analyses were used to examine how the imputation procedure behaved when the probability of recording depended directly on underlying disease status. These analyses were not intended to identify the true clinical missingness mechanism. </w:t>
      </w:r>
      <w:r w:rsidR="00BC5533" w:rsidRPr="00BC5533">
        <w:rPr>
          <w:rFonts w:ascii="Times New Roman" w:hAnsi="Times New Roman" w:cs="Times New Roman"/>
          <w:color w:val="000000" w:themeColor="text1"/>
        </w:rPr>
        <w:t xml:space="preserve">Both the simulation study and the real-world evaluation were rerun under six purpose-built NMAR mechanisms that mirror clinical behavior. NMAR thresholds were chosen to reflect the ODR recording pattern (mean 147.1/192 sites observed per visit; ~23% missing; Online Resource 1) and varied around this level to form light/base/heavy sensitivity scenarios. For CAL-driven NMAR, we masked shallow sites at 20 % (“light”), 30 % (“base”), or 40 % (“heavy”) probability, and the diseased CAL </w:t>
      </w:r>
      <w:r w:rsidR="00BC5533" w:rsidRPr="00BC5533">
        <w:rPr>
          <w:rFonts w:ascii="Times New Roman" w:hAnsi="Times New Roman" w:cs="Times New Roman" w:hint="eastAsia"/>
          <w:color w:val="000000" w:themeColor="text1"/>
        </w:rPr>
        <w:t>≥</w:t>
      </w:r>
      <w:r w:rsidR="00BC5533" w:rsidRPr="00BC5533">
        <w:rPr>
          <w:rFonts w:ascii="Times New Roman" w:hAnsi="Times New Roman" w:cs="Times New Roman"/>
          <w:color w:val="000000" w:themeColor="text1"/>
        </w:rPr>
        <w:t xml:space="preserve">3 mm sites at 5 %, 10 %, or 15 %, respectively (tooth dropout remained 35 %). For PPD-driven NMAR, we used 20/5 %, 25/5 %, and 35/10 % probabilities for PPD &lt;5 mm vs </w:t>
      </w:r>
      <w:r w:rsidR="00BC5533" w:rsidRPr="00BC5533">
        <w:rPr>
          <w:rFonts w:ascii="Times New Roman" w:hAnsi="Times New Roman" w:cs="Times New Roman" w:hint="eastAsia"/>
          <w:color w:val="000000" w:themeColor="text1"/>
        </w:rPr>
        <w:t>≥</w:t>
      </w:r>
      <w:r w:rsidR="00BC5533" w:rsidRPr="00BC5533">
        <w:rPr>
          <w:rFonts w:ascii="Times New Roman" w:hAnsi="Times New Roman" w:cs="Times New Roman"/>
          <w:color w:val="000000" w:themeColor="text1"/>
        </w:rPr>
        <w:t xml:space="preserve">5 mm sites. Each scenario was replicated across all endpoints (PPD </w:t>
      </w:r>
      <w:r w:rsidR="00BC5533" w:rsidRPr="00BC5533">
        <w:rPr>
          <w:rFonts w:ascii="Times New Roman" w:hAnsi="Times New Roman" w:cs="Times New Roman" w:hint="eastAsia"/>
          <w:color w:val="000000" w:themeColor="text1"/>
        </w:rPr>
        <w:t>≥</w:t>
      </w:r>
      <w:r w:rsidR="00BC5533" w:rsidRPr="00BC5533">
        <w:rPr>
          <w:rFonts w:ascii="Times New Roman" w:hAnsi="Times New Roman" w:cs="Times New Roman"/>
          <w:color w:val="000000" w:themeColor="text1"/>
        </w:rPr>
        <w:t xml:space="preserve">5/6 mm, CAL </w:t>
      </w:r>
      <w:r w:rsidR="00BC5533" w:rsidRPr="00BC5533">
        <w:rPr>
          <w:rFonts w:ascii="Times New Roman" w:hAnsi="Times New Roman" w:cs="Times New Roman" w:hint="eastAsia"/>
          <w:color w:val="000000" w:themeColor="text1"/>
        </w:rPr>
        <w:t>≥</w:t>
      </w:r>
      <w:r w:rsidR="00BC5533" w:rsidRPr="00BC5533">
        <w:rPr>
          <w:rFonts w:ascii="Times New Roman" w:hAnsi="Times New Roman" w:cs="Times New Roman"/>
          <w:color w:val="000000" w:themeColor="text1"/>
        </w:rPr>
        <w:t>3/4/5 mm), producing site-level metrics, patient-level counts, and longitudinal summaries in both the simulation setting and the ODR masking experiments.</w:t>
      </w:r>
    </w:p>
    <w:p w14:paraId="4D46D59C" w14:textId="3B511B2A"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 xml:space="preserve">The simulation sensitivity results are reported at the site level and patient level in </w:t>
      </w:r>
      <w:r w:rsidR="005578E1">
        <w:rPr>
          <w:rFonts w:ascii="Times New Roman" w:hAnsi="Times New Roman" w:cs="Times New Roman"/>
          <w:color w:val="000000" w:themeColor="text1"/>
        </w:rPr>
        <w:t>Online Resources</w:t>
      </w:r>
      <w:r w:rsidR="005578E1" w:rsidRPr="009A5A07">
        <w:rPr>
          <w:rFonts w:ascii="Times New Roman" w:hAnsi="Times New Roman" w:cs="Times New Roman"/>
          <w:color w:val="000000" w:themeColor="text1"/>
        </w:rPr>
        <w:t xml:space="preserve"> </w:t>
      </w:r>
      <w:r w:rsidRPr="009A5A07">
        <w:rPr>
          <w:rFonts w:ascii="Times New Roman" w:hAnsi="Times New Roman" w:cs="Times New Roman"/>
          <w:color w:val="000000" w:themeColor="text1"/>
        </w:rPr>
        <w:t xml:space="preserve">8 and 9, respectively. The corresponding ODR sensitivity results are reported at the site level and patient level in </w:t>
      </w:r>
      <w:r w:rsidR="005578E1">
        <w:rPr>
          <w:rFonts w:ascii="Times New Roman" w:hAnsi="Times New Roman" w:cs="Times New Roman"/>
          <w:color w:val="000000" w:themeColor="text1"/>
        </w:rPr>
        <w:t xml:space="preserve">Online Resources </w:t>
      </w:r>
      <w:r w:rsidRPr="009A5A07">
        <w:rPr>
          <w:rFonts w:ascii="Times New Roman" w:hAnsi="Times New Roman" w:cs="Times New Roman"/>
          <w:color w:val="000000" w:themeColor="text1"/>
        </w:rPr>
        <w:t>10 and 11, respectively.</w:t>
      </w:r>
    </w:p>
    <w:p w14:paraId="317D8EA0"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For the sensitivity scenarios, the CAL-driven mechanisms used the following paired missingness probabilities for non-diseased and diseased sites:</w:t>
      </w:r>
    </w:p>
    <w:p w14:paraId="38D55882" w14:textId="77777777" w:rsidR="00784DA7" w:rsidRPr="009A5A07" w:rsidRDefault="00000000">
      <w:pPr>
        <w:pStyle w:val="a0"/>
        <w:rPr>
          <w:rFonts w:ascii="Times New Roman" w:hAnsi="Times New Roman" w:cs="Times New Roman"/>
          <w:color w:val="000000" w:themeColor="text1"/>
        </w:rPr>
      </w:pPr>
      <m:oMathPara>
        <m:oMathParaPr>
          <m:jc m:val="center"/>
        </m:oMathParaPr>
        <m:oMath>
          <m:d>
            <m:dPr>
              <m:ctrlPr>
                <w:rPr>
                  <w:rFonts w:ascii="Cambria Math" w:hAnsi="Cambria Math" w:cs="Times New Roman"/>
                  <w:color w:val="000000" w:themeColor="text1"/>
                </w:rPr>
              </m:ctrlPr>
            </m:dPr>
            <m:e>
              <m:r>
                <w:rPr>
                  <w:rFonts w:ascii="Cambria Math" w:hAnsi="Cambria Math" w:cs="Times New Roman"/>
                  <w:color w:val="000000" w:themeColor="text1"/>
                </w:rPr>
                <m:t>0.20</m:t>
              </m:r>
              <m:r>
                <m:rPr>
                  <m:sty m:val="p"/>
                </m:rPr>
                <w:rPr>
                  <w:rFonts w:ascii="Cambria Math" w:hAnsi="Cambria Math" w:cs="Times New Roman"/>
                  <w:color w:val="000000" w:themeColor="text1"/>
                </w:rPr>
                <m:t>,</m:t>
              </m:r>
              <m:r>
                <w:rPr>
                  <w:rFonts w:ascii="Cambria Math" w:hAnsi="Cambria Math" w:cs="Times New Roman"/>
                  <w:color w:val="000000" w:themeColor="text1"/>
                </w:rPr>
                <m:t>0.05</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0.30</m:t>
              </m:r>
              <m:r>
                <m:rPr>
                  <m:sty m:val="p"/>
                </m:rPr>
                <w:rPr>
                  <w:rFonts w:ascii="Cambria Math" w:hAnsi="Cambria Math" w:cs="Times New Roman"/>
                  <w:color w:val="000000" w:themeColor="text1"/>
                </w:rPr>
                <m:t>,</m:t>
              </m:r>
              <m:r>
                <w:rPr>
                  <w:rFonts w:ascii="Cambria Math" w:hAnsi="Cambria Math" w:cs="Times New Roman"/>
                  <w:color w:val="000000" w:themeColor="text1"/>
                </w:rPr>
                <m:t>0.10</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0.40</m:t>
              </m:r>
              <m:r>
                <m:rPr>
                  <m:sty m:val="p"/>
                </m:rPr>
                <w:rPr>
                  <w:rFonts w:ascii="Cambria Math" w:hAnsi="Cambria Math" w:cs="Times New Roman"/>
                  <w:color w:val="000000" w:themeColor="text1"/>
                </w:rPr>
                <m:t>,</m:t>
              </m:r>
              <m:r>
                <w:rPr>
                  <w:rFonts w:ascii="Cambria Math" w:hAnsi="Cambria Math" w:cs="Times New Roman"/>
                  <w:color w:val="000000" w:themeColor="text1"/>
                </w:rPr>
                <m:t>0.15</m:t>
              </m:r>
            </m:e>
          </m:d>
          <m:r>
            <m:rPr>
              <m:sty m:val="p"/>
            </m:rPr>
            <w:rPr>
              <w:rFonts w:ascii="Cambria Math" w:hAnsi="Cambria Math" w:cs="Times New Roman"/>
              <w:color w:val="000000" w:themeColor="text1"/>
            </w:rPr>
            <m:t>,</m:t>
          </m:r>
        </m:oMath>
      </m:oMathPara>
    </w:p>
    <w:p w14:paraId="6BB13888"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where the first value applies to CAL&lt;3 mm and the second to CAL≥3 mm. The PPD-driven mechanisms used</w:t>
      </w:r>
    </w:p>
    <w:p w14:paraId="08D2BA49" w14:textId="77777777" w:rsidR="00784DA7" w:rsidRPr="009A5A07" w:rsidRDefault="00000000">
      <w:pPr>
        <w:pStyle w:val="a0"/>
        <w:rPr>
          <w:rFonts w:ascii="Times New Roman" w:hAnsi="Times New Roman" w:cs="Times New Roman"/>
          <w:color w:val="000000" w:themeColor="text1"/>
        </w:rPr>
      </w:pPr>
      <m:oMathPara>
        <m:oMathParaPr>
          <m:jc m:val="center"/>
        </m:oMathParaPr>
        <m:oMath>
          <m:d>
            <m:dPr>
              <m:ctrlPr>
                <w:rPr>
                  <w:rFonts w:ascii="Cambria Math" w:hAnsi="Cambria Math" w:cs="Times New Roman"/>
                  <w:color w:val="000000" w:themeColor="text1"/>
                </w:rPr>
              </m:ctrlPr>
            </m:dPr>
            <m:e>
              <m:r>
                <w:rPr>
                  <w:rFonts w:ascii="Cambria Math" w:hAnsi="Cambria Math" w:cs="Times New Roman"/>
                  <w:color w:val="000000" w:themeColor="text1"/>
                </w:rPr>
                <m:t>0.20</m:t>
              </m:r>
              <m:r>
                <m:rPr>
                  <m:sty m:val="p"/>
                </m:rPr>
                <w:rPr>
                  <w:rFonts w:ascii="Cambria Math" w:hAnsi="Cambria Math" w:cs="Times New Roman"/>
                  <w:color w:val="000000" w:themeColor="text1"/>
                </w:rPr>
                <m:t>,</m:t>
              </m:r>
              <m:r>
                <w:rPr>
                  <w:rFonts w:ascii="Cambria Math" w:hAnsi="Cambria Math" w:cs="Times New Roman"/>
                  <w:color w:val="000000" w:themeColor="text1"/>
                </w:rPr>
                <m:t>0.05</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0.25</m:t>
              </m:r>
              <m:r>
                <m:rPr>
                  <m:sty m:val="p"/>
                </m:rPr>
                <w:rPr>
                  <w:rFonts w:ascii="Cambria Math" w:hAnsi="Cambria Math" w:cs="Times New Roman"/>
                  <w:color w:val="000000" w:themeColor="text1"/>
                </w:rPr>
                <m:t>,</m:t>
              </m:r>
              <m:r>
                <w:rPr>
                  <w:rFonts w:ascii="Cambria Math" w:hAnsi="Cambria Math" w:cs="Times New Roman"/>
                  <w:color w:val="000000" w:themeColor="text1"/>
                </w:rPr>
                <m:t>0.05</m:t>
              </m:r>
            </m:e>
          </m:d>
          <m:r>
            <m:rPr>
              <m:sty m:val="p"/>
            </m:rPr>
            <w:rPr>
              <w:rFonts w:ascii="Cambria Math" w:hAnsi="Cambria Math" w:cs="Times New Roman"/>
              <w:color w:val="000000" w:themeColor="text1"/>
            </w:rPr>
            <m:t>,</m:t>
          </m:r>
          <m:r>
            <w:rPr>
              <w:rFonts w:ascii="Cambria Math" w:hAnsi="Cambria Math" w:cs="Times New Roman"/>
              <w:color w:val="000000" w:themeColor="text1"/>
            </w:rPr>
            <m:t> </m:t>
          </m:r>
          <m:d>
            <m:dPr>
              <m:ctrlPr>
                <w:rPr>
                  <w:rFonts w:ascii="Cambria Math" w:hAnsi="Cambria Math" w:cs="Times New Roman"/>
                  <w:color w:val="000000" w:themeColor="text1"/>
                </w:rPr>
              </m:ctrlPr>
            </m:dPr>
            <m:e>
              <m:r>
                <w:rPr>
                  <w:rFonts w:ascii="Cambria Math" w:hAnsi="Cambria Math" w:cs="Times New Roman"/>
                  <w:color w:val="000000" w:themeColor="text1"/>
                </w:rPr>
                <m:t>0.35</m:t>
              </m:r>
              <m:r>
                <m:rPr>
                  <m:sty m:val="p"/>
                </m:rPr>
                <w:rPr>
                  <w:rFonts w:ascii="Cambria Math" w:hAnsi="Cambria Math" w:cs="Times New Roman"/>
                  <w:color w:val="000000" w:themeColor="text1"/>
                </w:rPr>
                <m:t>,</m:t>
              </m:r>
              <m:r>
                <w:rPr>
                  <w:rFonts w:ascii="Cambria Math" w:hAnsi="Cambria Math" w:cs="Times New Roman"/>
                  <w:color w:val="000000" w:themeColor="text1"/>
                </w:rPr>
                <m:t>0.10</m:t>
              </m:r>
            </m:e>
          </m:d>
          <m:r>
            <m:rPr>
              <m:sty m:val="p"/>
            </m:rPr>
            <w:rPr>
              <w:rFonts w:ascii="Cambria Math" w:hAnsi="Cambria Math" w:cs="Times New Roman"/>
              <w:color w:val="000000" w:themeColor="text1"/>
            </w:rPr>
            <m:t>,</m:t>
          </m:r>
        </m:oMath>
      </m:oMathPara>
    </w:p>
    <w:p w14:paraId="1741462F" w14:textId="77777777" w:rsidR="00784DA7" w:rsidRPr="009A5A07" w:rsidRDefault="00000000">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where the first value applies to PPD&lt;5 mm and the second to PPD≥5 mm.</w:t>
      </w:r>
    </w:p>
    <w:p w14:paraId="3E2E2D60" w14:textId="77777777" w:rsidR="00784DA7" w:rsidRPr="009A5A07" w:rsidRDefault="00000000">
      <w:pPr>
        <w:pStyle w:val="a0"/>
        <w:rPr>
          <w:rFonts w:ascii="Times New Roman" w:hAnsi="Times New Roman" w:cs="Times New Roman"/>
          <w:color w:val="000000" w:themeColor="text1"/>
        </w:rPr>
      </w:pPr>
      <w:r w:rsidRPr="009A5A07">
        <w:rPr>
          <w:rFonts w:ascii="Times New Roman" w:hAnsi="Times New Roman" w:cs="Times New Roman"/>
          <w:color w:val="000000" w:themeColor="text1"/>
        </w:rPr>
        <w:t>The CLF imputation model is most naturally interpreted as a model for missing outcomes that are missing completely at random or missing at random conditional on the observed predictors and within-cluster structure. Residual bias under outcome-dependent missingness should therefore be interpreted as a limitation of MAR-based imputation rather than as a failure specific to CLF.</w:t>
      </w:r>
    </w:p>
    <w:p w14:paraId="0C8F8D7A" w14:textId="77777777" w:rsidR="00784DA7" w:rsidRPr="009A5A07" w:rsidRDefault="00000000">
      <w:pPr>
        <w:pStyle w:val="2"/>
        <w:rPr>
          <w:rFonts w:ascii="Times New Roman" w:hAnsi="Times New Roman" w:cs="Times New Roman"/>
          <w:color w:val="000000" w:themeColor="text1"/>
          <w:sz w:val="24"/>
          <w:szCs w:val="24"/>
        </w:rPr>
      </w:pPr>
      <w:bookmarkStart w:id="15" w:name="s14.-reproducibility-notes"/>
      <w:bookmarkEnd w:id="14"/>
      <w:r w:rsidRPr="009A5A07">
        <w:rPr>
          <w:rFonts w:ascii="Times New Roman" w:hAnsi="Times New Roman" w:cs="Times New Roman"/>
          <w:color w:val="000000" w:themeColor="text1"/>
          <w:sz w:val="24"/>
          <w:szCs w:val="24"/>
        </w:rPr>
        <w:t>S14. Reproducibility notes</w:t>
      </w:r>
    </w:p>
    <w:p w14:paraId="1860B496" w14:textId="20A58FD9" w:rsidR="00784DA7" w:rsidRPr="009A5A07" w:rsidRDefault="00000000" w:rsidP="00361BFD">
      <w:pPr>
        <w:pStyle w:val="FirstParagraph"/>
        <w:rPr>
          <w:rFonts w:ascii="Times New Roman" w:hAnsi="Times New Roman" w:cs="Times New Roman"/>
          <w:color w:val="000000" w:themeColor="text1"/>
        </w:rPr>
      </w:pPr>
      <w:r w:rsidRPr="009A5A07">
        <w:rPr>
          <w:rFonts w:ascii="Times New Roman" w:hAnsi="Times New Roman" w:cs="Times New Roman"/>
          <w:color w:val="000000" w:themeColor="text1"/>
        </w:rPr>
        <w:t>All analyses were conducted in R 4.3 using custom CLF code and standard R packages, including lme4, mice, miceadds, and VIM where applicable. The custom implementation stored the fitted mean parameters, fitted correlation parameters, feasibility-check results, imputed completed datasets, posterior predictive means, and performance metrics for each endpoint, scenario, replicate, and method. Code and data access are subject to the restrictions described in the main manuscript.</w:t>
      </w:r>
      <w:bookmarkEnd w:id="0"/>
      <w:bookmarkEnd w:id="15"/>
    </w:p>
    <w:sectPr w:rsidR="00784DA7" w:rsidRPr="009A5A0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7A442" w14:textId="77777777" w:rsidR="00FD41D2" w:rsidRDefault="00FD41D2">
      <w:pPr>
        <w:spacing w:after="0"/>
      </w:pPr>
      <w:r>
        <w:separator/>
      </w:r>
    </w:p>
  </w:endnote>
  <w:endnote w:type="continuationSeparator" w:id="0">
    <w:p w14:paraId="368F04C2" w14:textId="77777777" w:rsidR="00FD41D2" w:rsidRDefault="00FD41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C0476" w14:textId="77777777" w:rsidR="00FD41D2" w:rsidRDefault="00FD41D2">
      <w:r>
        <w:separator/>
      </w:r>
    </w:p>
  </w:footnote>
  <w:footnote w:type="continuationSeparator" w:id="0">
    <w:p w14:paraId="1CF35F7B" w14:textId="77777777" w:rsidR="00FD41D2" w:rsidRDefault="00FD4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4B1E445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A99411"/>
    <w:multiLevelType w:val="multilevel"/>
    <w:tmpl w:val="861A364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0A99414"/>
    <w:multiLevelType w:val="multilevel"/>
    <w:tmpl w:val="1DA251E0"/>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 w16cid:durableId="1461025579">
    <w:abstractNumId w:val="0"/>
  </w:num>
  <w:num w:numId="2" w16cid:durableId="809976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4816616">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84DA7"/>
    <w:rsid w:val="00045766"/>
    <w:rsid w:val="00046FB5"/>
    <w:rsid w:val="00361BFD"/>
    <w:rsid w:val="00423498"/>
    <w:rsid w:val="004F76C3"/>
    <w:rsid w:val="005578E1"/>
    <w:rsid w:val="005F6910"/>
    <w:rsid w:val="00600243"/>
    <w:rsid w:val="00784DA7"/>
    <w:rsid w:val="008D769D"/>
    <w:rsid w:val="009A5A07"/>
    <w:rsid w:val="00B614A0"/>
    <w:rsid w:val="00B87152"/>
    <w:rsid w:val="00BC5533"/>
    <w:rsid w:val="00CB0B6A"/>
    <w:rsid w:val="00D9044C"/>
    <w:rsid w:val="00E15A10"/>
    <w:rsid w:val="00F0491E"/>
    <w:rsid w:val="00FD4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56FE1CD"/>
  <w15:docId w15:val="{13E9B223-8FD1-A54D-8895-3ECA9705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color w:val="345A8A"/>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题注 字符"/>
    <w:basedOn w:val="a1"/>
    <w:link w:val="aa"/>
  </w:style>
  <w:style w:type="character" w:customStyle="1" w:styleId="VerbatimChar">
    <w:name w:val="Verbatim Char"/>
    <w:basedOn w:val="ab"/>
    <w:link w:val="SourceCode"/>
    <w:rPr>
      <w:rFonts w:ascii="Consolas" w:hAnsi="Consolas"/>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TO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2761</Words>
  <Characters>15933</Characters>
  <Application>Microsoft Office Word</Application>
  <DocSecurity>0</DocSecurity>
  <Lines>455</Lines>
  <Paragraphs>346</Paragraphs>
  <ScaleCrop>false</ScaleCrop>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Pinyan LIU</cp:lastModifiedBy>
  <cp:revision>19</cp:revision>
  <dcterms:created xsi:type="dcterms:W3CDTF">2026-05-13T07:21:00Z</dcterms:created>
  <dcterms:modified xsi:type="dcterms:W3CDTF">2026-05-17T08:05:00Z</dcterms:modified>
</cp:coreProperties>
</file>