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F2605" w14:textId="77777777" w:rsidR="002D1B0E" w:rsidRDefault="002D1B0E" w:rsidP="002D1B0E">
      <w:pPr>
        <w:spacing w:after="120" w:line="276" w:lineRule="auto"/>
        <w:jc w:val="both"/>
        <w:rPr>
          <w:rFonts w:ascii="Times New Roman" w:eastAsia="Arial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eastAsia="Arial" w:hAnsi="Times New Roman" w:cs="Times New Roman"/>
          <w:b/>
          <w:bCs/>
          <w:sz w:val="32"/>
          <w:szCs w:val="32"/>
          <w:lang w:val="en-US"/>
        </w:rPr>
        <w:t>Supplementary Materials</w:t>
      </w:r>
    </w:p>
    <w:p w14:paraId="3C625659" w14:textId="77777777" w:rsidR="002D1B0E" w:rsidRDefault="002D1B0E" w:rsidP="002D1B0E">
      <w:pPr>
        <w:spacing w:after="120" w:line="276" w:lineRule="auto"/>
        <w:jc w:val="both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The following supplementary materials are available online alongside this article:</w:t>
      </w:r>
    </w:p>
    <w:p w14:paraId="23976794" w14:textId="77777777" w:rsidR="002D1B0E" w:rsidRDefault="002D1B0E" w:rsidP="002D1B0E">
      <w:pPr>
        <w:spacing w:after="120" w:line="276" w:lineRule="auto"/>
        <w:jc w:val="both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  <w:b/>
          <w:bCs/>
        </w:rPr>
        <w:t>Table S1.</w:t>
      </w:r>
      <w:r>
        <w:rPr>
          <w:rFonts w:ascii="Times New Roman" w:eastAsia="Arial" w:hAnsi="Times New Roman" w:cs="Times New Roman"/>
        </w:rPr>
        <w:t xml:space="preserve"> Content Validity Index (CVI) results, including Item-Level CVI (I-CVI), Scale-Level CVI (S-CVI/Ave), and modified Kappa statistics κ* from the expert review phase.</w:t>
      </w:r>
    </w:p>
    <w:p w14:paraId="026D6B0A" w14:textId="77777777" w:rsidR="002D1B0E" w:rsidRDefault="002D1B0E" w:rsidP="002D1B0E">
      <w:pPr>
        <w:spacing w:after="120" w:line="276" w:lineRule="auto"/>
        <w:jc w:val="both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  <w:b/>
          <w:bCs/>
        </w:rPr>
        <w:t>Table S2.</w:t>
      </w:r>
      <w:r>
        <w:rPr>
          <w:rFonts w:ascii="Times New Roman" w:eastAsia="Arial" w:hAnsi="Times New Roman" w:cs="Times New Roman"/>
        </w:rPr>
        <w:t xml:space="preserve"> Classical Test Theory (CTT) item statistics, detailing difficulty and discrimination indices for the initial 26 items during the pilot testing phase.</w:t>
      </w:r>
    </w:p>
    <w:p w14:paraId="3AB0230B" w14:textId="77777777" w:rsidR="002D1B0E" w:rsidRDefault="002D1B0E" w:rsidP="002D1B0E">
      <w:pPr>
        <w:spacing w:after="120" w:line="276" w:lineRule="auto"/>
        <w:jc w:val="both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  <w:b/>
          <w:bCs/>
        </w:rPr>
        <w:t xml:space="preserve">Table S3. </w:t>
      </w:r>
      <w:r>
        <w:rPr>
          <w:rFonts w:ascii="Times New Roman" w:eastAsia="Arial" w:hAnsi="Times New Roman" w:cs="Times New Roman"/>
        </w:rPr>
        <w:t>Eigenvalues and proportion of variance explained from the parallel analysis for dimensionality assessment.</w:t>
      </w:r>
    </w:p>
    <w:p w14:paraId="123D309F" w14:textId="77777777" w:rsidR="002D1B0E" w:rsidRDefault="002D1B0E" w:rsidP="002D1B0E">
      <w:pPr>
        <w:spacing w:after="120" w:line="276" w:lineRule="auto"/>
        <w:jc w:val="both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  <w:b/>
          <w:bCs/>
        </w:rPr>
        <w:t>Table S4</w:t>
      </w:r>
      <w:r>
        <w:rPr>
          <w:rFonts w:ascii="Times New Roman" w:eastAsia="Arial" w:hAnsi="Times New Roman" w:cs="Times New Roman"/>
        </w:rPr>
        <w:t>. Full 26-item Item Response Theory (IRT) parameters, item-level fit statistics (S-X²), and retention/exclusion decisions.</w:t>
      </w:r>
    </w:p>
    <w:p w14:paraId="507F0326" w14:textId="77777777" w:rsidR="002D1B0E" w:rsidRDefault="002D1B0E" w:rsidP="002D1B0E">
      <w:pPr>
        <w:spacing w:after="120" w:line="276" w:lineRule="auto"/>
        <w:jc w:val="both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  <w:b/>
          <w:bCs/>
        </w:rPr>
        <w:t xml:space="preserve">Table S5. </w:t>
      </w:r>
      <w:r>
        <w:rPr>
          <w:rFonts w:ascii="Times New Roman" w:eastAsia="Arial" w:hAnsi="Times New Roman" w:cs="Times New Roman"/>
        </w:rPr>
        <w:t>Yen's Q3 residual correlation matrix for assessing local item dependence across the 26-item pool.</w:t>
      </w:r>
    </w:p>
    <w:p w14:paraId="33A8BC45" w14:textId="77777777" w:rsidR="002D1B0E" w:rsidRDefault="002D1B0E" w:rsidP="002D1B0E">
      <w:pPr>
        <w:spacing w:after="120" w:line="276" w:lineRule="auto"/>
        <w:jc w:val="both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  <w:b/>
          <w:bCs/>
        </w:rPr>
        <w:t>Table S6.</w:t>
      </w:r>
      <w:r>
        <w:rPr>
          <w:rFonts w:ascii="Times New Roman" w:eastAsia="Arial" w:hAnsi="Times New Roman" w:cs="Times New Roman"/>
        </w:rPr>
        <w:t xml:space="preserve"> Item blueprint and answer key for the 27-item CCKT item pool.</w:t>
      </w:r>
    </w:p>
    <w:p w14:paraId="6B4B7962" w14:textId="77777777" w:rsidR="002D1B0E" w:rsidRDefault="002D1B0E" w:rsidP="002D1B0E">
      <w:pPr>
        <w:spacing w:after="120" w:line="276" w:lineRule="auto"/>
        <w:jc w:val="both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  <w:b/>
          <w:bCs/>
        </w:rPr>
        <w:t>Figure S1.</w:t>
      </w:r>
      <w:r>
        <w:rPr>
          <w:rFonts w:ascii="Times New Roman" w:eastAsia="Arial" w:hAnsi="Times New Roman" w:cs="Times New Roman"/>
        </w:rPr>
        <w:t xml:space="preserve"> Parallel analysis scree plot comparing eigenvalues from actual data against simulated random data to determine factor retention.</w:t>
      </w:r>
    </w:p>
    <w:p w14:paraId="497C8808" w14:textId="77777777" w:rsidR="002D1B0E" w:rsidRDefault="002D1B0E" w:rsidP="002D1B0E">
      <w:pPr>
        <w:spacing w:after="120" w:line="276" w:lineRule="auto"/>
        <w:jc w:val="both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  <w:b/>
          <w:bCs/>
        </w:rPr>
        <w:t xml:space="preserve">STROBE Checklist. </w:t>
      </w:r>
      <w:r>
        <w:rPr>
          <w:rFonts w:ascii="Times New Roman" w:eastAsia="Arial" w:hAnsi="Times New Roman" w:cs="Times New Roman"/>
        </w:rPr>
        <w:t>Completed STROBE (Strengthening the Reporting of Observational Studies in Epidemiology) statement checklist for cross-sectional studies.</w:t>
      </w:r>
    </w:p>
    <w:p w14:paraId="0BBA09C9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B0E"/>
    <w:rsid w:val="002D1B0E"/>
    <w:rsid w:val="003C2EF4"/>
    <w:rsid w:val="00446799"/>
    <w:rsid w:val="00471820"/>
    <w:rsid w:val="006A7E07"/>
    <w:rsid w:val="00701021"/>
    <w:rsid w:val="00866E40"/>
    <w:rsid w:val="00B74216"/>
    <w:rsid w:val="00CF0FCC"/>
    <w:rsid w:val="00D62F8C"/>
    <w:rsid w:val="00DE06E6"/>
    <w:rsid w:val="00E15D4E"/>
    <w:rsid w:val="00E97CD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1B311"/>
  <w15:chartTrackingRefBased/>
  <w15:docId w15:val="{FC67B0DC-455B-4D3A-BFF3-1482D2E9E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B0E"/>
    <w:rPr>
      <w:rFonts w:ascii="Aptos" w:eastAsia="Aptos" w:hAnsi="Aptos" w:cs="Aptos"/>
      <w:kern w:val="0"/>
      <w:lang w:val="vi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1B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1B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1B0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1B0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1B0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1B0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1B0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1B0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1B0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1B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1B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1B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1B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1B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1B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1B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1B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1B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1B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D1B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1B0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D1B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1B0E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D1B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1B0E"/>
    <w:pPr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D1B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1B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1B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1B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993</Characters>
  <Application>Microsoft Office Word</Application>
  <DocSecurity>0</DocSecurity>
  <Lines>45</Lines>
  <Paragraphs>35</Paragraphs>
  <ScaleCrop>false</ScaleCrop>
  <Company>Springer Nature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2026-07-08T13:36:00Z</dcterms:created>
  <dcterms:modified xsi:type="dcterms:W3CDTF">2026-07-08T13:36:00Z</dcterms:modified>
</cp:coreProperties>
</file>