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69230" w14:textId="77777777" w:rsidR="00286EF8" w:rsidRDefault="00286EF8" w:rsidP="00286EF8">
      <w:pPr>
        <w:spacing w:after="80"/>
        <w:jc w:val="both"/>
      </w:pPr>
    </w:p>
    <w:tbl>
      <w:tblPr>
        <w:tblW w:w="9026" w:type="dxa"/>
        <w:tblBorders>
          <w:top w:val="single" w:sz="6" w:space="0" w:color="444444"/>
          <w:left w:val="none" w:sz="0" w:space="0" w:color="FFFFFF"/>
          <w:bottom w:val="single" w:sz="2" w:space="0" w:color="888888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86EF8" w:rsidRPr="0095504D" w14:paraId="34969F77" w14:textId="77777777" w:rsidTr="00BA484F">
        <w:tc>
          <w:tcPr>
            <w:tcW w:w="9026" w:type="dxa"/>
            <w:tcBorders>
              <w:top w:val="single" w:sz="6" w:space="0" w:color="444444"/>
              <w:left w:val="none" w:sz="0" w:space="0" w:color="FFFFFF"/>
              <w:bottom w:val="single" w:sz="2" w:space="0" w:color="888888"/>
              <w:right w:val="none" w:sz="0" w:space="0" w:color="FFFFFF"/>
            </w:tcBorders>
            <w:shd w:val="clear" w:color="auto" w:fill="FFFFFF"/>
            <w:tcMar>
              <w:top w:w="120" w:type="dxa"/>
              <w:left w:w="0" w:type="dxa"/>
              <w:bottom w:w="100" w:type="dxa"/>
              <w:right w:w="0" w:type="dxa"/>
            </w:tcMar>
          </w:tcPr>
          <w:p w14:paraId="124322B1" w14:textId="77777777" w:rsidR="00286EF8" w:rsidRPr="0095504D" w:rsidRDefault="00286EF8" w:rsidP="00BA484F">
            <w:pPr>
              <w:jc w:val="both"/>
              <w:rPr>
                <w:sz w:val="22"/>
                <w:szCs w:val="22"/>
              </w:rPr>
            </w:pPr>
            <w:r w:rsidRPr="0095504D">
              <w:rPr>
                <w:rFonts w:eastAsia="Arial" w:cs="Arial"/>
                <w:b/>
                <w:bCs/>
                <w:sz w:val="22"/>
                <w:szCs w:val="22"/>
              </w:rPr>
              <w:t>Box 1 | Action plan for repositioning malaria as a developmental emergency</w:t>
            </w:r>
          </w:p>
        </w:tc>
      </w:tr>
    </w:tbl>
    <w:p w14:paraId="117076CB" w14:textId="77777777" w:rsidR="00286EF8" w:rsidRPr="0095504D" w:rsidRDefault="00286EF8" w:rsidP="00286EF8">
      <w:pPr>
        <w:spacing w:after="80"/>
        <w:jc w:val="both"/>
        <w:rPr>
          <w:sz w:val="20"/>
          <w:szCs w:val="20"/>
        </w:rPr>
      </w:pP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307"/>
        <w:gridCol w:w="8689"/>
        <w:gridCol w:w="15"/>
      </w:tblGrid>
      <w:tr w:rsidR="00286EF8" w:rsidRPr="0095504D" w14:paraId="2417761F" w14:textId="77777777" w:rsidTr="00BA484F">
        <w:trPr>
          <w:gridAfter w:val="1"/>
          <w:wAfter w:w="15" w:type="dxa"/>
        </w:trPr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28A0611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085041"/>
                <w:sz w:val="20"/>
                <w:szCs w:val="20"/>
              </w:rPr>
              <w:t>EVIDENCE</w:t>
            </w:r>
          </w:p>
        </w:tc>
      </w:tr>
      <w:tr w:rsidR="00286EF8" w:rsidRPr="0095504D" w14:paraId="21F215BD" w14:textId="77777777" w:rsidTr="00BA484F">
        <w:trPr>
          <w:gridBefore w:val="1"/>
          <w:wBefore w:w="15" w:type="dxa"/>
        </w:trPr>
        <w:tc>
          <w:tcPr>
            <w:tcW w:w="160" w:type="dxa"/>
            <w:tcBorders>
              <w:top w:val="none" w:sz="0" w:space="0" w:color="FFFFFF"/>
              <w:left w:val="single" w:sz="12" w:space="0" w:color="0F6E56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</w:tcPr>
          <w:p w14:paraId="331B42BA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0F6E56"/>
                <w:sz w:val="20"/>
                <w:szCs w:val="20"/>
              </w:rPr>
              <w:t>1</w:t>
            </w:r>
          </w:p>
        </w:tc>
        <w:tc>
          <w:tcPr>
            <w:tcW w:w="8866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37DBADA4" w14:textId="77777777" w:rsidR="00286EF8" w:rsidRPr="0095504D" w:rsidRDefault="00286EF8" w:rsidP="00BA484F">
            <w:pPr>
              <w:spacing w:after="60"/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1A1A1A"/>
                <w:sz w:val="20"/>
                <w:szCs w:val="20"/>
              </w:rPr>
              <w:t>Generate and communicate granular economic evidence</w:t>
            </w:r>
          </w:p>
          <w:p w14:paraId="01A13EC7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color w:val="3D3D3A"/>
                <w:sz w:val="20"/>
                <w:szCs w:val="20"/>
              </w:rPr>
              <w:t>Develop national and subnational analyses that quantify the economic impacts of malaria, inaction, and elimination</w:t>
            </w:r>
            <w:r>
              <w:rPr>
                <w:rFonts w:eastAsia="Arial" w:cs="Arial"/>
                <w:color w:val="3D3D3A"/>
              </w:rPr>
              <w:t>,</w:t>
            </w:r>
            <w:r w:rsidRPr="0095504D">
              <w:rPr>
                <w:rFonts w:eastAsia="Arial" w:cs="Arial"/>
                <w:color w:val="3D3D3A"/>
                <w:sz w:val="20"/>
                <w:szCs w:val="20"/>
              </w:rPr>
              <w:t xml:space="preserve"> capturing variation across regions, sectors, and households</w:t>
            </w:r>
            <w:r>
              <w:rPr>
                <w:rFonts w:eastAsia="Arial" w:cs="Arial"/>
                <w:color w:val="3D3D3A"/>
              </w:rPr>
              <w:t>,</w:t>
            </w:r>
            <w:r w:rsidRPr="0095504D">
              <w:rPr>
                <w:rFonts w:eastAsia="Arial" w:cs="Arial"/>
                <w:color w:val="3D3D3A"/>
                <w:sz w:val="20"/>
                <w:szCs w:val="20"/>
              </w:rPr>
              <w:t xml:space="preserve"> and shift policy debate from short-term programme costs to the cumulative losses of sustained transmission, including missed demographic dividends and long-term institutional weakening.</w:t>
            </w:r>
          </w:p>
        </w:tc>
      </w:tr>
      <w:tr w:rsidR="00286EF8" w:rsidRPr="0095504D" w14:paraId="1D931FE4" w14:textId="77777777" w:rsidTr="00BA484F">
        <w:trPr>
          <w:gridBefore w:val="1"/>
          <w:wBefore w:w="15" w:type="dxa"/>
        </w:trPr>
        <w:tc>
          <w:tcPr>
            <w:tcW w:w="160" w:type="dxa"/>
            <w:tcBorders>
              <w:top w:val="none" w:sz="0" w:space="0" w:color="FFFFFF"/>
              <w:left w:val="single" w:sz="12" w:space="0" w:color="0F6E56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</w:tcPr>
          <w:p w14:paraId="5F38A50A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0F6E56"/>
                <w:sz w:val="20"/>
                <w:szCs w:val="20"/>
              </w:rPr>
              <w:t>2</w:t>
            </w:r>
          </w:p>
        </w:tc>
        <w:tc>
          <w:tcPr>
            <w:tcW w:w="8866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1B204A83" w14:textId="77777777" w:rsidR="00286EF8" w:rsidRPr="0095504D" w:rsidRDefault="00286EF8" w:rsidP="00BA484F">
            <w:pPr>
              <w:spacing w:after="60"/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1A1A1A"/>
                <w:sz w:val="20"/>
                <w:szCs w:val="20"/>
              </w:rPr>
              <w:t>Frame elimination as an irreversible development gain</w:t>
            </w:r>
          </w:p>
          <w:p w14:paraId="40D74587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color w:val="3D3D3A"/>
                <w:sz w:val="20"/>
                <w:szCs w:val="20"/>
              </w:rPr>
              <w:t>Position malaria elimination as a one-time structural investment that permanently alters development trajectories, unlocking demographic dividends and delivering intergenerational economic returns beyond recurrent health benefits.</w:t>
            </w:r>
          </w:p>
        </w:tc>
      </w:tr>
    </w:tbl>
    <w:p w14:paraId="303B2B1F" w14:textId="77777777" w:rsidR="00286EF8" w:rsidRPr="0095504D" w:rsidRDefault="00286EF8" w:rsidP="00286EF8">
      <w:pPr>
        <w:spacing w:after="80"/>
        <w:jc w:val="both"/>
        <w:rPr>
          <w:sz w:val="20"/>
          <w:szCs w:val="20"/>
        </w:rPr>
      </w:pP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307"/>
        <w:gridCol w:w="8689"/>
        <w:gridCol w:w="15"/>
      </w:tblGrid>
      <w:tr w:rsidR="00286EF8" w:rsidRPr="0095504D" w14:paraId="291278CB" w14:textId="77777777" w:rsidTr="00BA484F">
        <w:trPr>
          <w:gridAfter w:val="1"/>
          <w:wAfter w:w="15" w:type="dxa"/>
        </w:trPr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DFE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20E10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3C3489"/>
                <w:sz w:val="20"/>
                <w:szCs w:val="20"/>
              </w:rPr>
              <w:t>LEADERSHIP &amp; GOVERNANCE</w:t>
            </w:r>
          </w:p>
        </w:tc>
      </w:tr>
      <w:tr w:rsidR="00286EF8" w:rsidRPr="0095504D" w14:paraId="5DCCFD18" w14:textId="77777777" w:rsidTr="00BA484F">
        <w:trPr>
          <w:gridBefore w:val="1"/>
          <w:wBefore w:w="15" w:type="dxa"/>
        </w:trPr>
        <w:tc>
          <w:tcPr>
            <w:tcW w:w="160" w:type="dxa"/>
            <w:tcBorders>
              <w:top w:val="none" w:sz="0" w:space="0" w:color="FFFFFF"/>
              <w:left w:val="single" w:sz="12" w:space="0" w:color="534AB7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</w:tcPr>
          <w:p w14:paraId="44B0DCB0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534AB7"/>
                <w:sz w:val="20"/>
                <w:szCs w:val="20"/>
              </w:rPr>
              <w:t>3</w:t>
            </w:r>
          </w:p>
        </w:tc>
        <w:tc>
          <w:tcPr>
            <w:tcW w:w="8866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500F16B7" w14:textId="77777777" w:rsidR="00286EF8" w:rsidRPr="0095504D" w:rsidRDefault="00286EF8" w:rsidP="00BA484F">
            <w:pPr>
              <w:spacing w:after="60"/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1A1A1A"/>
                <w:sz w:val="20"/>
                <w:szCs w:val="20"/>
              </w:rPr>
              <w:t>Anchor economic leadership in malaria policy</w:t>
            </w:r>
          </w:p>
          <w:p w14:paraId="6DE74EF5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color w:val="3D3D3A"/>
                <w:sz w:val="20"/>
                <w:szCs w:val="20"/>
              </w:rPr>
              <w:t>Place finance ministries, planning authorities, and development agencies at the centre of decision-making so that elimination is evaluated alongside infrastructure, education, agriculture, and industrial strategy.</w:t>
            </w:r>
          </w:p>
        </w:tc>
      </w:tr>
      <w:tr w:rsidR="00286EF8" w:rsidRPr="0095504D" w14:paraId="5D1789A2" w14:textId="77777777" w:rsidTr="00BA484F">
        <w:trPr>
          <w:gridBefore w:val="1"/>
          <w:wBefore w:w="15" w:type="dxa"/>
        </w:trPr>
        <w:tc>
          <w:tcPr>
            <w:tcW w:w="160" w:type="dxa"/>
            <w:tcBorders>
              <w:top w:val="none" w:sz="0" w:space="0" w:color="FFFFFF"/>
              <w:left w:val="single" w:sz="12" w:space="0" w:color="534AB7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</w:tcPr>
          <w:p w14:paraId="1C1677BC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534AB7"/>
                <w:sz w:val="20"/>
                <w:szCs w:val="20"/>
              </w:rPr>
              <w:t>4</w:t>
            </w:r>
          </w:p>
        </w:tc>
        <w:tc>
          <w:tcPr>
            <w:tcW w:w="8866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24FC1DFF" w14:textId="77777777" w:rsidR="00286EF8" w:rsidRPr="0095504D" w:rsidRDefault="00286EF8" w:rsidP="00BA484F">
            <w:pPr>
              <w:spacing w:after="60"/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1A1A1A"/>
                <w:sz w:val="20"/>
                <w:szCs w:val="20"/>
              </w:rPr>
              <w:t>Engage political, scientific, and public authority</w:t>
            </w:r>
          </w:p>
          <w:p w14:paraId="77178A0A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color w:val="3D3D3A"/>
                <w:sz w:val="20"/>
                <w:szCs w:val="20"/>
              </w:rPr>
              <w:t>Align high-level political leadership, scientific advocacy, and public communication to reinforce malaria as a development priority, expanding engagement beyond the health sector to include the private sector and embedding elimination within strategies on urbanisation, food security, human capital, and climate resilience.</w:t>
            </w:r>
          </w:p>
        </w:tc>
      </w:tr>
    </w:tbl>
    <w:p w14:paraId="6B07EA2F" w14:textId="77777777" w:rsidR="00286EF8" w:rsidRPr="0095504D" w:rsidRDefault="00286EF8" w:rsidP="00286EF8">
      <w:pPr>
        <w:spacing w:after="80"/>
        <w:jc w:val="both"/>
        <w:rPr>
          <w:sz w:val="20"/>
          <w:szCs w:val="20"/>
        </w:rPr>
      </w:pP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307"/>
        <w:gridCol w:w="8689"/>
        <w:gridCol w:w="15"/>
      </w:tblGrid>
      <w:tr w:rsidR="00286EF8" w:rsidRPr="0095504D" w14:paraId="602B636F" w14:textId="77777777" w:rsidTr="00BA484F">
        <w:trPr>
          <w:gridAfter w:val="1"/>
          <w:wAfter w:w="15" w:type="dxa"/>
        </w:trPr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AEED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9B00137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633806"/>
                <w:sz w:val="20"/>
                <w:szCs w:val="20"/>
              </w:rPr>
              <w:t>INVESTMENT &amp; TOOLS</w:t>
            </w:r>
          </w:p>
        </w:tc>
      </w:tr>
      <w:tr w:rsidR="00286EF8" w:rsidRPr="0095504D" w14:paraId="514EDE68" w14:textId="77777777" w:rsidTr="00BA484F">
        <w:trPr>
          <w:gridBefore w:val="1"/>
          <w:wBefore w:w="15" w:type="dxa"/>
        </w:trPr>
        <w:tc>
          <w:tcPr>
            <w:tcW w:w="160" w:type="dxa"/>
            <w:tcBorders>
              <w:top w:val="none" w:sz="0" w:space="0" w:color="FFFFFF"/>
              <w:left w:val="single" w:sz="12" w:space="0" w:color="BA7517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</w:tcPr>
          <w:p w14:paraId="7B928BF6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BA7517"/>
                <w:sz w:val="20"/>
                <w:szCs w:val="20"/>
              </w:rPr>
              <w:t>5</w:t>
            </w:r>
          </w:p>
        </w:tc>
        <w:tc>
          <w:tcPr>
            <w:tcW w:w="8866" w:type="dxa"/>
            <w:gridSpan w:val="2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40105920" w14:textId="77777777" w:rsidR="00286EF8" w:rsidRPr="0095504D" w:rsidRDefault="00286EF8" w:rsidP="00BA484F">
            <w:pPr>
              <w:spacing w:after="60"/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1A1A1A"/>
                <w:sz w:val="20"/>
                <w:szCs w:val="20"/>
              </w:rPr>
              <w:t>Assess interventions through a developmental economic lens</w:t>
            </w:r>
          </w:p>
          <w:p w14:paraId="4E37E4BC" w14:textId="77777777" w:rsidR="00286EF8" w:rsidRPr="0095504D" w:rsidRDefault="00286EF8" w:rsidP="00BA484F">
            <w:pPr>
              <w:spacing w:after="60"/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color w:val="3D3D3A"/>
                <w:sz w:val="20"/>
                <w:szCs w:val="20"/>
              </w:rPr>
              <w:t>Evaluate tools and technologies</w:t>
            </w:r>
            <w:r>
              <w:rPr>
                <w:rFonts w:eastAsia="Arial" w:cs="Arial"/>
                <w:color w:val="3D3D3A"/>
              </w:rPr>
              <w:t>,</w:t>
            </w:r>
            <w:r w:rsidRPr="0095504D">
              <w:rPr>
                <w:rFonts w:eastAsia="Arial" w:cs="Arial"/>
                <w:color w:val="3D3D3A"/>
                <w:sz w:val="20"/>
                <w:szCs w:val="20"/>
              </w:rPr>
              <w:t xml:space="preserve"> including </w:t>
            </w:r>
            <w:r>
              <w:rPr>
                <w:rFonts w:eastAsia="Arial" w:cs="Arial"/>
                <w:color w:val="3D3D3A"/>
                <w:sz w:val="20"/>
                <w:szCs w:val="20"/>
              </w:rPr>
              <w:t>advanced</w:t>
            </w:r>
            <w:r w:rsidRPr="0095504D">
              <w:rPr>
                <w:rFonts w:eastAsia="Arial" w:cs="Arial"/>
                <w:color w:val="3D3D3A"/>
                <w:sz w:val="20"/>
                <w:szCs w:val="20"/>
              </w:rPr>
              <w:t xml:space="preserve"> vector control approaches</w:t>
            </w:r>
            <w:r>
              <w:rPr>
                <w:rFonts w:eastAsia="Arial" w:cs="Arial"/>
                <w:color w:val="3D3D3A"/>
              </w:rPr>
              <w:t>,</w:t>
            </w:r>
            <w:r w:rsidRPr="0095504D">
              <w:rPr>
                <w:rFonts w:eastAsia="Arial" w:cs="Arial"/>
                <w:color w:val="3D3D3A"/>
                <w:sz w:val="20"/>
                <w:szCs w:val="20"/>
              </w:rPr>
              <w:t xml:space="preserve"> in terms of long-term economic value, durability, irreversibility, and alignment with development trajectories.</w:t>
            </w:r>
          </w:p>
        </w:tc>
      </w:tr>
      <w:tr w:rsidR="00286EF8" w:rsidRPr="0095504D" w14:paraId="53286E4E" w14:textId="77777777" w:rsidTr="00BA484F">
        <w:trPr>
          <w:gridBefore w:val="1"/>
          <w:wBefore w:w="15" w:type="dxa"/>
        </w:trPr>
        <w:tc>
          <w:tcPr>
            <w:tcW w:w="160" w:type="dxa"/>
            <w:tcBorders>
              <w:top w:val="none" w:sz="0" w:space="0" w:color="FFFFFF"/>
              <w:left w:val="single" w:sz="12" w:space="0" w:color="BA7517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80" w:type="dxa"/>
            </w:tcMar>
          </w:tcPr>
          <w:p w14:paraId="59B71B04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BA7517"/>
                <w:sz w:val="20"/>
                <w:szCs w:val="20"/>
              </w:rPr>
              <w:t>6</w:t>
            </w:r>
          </w:p>
        </w:tc>
        <w:tc>
          <w:tcPr>
            <w:tcW w:w="8866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60" w:type="dxa"/>
            </w:tcMar>
          </w:tcPr>
          <w:p w14:paraId="60943D1F" w14:textId="77777777" w:rsidR="00286EF8" w:rsidRPr="0095504D" w:rsidRDefault="00286EF8" w:rsidP="00BA484F">
            <w:pPr>
              <w:spacing w:after="60"/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b/>
                <w:bCs/>
                <w:color w:val="1A1A1A"/>
                <w:sz w:val="20"/>
                <w:szCs w:val="20"/>
              </w:rPr>
              <w:t>Secure predictable, long-term financing for elimination</w:t>
            </w:r>
          </w:p>
          <w:p w14:paraId="31F9B1D8" w14:textId="77777777" w:rsidR="00286EF8" w:rsidRPr="0095504D" w:rsidRDefault="00286EF8" w:rsidP="00BA484F">
            <w:pPr>
              <w:jc w:val="both"/>
              <w:rPr>
                <w:sz w:val="20"/>
                <w:szCs w:val="20"/>
              </w:rPr>
            </w:pPr>
            <w:r w:rsidRPr="0095504D">
              <w:rPr>
                <w:rFonts w:eastAsia="Arial" w:cs="Arial"/>
                <w:color w:val="3D3D3A"/>
                <w:sz w:val="20"/>
                <w:szCs w:val="20"/>
              </w:rPr>
              <w:t>Adopt multiyear domestic investment frameworks that treat elimination as infrastructure, aligned with concessional and co-investment financing from development banks.</w:t>
            </w:r>
          </w:p>
        </w:tc>
      </w:tr>
    </w:tbl>
    <w:p w14:paraId="511C8113" w14:textId="4D908E78" w:rsidR="00286EF8" w:rsidRDefault="00286EF8" w:rsidP="00286EF8">
      <w:pPr>
        <w:rPr>
          <w:b/>
          <w:bCs/>
          <w:sz w:val="22"/>
          <w:szCs w:val="22"/>
        </w:rPr>
      </w:pPr>
    </w:p>
    <w:sectPr w:rsidR="00286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F8"/>
    <w:rsid w:val="000312E0"/>
    <w:rsid w:val="00264C10"/>
    <w:rsid w:val="00286EF8"/>
    <w:rsid w:val="00470242"/>
    <w:rsid w:val="00726E03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68398"/>
  <w15:chartTrackingRefBased/>
  <w15:docId w15:val="{70CE88D5-D9AE-46B3-AA66-B3622795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EF8"/>
    <w:pPr>
      <w:spacing w:after="0" w:line="240" w:lineRule="auto"/>
    </w:pPr>
    <w:rPr>
      <w:rFonts w:eastAsiaTheme="minorHAnsi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E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E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E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E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E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EF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EF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EF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EF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E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E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E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E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E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E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286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EF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286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EF8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286E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EF8"/>
    <w:pPr>
      <w:spacing w:after="160" w:line="278" w:lineRule="auto"/>
      <w:ind w:left="720"/>
      <w:contextualSpacing/>
    </w:pPr>
    <w:rPr>
      <w:rFonts w:eastAsiaTheme="minorEastAsia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286E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E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E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2026-08-20T18:52:00Z</dcterms:created>
  <dcterms:modified xsi:type="dcterms:W3CDTF">2026-08-20T18:54:00Z</dcterms:modified>
</cp:coreProperties>
</file>