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9AC11B" w14:textId="77777777" w:rsidR="00296C13" w:rsidRPr="00BA526A" w:rsidRDefault="00296C13" w:rsidP="00296C13">
      <w:pPr>
        <w:keepNext/>
        <w:keepLines/>
        <w:spacing w:after="0" w:line="480" w:lineRule="auto"/>
        <w:jc w:val="center"/>
        <w:outlineLvl w:val="0"/>
        <w:rPr>
          <w:rFonts w:ascii="Times New Roman" w:eastAsia="Times New Roman" w:hAnsi="Times New Roman" w:cs="Times New Roman"/>
          <w:b/>
          <w:color w:val="000000"/>
          <w:kern w:val="0"/>
          <w:szCs w:val="40"/>
          <w:lang w:eastAsia="zh-CN"/>
          <w14:ligatures w14:val="none"/>
        </w:rPr>
      </w:pPr>
      <w:bookmarkStart w:id="0" w:name="supplementary-material"/>
      <w:r w:rsidRPr="00BA526A">
        <w:rPr>
          <w:rFonts w:ascii="Times New Roman" w:eastAsia="Times New Roman" w:hAnsi="Times New Roman" w:cs="Times New Roman"/>
          <w:b/>
          <w:color w:val="000000"/>
          <w:kern w:val="0"/>
          <w:szCs w:val="40"/>
          <w:lang w:eastAsia="zh-CN"/>
          <w14:ligatures w14:val="none"/>
        </w:rPr>
        <w:t>Supplementary Material</w:t>
      </w:r>
    </w:p>
    <w:p w14:paraId="49EEF862" w14:textId="77777777" w:rsidR="00296C13" w:rsidRPr="00BA526A" w:rsidRDefault="00296C13" w:rsidP="00296C13">
      <w:pPr>
        <w:keepNext/>
        <w:keepLines/>
        <w:spacing w:after="0" w:line="480" w:lineRule="auto"/>
        <w:jc w:val="center"/>
        <w:outlineLvl w:val="1"/>
        <w:rPr>
          <w:rFonts w:ascii="Times New Roman" w:eastAsia="Times New Roman" w:hAnsi="Times New Roman" w:cs="Times New Roman"/>
          <w:b/>
          <w:color w:val="000000"/>
          <w:kern w:val="0"/>
          <w:szCs w:val="32"/>
          <w:lang w:eastAsia="zh-CN"/>
          <w14:ligatures w14:val="none"/>
        </w:rPr>
      </w:pPr>
      <w:bookmarkStart w:id="1" w:name="X09c8969d6e92127f1ed1f800a8170309ffdc85d"/>
      <w:r w:rsidRPr="00BA526A">
        <w:rPr>
          <w:rFonts w:ascii="Times New Roman" w:eastAsia="Times New Roman" w:hAnsi="Times New Roman" w:cs="Times New Roman"/>
          <w:b/>
          <w:color w:val="000000"/>
          <w:kern w:val="0"/>
          <w:szCs w:val="32"/>
          <w:lang w:eastAsia="zh-CN"/>
          <w14:ligatures w14:val="none"/>
        </w:rPr>
        <w:t xml:space="preserve">Assessment and Cognitive-Behavioral Treatment of Paruresis (Shy Bladder) in a Transgender Woman </w:t>
      </w:r>
      <w:proofErr w:type="gramStart"/>
      <w:r w:rsidRPr="00BA526A">
        <w:rPr>
          <w:rFonts w:ascii="Times New Roman" w:eastAsia="Times New Roman" w:hAnsi="Times New Roman" w:cs="Times New Roman"/>
          <w:b/>
          <w:color w:val="000000"/>
          <w:kern w:val="0"/>
          <w:szCs w:val="32"/>
          <w:lang w:eastAsia="zh-CN"/>
          <w14:ligatures w14:val="none"/>
        </w:rPr>
        <w:t>With</w:t>
      </w:r>
      <w:proofErr w:type="gramEnd"/>
      <w:r w:rsidRPr="00BA526A">
        <w:rPr>
          <w:rFonts w:ascii="Times New Roman" w:eastAsia="Times New Roman" w:hAnsi="Times New Roman" w:cs="Times New Roman"/>
          <w:b/>
          <w:color w:val="000000"/>
          <w:kern w:val="0"/>
          <w:szCs w:val="32"/>
          <w:lang w:eastAsia="zh-CN"/>
          <w14:ligatures w14:val="none"/>
        </w:rPr>
        <w:t xml:space="preserve"> Klinefelter Syndrome: A Case Report With 10-Year Follow-Up</w:t>
      </w:r>
    </w:p>
    <w:p w14:paraId="6FBB9DB1"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t>This supplement provides the session-by-session delivery detail for the focal paruresis intervention, together with the fuller mechanistic rationale for the somatic components. It is referenced from the Treatment Protocol and Treatment Adaptations sections of the main text. Throughout, we report only the parameters the clinical record documents; finer delivery parameters not recorded in the chart are omitted rather than reconstructed.</w:t>
      </w:r>
    </w:p>
    <w:p w14:paraId="0B9D8431"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b/>
          <w:bCs/>
          <w:color w:val="000000"/>
          <w:kern w:val="0"/>
          <w:lang w:eastAsia="zh-CN"/>
          <w14:ligatures w14:val="none"/>
        </w:rPr>
        <w:t>Supplementary Table S1.</w:t>
      </w:r>
      <w:r w:rsidRPr="00BA526A">
        <w:rPr>
          <w:rFonts w:ascii="Times New Roman" w:eastAsia="Times New Roman" w:hAnsi="Times New Roman" w:cs="Times New Roman"/>
          <w:color w:val="000000"/>
          <w:kern w:val="0"/>
          <w:lang w:eastAsia="zh-CN"/>
          <w14:ligatures w14:val="none"/>
        </w:rPr>
        <w:t xml:space="preserve"> </w:t>
      </w:r>
      <w:r w:rsidRPr="00BA526A">
        <w:rPr>
          <w:rFonts w:ascii="Times New Roman" w:eastAsia="Times New Roman" w:hAnsi="Times New Roman" w:cs="Times New Roman"/>
          <w:i/>
          <w:iCs/>
          <w:color w:val="000000"/>
          <w:kern w:val="0"/>
          <w:lang w:eastAsia="zh-CN"/>
          <w14:ligatures w14:val="none"/>
        </w:rPr>
        <w:t>Session-by-Session Paruresis Treatment Protocol, Organized by Component</w:t>
      </w:r>
    </w:p>
    <w:p w14:paraId="34E50D10" w14:textId="77777777" w:rsidR="00296C13" w:rsidRPr="00BA526A" w:rsidRDefault="00296C13" w:rsidP="00296C13">
      <w:pPr>
        <w:spacing w:after="0" w:line="480" w:lineRule="auto"/>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i/>
          <w:iCs/>
          <w:color w:val="000000"/>
          <w:kern w:val="0"/>
          <w:lang w:eastAsia="zh-CN"/>
          <w14:ligatures w14:val="none"/>
        </w:rPr>
        <w:t>Note.</w:t>
      </w:r>
      <w:r w:rsidRPr="00BA526A">
        <w:rPr>
          <w:rFonts w:ascii="Times New Roman" w:eastAsia="Times New Roman" w:hAnsi="Times New Roman" w:cs="Times New Roman"/>
          <w:color w:val="000000"/>
          <w:kern w:val="0"/>
          <w:lang w:eastAsia="zh-CN"/>
          <w14:ligatures w14:val="none"/>
        </w:rPr>
        <w:t xml:space="preserve"> This supplement details the focal paruresis intervention delivered across Visits 1 through 14 (approximately 9 months). Content is drawn from the clinical record; finer delivery parameters not recorded in the chart (e.g., the number of breath-holding trials per session or formal criteria for advancing exposures) are omitted rather than reconstructed. IPA = International Paruresis Association; YSQ-S3 = Young Schema Questionnaire-Short Form 3; PMR = progressive muscle relaxation.</w:t>
      </w:r>
    </w:p>
    <w:tbl>
      <w:tblPr>
        <w:tblStyle w:val="Table"/>
        <w:tblW w:w="9362" w:type="dxa"/>
        <w:tblLayout w:type="fixed"/>
        <w:tblLook w:val="0020" w:firstRow="1" w:lastRow="0" w:firstColumn="0" w:lastColumn="0" w:noHBand="0" w:noVBand="0"/>
      </w:tblPr>
      <w:tblGrid>
        <w:gridCol w:w="2506"/>
        <w:gridCol w:w="3428"/>
        <w:gridCol w:w="3428"/>
      </w:tblGrid>
      <w:tr w:rsidR="00296C13" w:rsidRPr="00BA526A" w14:paraId="69F9148E" w14:textId="77777777" w:rsidTr="008B51B3">
        <w:trPr>
          <w:cnfStyle w:val="100000000000" w:firstRow="1" w:lastRow="0" w:firstColumn="0" w:lastColumn="0" w:oddVBand="0" w:evenVBand="0" w:oddHBand="0" w:evenHBand="0" w:firstRowFirstColumn="0" w:firstRowLastColumn="0" w:lastRowFirstColumn="0" w:lastRowLastColumn="0"/>
          <w:tblHeader/>
        </w:trPr>
        <w:tc>
          <w:tcPr>
            <w:tcW w:w="2506" w:type="dxa"/>
          </w:tcPr>
          <w:p w14:paraId="523300AB"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Component</w:t>
            </w:r>
          </w:p>
        </w:tc>
        <w:tc>
          <w:tcPr>
            <w:tcW w:w="3428" w:type="dxa"/>
          </w:tcPr>
          <w:p w14:paraId="09AD8281"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When introduced</w:t>
            </w:r>
          </w:p>
        </w:tc>
        <w:tc>
          <w:tcPr>
            <w:tcW w:w="3428" w:type="dxa"/>
          </w:tcPr>
          <w:p w14:paraId="6074554B"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What was done (as delivered)</w:t>
            </w:r>
          </w:p>
        </w:tc>
      </w:tr>
      <w:tr w:rsidR="00296C13" w:rsidRPr="00BA526A" w14:paraId="44E762E1" w14:textId="77777777" w:rsidTr="008B51B3">
        <w:tc>
          <w:tcPr>
            <w:tcW w:w="2506" w:type="dxa"/>
          </w:tcPr>
          <w:p w14:paraId="13968486"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Psychoeducation and minority stress normalization</w:t>
            </w:r>
          </w:p>
        </w:tc>
        <w:tc>
          <w:tcPr>
            <w:tcW w:w="3428" w:type="dxa"/>
          </w:tcPr>
          <w:p w14:paraId="1066C29A"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1 (Week 0)</w:t>
            </w:r>
          </w:p>
        </w:tc>
        <w:tc>
          <w:tcPr>
            <w:tcW w:w="3428" w:type="dxa"/>
          </w:tcPr>
          <w:p w14:paraId="51445115"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Paruresis psychoeducation; referral to IPA self-directed resources (www.paruresis.org); normalization of restroom fears within the minority stress framework, explicitly distinguishing adaptive vigilance from maladaptive avoidance</w:t>
            </w:r>
          </w:p>
        </w:tc>
      </w:tr>
      <w:tr w:rsidR="00296C13" w:rsidRPr="00BA526A" w14:paraId="387F5562" w14:textId="77777777" w:rsidTr="008B51B3">
        <w:tc>
          <w:tcPr>
            <w:tcW w:w="2506" w:type="dxa"/>
          </w:tcPr>
          <w:p w14:paraId="7BC919D1"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Schema-informed conceptualization and imagery-based assessment</w:t>
            </w:r>
          </w:p>
        </w:tc>
        <w:tc>
          <w:tcPr>
            <w:tcW w:w="3428" w:type="dxa"/>
          </w:tcPr>
          <w:p w14:paraId="6CF05D16"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2 (Week 4)</w:t>
            </w:r>
          </w:p>
        </w:tc>
        <w:tc>
          <w:tcPr>
            <w:tcW w:w="3428" w:type="dxa"/>
          </w:tcPr>
          <w:p w14:paraId="5C300010"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YSQ-S3 administered and reviewed; imagery-based schema assessment using the float-back technique (Young et al., 2003): patient recalled a recent anxiety-triggering restroom situation, amplified the somatic and affective experience (abdominal tightness, rising panic, sense of being watched), then floated back to the earliest memory carrying the same affect and body sensations (young child on the toilet while her father stood outside the locked door, upset)</w:t>
            </w:r>
          </w:p>
        </w:tc>
      </w:tr>
      <w:tr w:rsidR="00296C13" w:rsidRPr="00BA526A" w14:paraId="6567700B" w14:textId="77777777" w:rsidTr="008B51B3">
        <w:tc>
          <w:tcPr>
            <w:tcW w:w="2506" w:type="dxa"/>
          </w:tcPr>
          <w:p w14:paraId="07FB55D7"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lastRenderedPageBreak/>
              <w:t>Diaphragmatic breathing</w:t>
            </w:r>
          </w:p>
        </w:tc>
        <w:tc>
          <w:tcPr>
            <w:tcW w:w="3428" w:type="dxa"/>
          </w:tcPr>
          <w:p w14:paraId="5018C649"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3 (Week 6)</w:t>
            </w:r>
          </w:p>
        </w:tc>
        <w:tc>
          <w:tcPr>
            <w:tcW w:w="3428" w:type="dxa"/>
          </w:tcPr>
          <w:p w14:paraId="617BCCAA"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Diaphragmatic breathing rehearsed in session and assigned as home practice (5 minutes, 5 times per day)</w:t>
            </w:r>
          </w:p>
        </w:tc>
      </w:tr>
      <w:tr w:rsidR="00296C13" w:rsidRPr="00BA526A" w14:paraId="471205D2" w14:textId="77777777" w:rsidTr="008B51B3">
        <w:tc>
          <w:tcPr>
            <w:tcW w:w="2506" w:type="dxa"/>
          </w:tcPr>
          <w:p w14:paraId="4C42517A"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Imagery rescripting</w:t>
            </w:r>
          </w:p>
        </w:tc>
        <w:tc>
          <w:tcPr>
            <w:tcW w:w="3428" w:type="dxa"/>
          </w:tcPr>
          <w:p w14:paraId="273C9C59"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4 (Week 8)</w:t>
            </w:r>
          </w:p>
        </w:tc>
        <w:tc>
          <w:tcPr>
            <w:tcW w:w="3428" w:type="dxa"/>
          </w:tcPr>
          <w:p w14:paraId="5B46D2CE"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 xml:space="preserve">Rescripting of two formative memories: (a) the childhood restroom scene with her father and (b) a healthcare memory of a nurse insistently demanding a urine sample. In each, the patient imagined her adult </w:t>
            </w:r>
            <w:proofErr w:type="spellStart"/>
            <w:r w:rsidRPr="00BA526A">
              <w:rPr>
                <w:rFonts w:ascii="Times New Roman" w:hAnsi="Times New Roman" w:cs="Times New Roman"/>
                <w:color w:val="000000"/>
                <w:sz w:val="18"/>
              </w:rPr>
              <w:t>self entering</w:t>
            </w:r>
            <w:proofErr w:type="spellEnd"/>
            <w:r w:rsidRPr="00BA526A">
              <w:rPr>
                <w:rFonts w:ascii="Times New Roman" w:hAnsi="Times New Roman" w:cs="Times New Roman"/>
                <w:color w:val="000000"/>
                <w:sz w:val="18"/>
              </w:rPr>
              <w:t xml:space="preserve"> the scene, protecting the younger self, and asserting her right to use the restroom safely and without coercion (Wild &amp; Clark, 2011; Pajak &amp; Kamboj, 2014)</w:t>
            </w:r>
          </w:p>
        </w:tc>
      </w:tr>
      <w:tr w:rsidR="00296C13" w:rsidRPr="00BA526A" w14:paraId="5F9F6E6F" w14:textId="77777777" w:rsidTr="008B51B3">
        <w:tc>
          <w:tcPr>
            <w:tcW w:w="2506" w:type="dxa"/>
          </w:tcPr>
          <w:p w14:paraId="19763317"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Cognitive restructuring</w:t>
            </w:r>
          </w:p>
        </w:tc>
        <w:tc>
          <w:tcPr>
            <w:tcW w:w="3428" w:type="dxa"/>
          </w:tcPr>
          <w:p w14:paraId="6692BF1D"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5 (Week 11) cognitive-affective-behavioral chains; formalized Visit 6 (Week 13)</w:t>
            </w:r>
          </w:p>
        </w:tc>
        <w:tc>
          <w:tcPr>
            <w:tcW w:w="3428" w:type="dxa"/>
          </w:tcPr>
          <w:p w14:paraId="26BA997F"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Cognitive-affective-behavioral chains and schema-mode conceptualization (Visit 5); explicit cognitive restructuring of negative automatic thoughts about voiding (Visit 6)</w:t>
            </w:r>
          </w:p>
        </w:tc>
      </w:tr>
      <w:tr w:rsidR="00296C13" w:rsidRPr="00BA526A" w14:paraId="330335BD" w14:textId="77777777" w:rsidTr="008B51B3">
        <w:tc>
          <w:tcPr>
            <w:tcW w:w="2506" w:type="dxa"/>
          </w:tcPr>
          <w:p w14:paraId="025C753D"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Breath-holding technique</w:t>
            </w:r>
          </w:p>
        </w:tc>
        <w:tc>
          <w:tcPr>
            <w:tcW w:w="3428" w:type="dxa"/>
          </w:tcPr>
          <w:p w14:paraId="300A61A1"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6 (Week 13)</w:t>
            </w:r>
          </w:p>
        </w:tc>
        <w:tc>
          <w:tcPr>
            <w:tcW w:w="3428" w:type="dxa"/>
          </w:tcPr>
          <w:p w14:paraId="1950275F"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Introduced simultaneously with paradoxical intention. Breath held for 30 to 45 seconds to raise blood carbon dioxide and facilitate involuntary external-urethral-sphincter relaxation (</w:t>
            </w:r>
            <w:proofErr w:type="spellStart"/>
            <w:r w:rsidRPr="00BA526A">
              <w:rPr>
                <w:rFonts w:ascii="Times New Roman" w:hAnsi="Times New Roman" w:cs="Times New Roman"/>
                <w:color w:val="000000"/>
                <w:sz w:val="18"/>
              </w:rPr>
              <w:t>Zgourides</w:t>
            </w:r>
            <w:proofErr w:type="spellEnd"/>
            <w:r w:rsidRPr="00BA526A">
              <w:rPr>
                <w:rFonts w:ascii="Times New Roman" w:hAnsi="Times New Roman" w:cs="Times New Roman"/>
                <w:color w:val="000000"/>
                <w:sz w:val="18"/>
              </w:rPr>
              <w:t>, 1987; Kuoch et al., 2017)</w:t>
            </w:r>
          </w:p>
        </w:tc>
      </w:tr>
      <w:tr w:rsidR="00296C13" w:rsidRPr="00BA526A" w14:paraId="5A2578FB" w14:textId="77777777" w:rsidTr="008B51B3">
        <w:tc>
          <w:tcPr>
            <w:tcW w:w="2506" w:type="dxa"/>
          </w:tcPr>
          <w:p w14:paraId="1D315F6A"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Flowing-water imagery</w:t>
            </w:r>
          </w:p>
        </w:tc>
        <w:tc>
          <w:tcPr>
            <w:tcW w:w="3428" w:type="dxa"/>
          </w:tcPr>
          <w:p w14:paraId="0A26317D"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6 (Week 13)</w:t>
            </w:r>
          </w:p>
        </w:tc>
        <w:tc>
          <w:tcPr>
            <w:tcW w:w="3428" w:type="dxa"/>
          </w:tcPr>
          <w:p w14:paraId="764542ED"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Taught during the breath-holding technique in the same session; the patient visualized a stream of water flowing down a creek to facilitate the micturition reflex, rehearsed in session; the imagery is a visual analog of running-water sound cues shown to facilitate voiding (Kwon et al., 2015)</w:t>
            </w:r>
          </w:p>
        </w:tc>
      </w:tr>
      <w:tr w:rsidR="00296C13" w:rsidRPr="00BA526A" w14:paraId="2045AB71" w14:textId="77777777" w:rsidTr="008B51B3">
        <w:tc>
          <w:tcPr>
            <w:tcW w:w="2506" w:type="dxa"/>
          </w:tcPr>
          <w:p w14:paraId="6A9F0AD3"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Paradoxical intention</w:t>
            </w:r>
          </w:p>
        </w:tc>
        <w:tc>
          <w:tcPr>
            <w:tcW w:w="3428" w:type="dxa"/>
          </w:tcPr>
          <w:p w14:paraId="726F3217"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6 (Week 13)</w:t>
            </w:r>
          </w:p>
        </w:tc>
        <w:tc>
          <w:tcPr>
            <w:tcW w:w="3428" w:type="dxa"/>
          </w:tcPr>
          <w:p w14:paraId="2EE19CB6"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Patient instructed to enter a single-stall restroom and deliberately not attempt to void, with the clinician waiting outside; removing the performance demand preceded the first successful in-session void</w:t>
            </w:r>
          </w:p>
        </w:tc>
      </w:tr>
      <w:tr w:rsidR="00296C13" w:rsidRPr="00BA526A" w14:paraId="42D24693" w14:textId="77777777" w:rsidTr="008B51B3">
        <w:tc>
          <w:tcPr>
            <w:tcW w:w="2506" w:type="dxa"/>
          </w:tcPr>
          <w:p w14:paraId="2BCEBFCE"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Graduated in vivo exposure</w:t>
            </w:r>
          </w:p>
        </w:tc>
        <w:tc>
          <w:tcPr>
            <w:tcW w:w="3428" w:type="dxa"/>
          </w:tcPr>
          <w:p w14:paraId="35A10CB1"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First in-session exposure Visit 6 (Week 13); planning Visit 7 (Week 15); progression Visits 8, 11, 12</w:t>
            </w:r>
          </w:p>
        </w:tc>
        <w:tc>
          <w:tcPr>
            <w:tcW w:w="3428" w:type="dxa"/>
          </w:tcPr>
          <w:p w14:paraId="7E70A762"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Single-stall restroom with clinician outside (Visit 6); exposure planning with target “hearing others talk” (Visit 7); novel, not-previously-used single-stall restroom (Visit 8); partial voiding in a multi-stall public restroom reported (Visit 12); specimen-container graded exposure (Visit 13)</w:t>
            </w:r>
          </w:p>
        </w:tc>
      </w:tr>
      <w:tr w:rsidR="00296C13" w:rsidRPr="00BA526A" w14:paraId="67027D73" w14:textId="77777777" w:rsidTr="008B51B3">
        <w:tc>
          <w:tcPr>
            <w:tcW w:w="2506" w:type="dxa"/>
          </w:tcPr>
          <w:p w14:paraId="17EA4581"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Progressive muscle relaxation</w:t>
            </w:r>
          </w:p>
        </w:tc>
        <w:tc>
          <w:tcPr>
            <w:tcW w:w="3428" w:type="dxa"/>
          </w:tcPr>
          <w:p w14:paraId="11792003"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8 (Week 17)</w:t>
            </w:r>
          </w:p>
        </w:tc>
        <w:tc>
          <w:tcPr>
            <w:tcW w:w="3428" w:type="dxa"/>
          </w:tcPr>
          <w:p w14:paraId="6ECDC4C4"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PMR introduced alongside exposure to a novel single-stall restroom</w:t>
            </w:r>
          </w:p>
        </w:tc>
      </w:tr>
      <w:tr w:rsidR="00296C13" w:rsidRPr="00BA526A" w14:paraId="0DA6FF7E" w14:textId="77777777" w:rsidTr="008B51B3">
        <w:tc>
          <w:tcPr>
            <w:tcW w:w="2506" w:type="dxa"/>
          </w:tcPr>
          <w:p w14:paraId="65939458"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Specimen-container exposure (work-relevant)</w:t>
            </w:r>
          </w:p>
        </w:tc>
        <w:tc>
          <w:tcPr>
            <w:tcW w:w="3428" w:type="dxa"/>
          </w:tcPr>
          <w:p w14:paraId="69AEDF90"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Visit 13 (Week 29)</w:t>
            </w:r>
          </w:p>
        </w:tc>
        <w:tc>
          <w:tcPr>
            <w:tcW w:w="3428" w:type="dxa"/>
          </w:tcPr>
          <w:p w14:paraId="74C39138" w14:textId="77777777" w:rsidR="00296C13" w:rsidRPr="00BA526A" w:rsidRDefault="00296C13" w:rsidP="00296C13">
            <w:pPr>
              <w:spacing w:before="36" w:after="0"/>
              <w:rPr>
                <w:rFonts w:ascii="Times New Roman" w:hAnsi="Times New Roman" w:cs="Times New Roman"/>
                <w:color w:val="000000"/>
              </w:rPr>
            </w:pPr>
            <w:r w:rsidRPr="00BA526A">
              <w:rPr>
                <w:rFonts w:ascii="Times New Roman" w:hAnsi="Times New Roman" w:cs="Times New Roman"/>
                <w:color w:val="000000"/>
                <w:sz w:val="18"/>
              </w:rPr>
              <w:t>In response to heightened worry about workplace drug screening, the clinician provided a urine specimen container for graded in vivo exposure, with written instructions for her coping techniques placed inside it: the patient began by simply carrying the container and progressed to retrieving it during her own restroom use; she later identified this as a particularly helpful intervention</w:t>
            </w:r>
          </w:p>
        </w:tc>
      </w:tr>
    </w:tbl>
    <w:p w14:paraId="5AA438B3"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b/>
          <w:bCs/>
          <w:color w:val="000000"/>
          <w:kern w:val="0"/>
          <w:lang w:eastAsia="zh-CN"/>
          <w14:ligatures w14:val="none"/>
        </w:rPr>
        <w:t>Session frequency.</w:t>
      </w:r>
      <w:r w:rsidRPr="00BA526A">
        <w:rPr>
          <w:rFonts w:ascii="Times New Roman" w:eastAsia="Times New Roman" w:hAnsi="Times New Roman" w:cs="Times New Roman"/>
          <w:color w:val="000000"/>
          <w:kern w:val="0"/>
          <w:lang w:eastAsia="zh-CN"/>
          <w14:ligatures w14:val="none"/>
        </w:rPr>
        <w:t xml:space="preserve"> The focal intervention (Visits 1 through 14) spanned Weeks 0 to 38, indicating irregular spacing; the exact intervals between visits and the reasons for any gaps are not documented in the record. During the subsequent supportive phase (Visits 15 through 28), </w:t>
      </w:r>
      <w:r w:rsidRPr="00BA526A">
        <w:rPr>
          <w:rFonts w:ascii="Times New Roman" w:eastAsia="Times New Roman" w:hAnsi="Times New Roman" w:cs="Times New Roman"/>
          <w:color w:val="000000"/>
          <w:kern w:val="0"/>
          <w:lang w:eastAsia="zh-CN"/>
          <w14:ligatures w14:val="none"/>
        </w:rPr>
        <w:lastRenderedPageBreak/>
        <w:t>visits occurred at progressively lower frequency, and supportive psychotherapy thereafter continued at approximately every-2-to-3-month intervals.</w:t>
      </w:r>
    </w:p>
    <w:p w14:paraId="69200025" w14:textId="77777777" w:rsidR="00296C13" w:rsidRPr="00BA526A" w:rsidRDefault="00296C13" w:rsidP="00296C13">
      <w:pPr>
        <w:keepNext/>
        <w:keepLines/>
        <w:spacing w:after="0" w:line="480" w:lineRule="auto"/>
        <w:jc w:val="center"/>
        <w:outlineLvl w:val="1"/>
        <w:rPr>
          <w:rFonts w:ascii="Times New Roman" w:eastAsia="Times New Roman" w:hAnsi="Times New Roman" w:cs="Times New Roman"/>
          <w:b/>
          <w:color w:val="000000"/>
          <w:kern w:val="0"/>
          <w:szCs w:val="32"/>
          <w:lang w:eastAsia="zh-CN"/>
          <w14:ligatures w14:val="none"/>
        </w:rPr>
      </w:pPr>
      <w:bookmarkStart w:id="2" w:name="Xc9258711aa2d308df494103673be949f59e49fd"/>
      <w:bookmarkEnd w:id="1"/>
      <w:r w:rsidRPr="00BA526A">
        <w:rPr>
          <w:rFonts w:ascii="Times New Roman" w:eastAsia="Times New Roman" w:hAnsi="Times New Roman" w:cs="Times New Roman"/>
          <w:b/>
          <w:color w:val="000000"/>
          <w:kern w:val="0"/>
          <w:szCs w:val="32"/>
          <w:lang w:eastAsia="zh-CN"/>
          <w14:ligatures w14:val="none"/>
        </w:rPr>
        <w:t>Supplementary Note S1. Autonomic Rationale for Paradoxical Intention and the Breath-Holding Technique</w:t>
      </w:r>
    </w:p>
    <w:p w14:paraId="0BB27279"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t>The two somatic components introduced at Visit 6 (the breath-holding technique and paradoxical intention) share an autonomic rationale that we summarize here rather than in the main text. Paruresis is thought to involve sympathetic hyperarousal that, together with stress-related striated-muscle activity, contributes to involuntary contraction of the external urethral sphincter and impedes the parasympathetic dominance that micturition requires (</w:t>
      </w:r>
      <w:proofErr w:type="spellStart"/>
      <w:r w:rsidRPr="00BA526A">
        <w:rPr>
          <w:rFonts w:ascii="Times New Roman" w:eastAsia="Times New Roman" w:hAnsi="Times New Roman" w:cs="Times New Roman"/>
          <w:color w:val="000000"/>
          <w:kern w:val="0"/>
          <w:lang w:eastAsia="zh-CN"/>
          <w14:ligatures w14:val="none"/>
        </w:rPr>
        <w:t>Hammelstein</w:t>
      </w:r>
      <w:proofErr w:type="spellEnd"/>
      <w:r w:rsidRPr="00BA526A">
        <w:rPr>
          <w:rFonts w:ascii="Times New Roman" w:eastAsia="Times New Roman" w:hAnsi="Times New Roman" w:cs="Times New Roman"/>
          <w:color w:val="000000"/>
          <w:kern w:val="0"/>
          <w:lang w:eastAsia="zh-CN"/>
          <w14:ligatures w14:val="none"/>
        </w:rPr>
        <w:t xml:space="preserve"> &amp; Soifer, 2006; Kuoch et al., 2017). Paradoxical intention works by removing the performance demand: when the patient is instructed to enter the restroom and deliberately not attempt to void, the sympathetic panic response may deactivate, allowing reflexive initiation of voiding. The breath-holding technique works through a separate, complementary pathway: holding the breath for 30 to 45 seconds raises blood carbon dioxide, which triggers reflexive relaxation of the external urethral sphincter while increasing detrusor tone (</w:t>
      </w:r>
      <w:proofErr w:type="spellStart"/>
      <w:r w:rsidRPr="00BA526A">
        <w:rPr>
          <w:rFonts w:ascii="Times New Roman" w:eastAsia="Times New Roman" w:hAnsi="Times New Roman" w:cs="Times New Roman"/>
          <w:color w:val="000000"/>
          <w:kern w:val="0"/>
          <w:lang w:eastAsia="zh-CN"/>
          <w14:ligatures w14:val="none"/>
        </w:rPr>
        <w:t>Zgourides</w:t>
      </w:r>
      <w:proofErr w:type="spellEnd"/>
      <w:r w:rsidRPr="00BA526A">
        <w:rPr>
          <w:rFonts w:ascii="Times New Roman" w:eastAsia="Times New Roman" w:hAnsi="Times New Roman" w:cs="Times New Roman"/>
          <w:color w:val="000000"/>
          <w:kern w:val="0"/>
          <w:lang w:eastAsia="zh-CN"/>
          <w14:ligatures w14:val="none"/>
        </w:rPr>
        <w:t>, 1987; Kuoch et al., 2017). Because the breath-holding effect operates independently of cognitive appraisals, it can offer relief before cognitive restructuring has addressed entrenched automatic thoughts. We interpret both components as somatic bypasses of the anxious inhibition cycle rather than as cognitive interventions.</w:t>
      </w:r>
    </w:p>
    <w:p w14:paraId="57DE3611" w14:textId="77777777" w:rsidR="00296C13" w:rsidRPr="00BA526A" w:rsidRDefault="00296C13" w:rsidP="00296C13">
      <w:pPr>
        <w:keepNext/>
        <w:keepLines/>
        <w:spacing w:after="0" w:line="480" w:lineRule="auto"/>
        <w:jc w:val="center"/>
        <w:outlineLvl w:val="1"/>
        <w:rPr>
          <w:rFonts w:ascii="Times New Roman" w:eastAsia="Times New Roman" w:hAnsi="Times New Roman" w:cs="Times New Roman"/>
          <w:b/>
          <w:color w:val="000000"/>
          <w:kern w:val="0"/>
          <w:szCs w:val="32"/>
          <w:lang w:eastAsia="zh-CN"/>
          <w14:ligatures w14:val="none"/>
        </w:rPr>
      </w:pPr>
      <w:bookmarkStart w:id="3" w:name="X8ad4ae766d2cb46ca33bf9ecbdf4271bca77596"/>
      <w:bookmarkEnd w:id="2"/>
      <w:r w:rsidRPr="00BA526A">
        <w:rPr>
          <w:rFonts w:ascii="Times New Roman" w:eastAsia="Times New Roman" w:hAnsi="Times New Roman" w:cs="Times New Roman"/>
          <w:b/>
          <w:color w:val="000000"/>
          <w:kern w:val="0"/>
          <w:szCs w:val="32"/>
          <w:lang w:eastAsia="zh-CN"/>
          <w14:ligatures w14:val="none"/>
        </w:rPr>
        <w:t>Supplementary Note S2. Additional Medical and Structural Context</w:t>
      </w:r>
    </w:p>
    <w:p w14:paraId="02CD072A"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t>This material expands two threads condensed in the main text for length: the medical sequelae of chronic urinary retention and the legislative context that compounds restroom avoidance for transgender patients.</w:t>
      </w:r>
    </w:p>
    <w:p w14:paraId="0E9899B2"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b/>
          <w:bCs/>
          <w:color w:val="000000"/>
          <w:kern w:val="0"/>
          <w:lang w:eastAsia="zh-CN"/>
          <w14:ligatures w14:val="none"/>
        </w:rPr>
        <w:lastRenderedPageBreak/>
        <w:t>Medical sequelae.</w:t>
      </w:r>
      <w:r w:rsidRPr="00BA526A">
        <w:rPr>
          <w:rFonts w:ascii="Times New Roman" w:eastAsia="Times New Roman" w:hAnsi="Times New Roman" w:cs="Times New Roman"/>
          <w:color w:val="000000"/>
          <w:kern w:val="0"/>
          <w:lang w:eastAsia="zh-CN"/>
          <w14:ligatures w14:val="none"/>
        </w:rPr>
        <w:t xml:space="preserve"> Chronic voluntary retention carries risks beyond those summarized in the main text. Compensatory fluid restriction concentrates urine and raises the risk of urinary tract infections and nephrolithiasis; repeated infections can ascend to the upper tract and cause pyelonephritis, and prolonged retention has been associated with hydronephrosis and compromised renal function (Kuoch et al., 2017; Nørregaard et al., 2023). Whether transgender people carry elevated baseline renal risk is unsettled. One research letter reported acute kidney injury in 32% and chronic kidney disease in 36% of a cross-sectional sample of 274 transgender adults receiving gender-affirming hormone therapy (Eckenrode et al., 2022); however, serum-creatinine-based estimates of kidney function in this population are complicated by hormone- and muscle-mass-related changes (Collister et al., 2022), and a recent synthesis found inconsistent chronic kidney disease risk across data sources, with no clear excess in U.S. samples (Duncan et al., 2025). Behavioral contributors to retention, including the compensatory fluid restriction common in paruresis, nonetheless warrant clinical attention when caring for transgender patients.</w:t>
      </w:r>
    </w:p>
    <w:p w14:paraId="0F4D076E"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b/>
          <w:bCs/>
          <w:color w:val="000000"/>
          <w:kern w:val="0"/>
          <w:lang w:eastAsia="zh-CN"/>
          <w14:ligatures w14:val="none"/>
        </w:rPr>
        <w:t>Structural and legislative context.</w:t>
      </w:r>
      <w:r w:rsidRPr="00BA526A">
        <w:rPr>
          <w:rFonts w:ascii="Times New Roman" w:eastAsia="Times New Roman" w:hAnsi="Times New Roman" w:cs="Times New Roman"/>
          <w:color w:val="000000"/>
          <w:kern w:val="0"/>
          <w:lang w:eastAsia="zh-CN"/>
          <w14:ligatures w14:val="none"/>
        </w:rPr>
        <w:t xml:space="preserve"> This case cannot be fully understood outside its legislative context. As of May 2026, the Movement Advancement Project documented bathroom restrictions in 21 states and the territory of Puerto Rico, several of which criminalize transgender use of facilities consistent with gender identity under some circumstances (Movement Advancement Project, 2026). A Williams Institute analysis found no evidence that transgender restroom access jeopardizes the safety or privacy of other users, while confirming that transgender individuals themselves face denial of access, verbal harassment, and physical assault (Herman et al., 2025). For a patient with co-occurring paruresis, such restrictions create a double bind: the anxiety-driven inability to void is compounded by a realistic fear of legal penalty or </w:t>
      </w:r>
      <w:r w:rsidRPr="00BA526A">
        <w:rPr>
          <w:rFonts w:ascii="Times New Roman" w:eastAsia="Times New Roman" w:hAnsi="Times New Roman" w:cs="Times New Roman"/>
          <w:color w:val="000000"/>
          <w:kern w:val="0"/>
          <w:lang w:eastAsia="zh-CN"/>
          <w14:ligatures w14:val="none"/>
        </w:rPr>
        <w:lastRenderedPageBreak/>
        <w:t>confrontation for entering the restroom at all. Although much of the supporting mental-health evidence is drawn from youth samples, bathroom discrimination has been associated with increased depressive mood, suicidal ideation, and suicide attempts (</w:t>
      </w:r>
      <w:proofErr w:type="spellStart"/>
      <w:r w:rsidRPr="00BA526A">
        <w:rPr>
          <w:rFonts w:ascii="Times New Roman" w:eastAsia="Times New Roman" w:hAnsi="Times New Roman" w:cs="Times New Roman"/>
          <w:color w:val="000000"/>
          <w:kern w:val="0"/>
          <w:lang w:eastAsia="zh-CN"/>
          <w14:ligatures w14:val="none"/>
        </w:rPr>
        <w:t>DeChants</w:t>
      </w:r>
      <w:proofErr w:type="spellEnd"/>
      <w:r w:rsidRPr="00BA526A">
        <w:rPr>
          <w:rFonts w:ascii="Times New Roman" w:eastAsia="Times New Roman" w:hAnsi="Times New Roman" w:cs="Times New Roman"/>
          <w:color w:val="000000"/>
          <w:kern w:val="0"/>
          <w:lang w:eastAsia="zh-CN"/>
          <w14:ligatures w14:val="none"/>
        </w:rPr>
        <w:t xml:space="preserve"> et al., 2025; Price-Feeney et al., 2021), and a recent qualitative study extends these concerns to LGBTQIA+ adults (Last et al., 2026); we interpret these structural barriers as operating across the lifespan.</w:t>
      </w:r>
    </w:p>
    <w:p w14:paraId="1922AF33" w14:textId="77777777" w:rsidR="00296C13" w:rsidRPr="00BA526A" w:rsidRDefault="00296C13" w:rsidP="00296C13">
      <w:pPr>
        <w:spacing w:after="0" w:line="480" w:lineRule="auto"/>
        <w:ind w:firstLine="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b/>
          <w:bCs/>
          <w:color w:val="000000"/>
          <w:kern w:val="0"/>
          <w:lang w:eastAsia="zh-CN"/>
          <w14:ligatures w14:val="none"/>
        </w:rPr>
        <w:t>Compensatory restriction and survey context.</w:t>
      </w:r>
      <w:r w:rsidRPr="00BA526A">
        <w:rPr>
          <w:rFonts w:ascii="Times New Roman" w:eastAsia="Times New Roman" w:hAnsi="Times New Roman" w:cs="Times New Roman"/>
          <w:color w:val="000000"/>
          <w:kern w:val="0"/>
          <w:lang w:eastAsia="zh-CN"/>
          <w14:ligatures w14:val="none"/>
        </w:rPr>
        <w:t xml:space="preserve"> Restroom avoidance among transgender individuals is well documented and frequently accompanied by compensatory behaviors with medical consequences. In the 2015 U.S. Transgender Survey, nearly one quarter of respondents reported restricting food and fluid intake to avoid using public restrooms (James et al., 2016); the 2022 survey replicated high rates of avoidance and restroom-related mistreatment (James et al., 2024).</w:t>
      </w:r>
    </w:p>
    <w:p w14:paraId="62A7FFC2" w14:textId="77777777" w:rsidR="00296C13" w:rsidRPr="00BA526A" w:rsidRDefault="00296C13" w:rsidP="00296C13">
      <w:pPr>
        <w:keepNext/>
        <w:keepLines/>
        <w:spacing w:after="0" w:line="480" w:lineRule="auto"/>
        <w:jc w:val="center"/>
        <w:outlineLvl w:val="1"/>
        <w:rPr>
          <w:rFonts w:ascii="Times New Roman" w:eastAsia="Times New Roman" w:hAnsi="Times New Roman" w:cs="Times New Roman"/>
          <w:b/>
          <w:color w:val="000000"/>
          <w:kern w:val="0"/>
          <w:szCs w:val="32"/>
          <w:lang w:eastAsia="zh-CN"/>
          <w14:ligatures w14:val="none"/>
        </w:rPr>
      </w:pPr>
      <w:bookmarkStart w:id="4" w:name="supplementary-references"/>
      <w:bookmarkEnd w:id="3"/>
      <w:r w:rsidRPr="00BA526A">
        <w:rPr>
          <w:rFonts w:ascii="Times New Roman" w:eastAsia="Times New Roman" w:hAnsi="Times New Roman" w:cs="Times New Roman"/>
          <w:b/>
          <w:color w:val="000000"/>
          <w:kern w:val="0"/>
          <w:szCs w:val="32"/>
          <w:lang w:eastAsia="zh-CN"/>
          <w14:ligatures w14:val="none"/>
        </w:rPr>
        <w:t>Supplementary References</w:t>
      </w:r>
    </w:p>
    <w:p w14:paraId="620B9336" w14:textId="77777777" w:rsidR="00296C13" w:rsidRPr="00BA526A" w:rsidRDefault="00296C13" w:rsidP="00296C13">
      <w:pPr>
        <w:spacing w:after="0" w:line="480" w:lineRule="auto"/>
        <w:ind w:left="720" w:hanging="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t>References cited only in this supplement are listed below; all other citations appear in the main reference list.</w:t>
      </w:r>
    </w:p>
    <w:p w14:paraId="711B615F" w14:textId="77777777" w:rsidR="00296C13" w:rsidRPr="00BA526A" w:rsidRDefault="00296C13" w:rsidP="00296C13">
      <w:pPr>
        <w:spacing w:after="0" w:line="480" w:lineRule="auto"/>
        <w:ind w:left="720" w:hanging="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t xml:space="preserve">Collister, D., Krakowsky, Y., Potter, E., &amp; Millar, A. C. (2022). Chronic kidney disease in the transgender, nonbinary, or gender diverse person. </w:t>
      </w:r>
      <w:r w:rsidRPr="00BA526A">
        <w:rPr>
          <w:rFonts w:ascii="Times New Roman" w:eastAsia="Times New Roman" w:hAnsi="Times New Roman" w:cs="Times New Roman"/>
          <w:i/>
          <w:iCs/>
          <w:color w:val="000000"/>
          <w:kern w:val="0"/>
          <w:lang w:eastAsia="zh-CN"/>
          <w14:ligatures w14:val="none"/>
        </w:rPr>
        <w:t>Seminars in Nephrology, 42</w:t>
      </w:r>
      <w:r w:rsidRPr="00BA526A">
        <w:rPr>
          <w:rFonts w:ascii="Times New Roman" w:eastAsia="Times New Roman" w:hAnsi="Times New Roman" w:cs="Times New Roman"/>
          <w:color w:val="000000"/>
          <w:kern w:val="0"/>
          <w:lang w:eastAsia="zh-CN"/>
          <w14:ligatures w14:val="none"/>
        </w:rPr>
        <w:t>(2), 129-141. https://doi.org/10.1016/j.semnephrol.2022.04.004</w:t>
      </w:r>
    </w:p>
    <w:p w14:paraId="427362C9" w14:textId="77777777" w:rsidR="00296C13" w:rsidRPr="00BA526A" w:rsidRDefault="00296C13" w:rsidP="00296C13">
      <w:pPr>
        <w:spacing w:after="0" w:line="480" w:lineRule="auto"/>
        <w:ind w:left="720" w:hanging="720"/>
        <w:rPr>
          <w:rFonts w:ascii="Times New Roman" w:eastAsia="Times New Roman" w:hAnsi="Times New Roman" w:cs="Times New Roman"/>
          <w:color w:val="000000"/>
          <w:kern w:val="0"/>
          <w:lang w:val="es-US" w:eastAsia="zh-CN"/>
          <w14:ligatures w14:val="none"/>
        </w:rPr>
      </w:pPr>
      <w:r w:rsidRPr="00BA526A">
        <w:rPr>
          <w:rFonts w:ascii="Times New Roman" w:eastAsia="Times New Roman" w:hAnsi="Times New Roman" w:cs="Times New Roman"/>
          <w:color w:val="000000"/>
          <w:kern w:val="0"/>
          <w:lang w:eastAsia="zh-CN"/>
          <w14:ligatures w14:val="none"/>
        </w:rPr>
        <w:t xml:space="preserve">Duncan, M. S., Beach, L. B., Wolfe, H. L., </w:t>
      </w:r>
      <w:proofErr w:type="spellStart"/>
      <w:r w:rsidRPr="00BA526A">
        <w:rPr>
          <w:rFonts w:ascii="Times New Roman" w:eastAsia="Times New Roman" w:hAnsi="Times New Roman" w:cs="Times New Roman"/>
          <w:color w:val="000000"/>
          <w:kern w:val="0"/>
          <w:lang w:eastAsia="zh-CN"/>
          <w14:ligatures w14:val="none"/>
        </w:rPr>
        <w:t>Restar</w:t>
      </w:r>
      <w:proofErr w:type="spellEnd"/>
      <w:r w:rsidRPr="00BA526A">
        <w:rPr>
          <w:rFonts w:ascii="Times New Roman" w:eastAsia="Times New Roman" w:hAnsi="Times New Roman" w:cs="Times New Roman"/>
          <w:color w:val="000000"/>
          <w:kern w:val="0"/>
          <w:lang w:eastAsia="zh-CN"/>
          <w14:ligatures w14:val="none"/>
        </w:rPr>
        <w:t xml:space="preserve">, A., Rivera, A. S., &amp; Streed, C. G. (2025). Sexual orientation, gender identity and cardiometabolic risk: A narrative review. </w:t>
      </w:r>
      <w:r w:rsidRPr="00BA526A">
        <w:rPr>
          <w:rFonts w:ascii="Times New Roman" w:eastAsia="Times New Roman" w:hAnsi="Times New Roman" w:cs="Times New Roman"/>
          <w:i/>
          <w:iCs/>
          <w:color w:val="000000"/>
          <w:kern w:val="0"/>
          <w:lang w:val="es-US" w:eastAsia="zh-CN"/>
          <w14:ligatures w14:val="none"/>
        </w:rPr>
        <w:t>Diabetologia, 68</w:t>
      </w:r>
      <w:r w:rsidRPr="00BA526A">
        <w:rPr>
          <w:rFonts w:ascii="Times New Roman" w:eastAsia="Times New Roman" w:hAnsi="Times New Roman" w:cs="Times New Roman"/>
          <w:color w:val="000000"/>
          <w:kern w:val="0"/>
          <w:lang w:val="es-US" w:eastAsia="zh-CN"/>
          <w14:ligatures w14:val="none"/>
        </w:rPr>
        <w:t>(12), 2652-2669. https://doi.org/10.1007/s00125-025-06572-7</w:t>
      </w:r>
    </w:p>
    <w:p w14:paraId="5FA19ACD" w14:textId="77777777" w:rsidR="00296C13" w:rsidRPr="00BA526A" w:rsidRDefault="00296C13" w:rsidP="00296C13">
      <w:pPr>
        <w:spacing w:after="0" w:line="480" w:lineRule="auto"/>
        <w:ind w:left="720" w:hanging="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val="es-US" w:eastAsia="zh-CN"/>
          <w14:ligatures w14:val="none"/>
        </w:rPr>
        <w:t xml:space="preserve">Eckenrode, H. E., Gutierrez, O. M., Osis, G., Agarwal, A., &amp; Curtis, L. M. (2022). </w:t>
      </w:r>
      <w:r w:rsidRPr="00BA526A">
        <w:rPr>
          <w:rFonts w:ascii="Times New Roman" w:eastAsia="Times New Roman" w:hAnsi="Times New Roman" w:cs="Times New Roman"/>
          <w:color w:val="000000"/>
          <w:kern w:val="0"/>
          <w:lang w:eastAsia="zh-CN"/>
          <w14:ligatures w14:val="none"/>
        </w:rPr>
        <w:t xml:space="preserve">Kidney disease prevalence in transgender individuals [Research letter]. </w:t>
      </w:r>
      <w:r w:rsidRPr="00BA526A">
        <w:rPr>
          <w:rFonts w:ascii="Times New Roman" w:eastAsia="Times New Roman" w:hAnsi="Times New Roman" w:cs="Times New Roman"/>
          <w:i/>
          <w:iCs/>
          <w:color w:val="000000"/>
          <w:kern w:val="0"/>
          <w:lang w:eastAsia="zh-CN"/>
          <w14:ligatures w14:val="none"/>
        </w:rPr>
        <w:t>Clinical Journal of the American Society of Nephrology, 17</w:t>
      </w:r>
      <w:r w:rsidRPr="00BA526A">
        <w:rPr>
          <w:rFonts w:ascii="Times New Roman" w:eastAsia="Times New Roman" w:hAnsi="Times New Roman" w:cs="Times New Roman"/>
          <w:color w:val="000000"/>
          <w:kern w:val="0"/>
          <w:lang w:eastAsia="zh-CN"/>
          <w14:ligatures w14:val="none"/>
        </w:rPr>
        <w:t>(2), 280-282. https://doi.org/10.2215/CJN.04660421</w:t>
      </w:r>
    </w:p>
    <w:p w14:paraId="55BC85E2" w14:textId="77777777" w:rsidR="00296C13" w:rsidRPr="00BA526A" w:rsidRDefault="00296C13" w:rsidP="00296C13">
      <w:pPr>
        <w:spacing w:after="0" w:line="480" w:lineRule="auto"/>
        <w:ind w:left="720" w:hanging="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lastRenderedPageBreak/>
        <w:t xml:space="preserve">Herman, J. L., Flores, A. R., &amp; Redfield, E. (2025). </w:t>
      </w:r>
      <w:r w:rsidRPr="00BA526A">
        <w:rPr>
          <w:rFonts w:ascii="Times New Roman" w:eastAsia="Times New Roman" w:hAnsi="Times New Roman" w:cs="Times New Roman"/>
          <w:i/>
          <w:iCs/>
          <w:color w:val="000000"/>
          <w:kern w:val="0"/>
          <w:lang w:eastAsia="zh-CN"/>
          <w14:ligatures w14:val="none"/>
        </w:rPr>
        <w:t>Safety and privacy in public restrooms and other gendered facilities</w:t>
      </w:r>
      <w:r w:rsidRPr="00BA526A">
        <w:rPr>
          <w:rFonts w:ascii="Times New Roman" w:eastAsia="Times New Roman" w:hAnsi="Times New Roman" w:cs="Times New Roman"/>
          <w:color w:val="000000"/>
          <w:kern w:val="0"/>
          <w:lang w:eastAsia="zh-CN"/>
          <w14:ligatures w14:val="none"/>
        </w:rPr>
        <w:t>. Williams Institute, UCLA School of Law. https://williamsinstitute.law.ucla.edu/publications/safety-in-restrooms-and-facilites/</w:t>
      </w:r>
    </w:p>
    <w:p w14:paraId="3C692005" w14:textId="77777777" w:rsidR="00296C13" w:rsidRPr="00BA526A" w:rsidRDefault="00296C13" w:rsidP="00296C13">
      <w:pPr>
        <w:spacing w:after="0" w:line="480" w:lineRule="auto"/>
        <w:ind w:left="720" w:hanging="720"/>
        <w:rPr>
          <w:rFonts w:ascii="Times New Roman" w:eastAsia="Times New Roman" w:hAnsi="Times New Roman" w:cs="Times New Roman"/>
          <w:color w:val="000000"/>
          <w:kern w:val="0"/>
          <w:lang w:eastAsia="zh-CN"/>
          <w14:ligatures w14:val="none"/>
        </w:rPr>
      </w:pPr>
      <w:r w:rsidRPr="00BA526A">
        <w:rPr>
          <w:rFonts w:ascii="Times New Roman" w:eastAsia="Times New Roman" w:hAnsi="Times New Roman" w:cs="Times New Roman"/>
          <w:color w:val="000000"/>
          <w:kern w:val="0"/>
          <w:lang w:eastAsia="zh-CN"/>
          <w14:ligatures w14:val="none"/>
        </w:rPr>
        <w:t xml:space="preserve">Movement Advancement Project. (2026, May). </w:t>
      </w:r>
      <w:r w:rsidRPr="00BA526A">
        <w:rPr>
          <w:rFonts w:ascii="Times New Roman" w:eastAsia="Times New Roman" w:hAnsi="Times New Roman" w:cs="Times New Roman"/>
          <w:i/>
          <w:iCs/>
          <w:color w:val="000000"/>
          <w:kern w:val="0"/>
          <w:lang w:eastAsia="zh-CN"/>
          <w14:ligatures w14:val="none"/>
        </w:rPr>
        <w:t>Bans on transgender people using bathrooms and facilities according to their gender identity</w:t>
      </w:r>
      <w:r w:rsidRPr="00BA526A">
        <w:rPr>
          <w:rFonts w:ascii="Times New Roman" w:eastAsia="Times New Roman" w:hAnsi="Times New Roman" w:cs="Times New Roman"/>
          <w:color w:val="000000"/>
          <w:kern w:val="0"/>
          <w:lang w:eastAsia="zh-CN"/>
          <w14:ligatures w14:val="none"/>
        </w:rPr>
        <w:t>. https://mapresearch.org/equality-map/bans-on-transgender-people-using-public-bathrooms-and-facilities-according-to-their-gender-identity/</w:t>
      </w:r>
    </w:p>
    <w:bookmarkEnd w:id="0"/>
    <w:bookmarkEnd w:id="4"/>
    <w:p w14:paraId="1C426234" w14:textId="77777777" w:rsidR="00897C4B" w:rsidRPr="00BA526A" w:rsidRDefault="00897C4B">
      <w:pPr>
        <w:rPr>
          <w:rFonts w:ascii="Times New Roman" w:hAnsi="Times New Roman" w:cs="Times New Roman"/>
        </w:rPr>
      </w:pPr>
    </w:p>
    <w:sectPr w:rsidR="00897C4B" w:rsidRPr="00BA526A" w:rsidSect="00296C13">
      <w:headerReference w:type="default" r:id="rId4"/>
      <w:footnotePr>
        <w:numRestart w:val="eachSect"/>
      </w:footnotePr>
      <w:pgSz w:w="12240" w:h="15840"/>
      <w:pgMar w:top="1440" w:right="1440" w:bottom="1440" w:left="1440" w:header="720" w:footer="720" w:gutter="0"/>
      <w:lnNumType w:countBy="1" w:start="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FE2F64" w14:textId="77777777" w:rsidR="00296C13" w:rsidRDefault="00296C13">
    <w:pPr>
      <w:tabs>
        <w:tab w:val="right" w:pos="9360"/>
      </w:tabs>
    </w:pPr>
    <w:r>
      <w:rPr>
        <w:rFonts w:ascii="Times New Roman" w:hAnsi="Times New Roman"/>
        <w:color w:val="000000"/>
      </w:rPr>
      <w:t>PARURESIS IN A TRANSGENDER WOMAN - SUPPLEMENT</w:t>
    </w:r>
    <w:r>
      <w:rPr>
        <w:rFonts w:ascii="Times New Roman" w:hAnsi="Times New Roman"/>
      </w:rPr>
      <w:tab/>
    </w:r>
    <w:r>
      <w:fldChar w:fldCharType="begin"/>
    </w:r>
    <w:r>
      <w:rPr>
        <w:rFonts w:ascii="Times New Roman" w:hAnsi="Times New Roman"/>
        <w:color w:val="000000"/>
      </w:rPr>
      <w:instrText>PAGE</w:instrText>
    </w:r>
    <w:r>
      <w:fldChar w:fldCharType="separate"/>
    </w:r>
    <w:r>
      <w:rPr>
        <w:noProof/>
      </w:rPr>
      <w:t>1</w:t>
    </w:r>
    <w:r>
      <w:fldChar w:fldCharType="end"/>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13"/>
    <w:rsid w:val="00296C13"/>
    <w:rsid w:val="00756569"/>
    <w:rsid w:val="00897C4B"/>
    <w:rsid w:val="00987AD3"/>
    <w:rsid w:val="00A83C07"/>
    <w:rsid w:val="00BA526A"/>
    <w:rsid w:val="00C56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163D5"/>
  <w15:chartTrackingRefBased/>
  <w15:docId w15:val="{9055C683-25B4-854C-9A1E-D0337097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C13"/>
    <w:rPr>
      <w:rFonts w:eastAsiaTheme="majorEastAsia" w:cstheme="majorBidi"/>
      <w:color w:val="272727" w:themeColor="text1" w:themeTint="D8"/>
    </w:rPr>
  </w:style>
  <w:style w:type="paragraph" w:styleId="Title">
    <w:name w:val="Title"/>
    <w:basedOn w:val="Normal"/>
    <w:next w:val="Normal"/>
    <w:link w:val="TitleChar"/>
    <w:uiPriority w:val="10"/>
    <w:qFormat/>
    <w:rsid w:val="00296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C13"/>
    <w:pPr>
      <w:spacing w:before="160"/>
      <w:jc w:val="center"/>
    </w:pPr>
    <w:rPr>
      <w:i/>
      <w:iCs/>
      <w:color w:val="404040" w:themeColor="text1" w:themeTint="BF"/>
    </w:rPr>
  </w:style>
  <w:style w:type="character" w:customStyle="1" w:styleId="QuoteChar">
    <w:name w:val="Quote Char"/>
    <w:basedOn w:val="DefaultParagraphFont"/>
    <w:link w:val="Quote"/>
    <w:uiPriority w:val="29"/>
    <w:rsid w:val="00296C13"/>
    <w:rPr>
      <w:i/>
      <w:iCs/>
      <w:color w:val="404040" w:themeColor="text1" w:themeTint="BF"/>
    </w:rPr>
  </w:style>
  <w:style w:type="paragraph" w:styleId="ListParagraph">
    <w:name w:val="List Paragraph"/>
    <w:basedOn w:val="Normal"/>
    <w:uiPriority w:val="34"/>
    <w:qFormat/>
    <w:rsid w:val="00296C13"/>
    <w:pPr>
      <w:ind w:left="720"/>
      <w:contextualSpacing/>
    </w:pPr>
  </w:style>
  <w:style w:type="character" w:styleId="IntenseEmphasis">
    <w:name w:val="Intense Emphasis"/>
    <w:basedOn w:val="DefaultParagraphFont"/>
    <w:uiPriority w:val="21"/>
    <w:qFormat/>
    <w:rsid w:val="00296C13"/>
    <w:rPr>
      <w:i/>
      <w:iCs/>
      <w:color w:val="0F4761" w:themeColor="accent1" w:themeShade="BF"/>
    </w:rPr>
  </w:style>
  <w:style w:type="paragraph" w:styleId="IntenseQuote">
    <w:name w:val="Intense Quote"/>
    <w:basedOn w:val="Normal"/>
    <w:next w:val="Normal"/>
    <w:link w:val="IntenseQuoteChar"/>
    <w:uiPriority w:val="30"/>
    <w:qFormat/>
    <w:rsid w:val="00296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C13"/>
    <w:rPr>
      <w:i/>
      <w:iCs/>
      <w:color w:val="0F4761" w:themeColor="accent1" w:themeShade="BF"/>
    </w:rPr>
  </w:style>
  <w:style w:type="character" w:styleId="IntenseReference">
    <w:name w:val="Intense Reference"/>
    <w:basedOn w:val="DefaultParagraphFont"/>
    <w:uiPriority w:val="32"/>
    <w:qFormat/>
    <w:rsid w:val="00296C13"/>
    <w:rPr>
      <w:b/>
      <w:bCs/>
      <w:smallCaps/>
      <w:color w:val="0F4761" w:themeColor="accent1" w:themeShade="BF"/>
      <w:spacing w:val="5"/>
    </w:rPr>
  </w:style>
  <w:style w:type="table" w:customStyle="1" w:styleId="Table">
    <w:name w:val="Table"/>
    <w:semiHidden/>
    <w:unhideWhenUsed/>
    <w:qFormat/>
    <w:rsid w:val="00296C13"/>
    <w:pPr>
      <w:spacing w:after="200" w:line="240" w:lineRule="auto"/>
    </w:pPr>
    <w:rPr>
      <w:rFonts w:eastAsia="Times New Roman"/>
      <w:kern w:val="0"/>
      <w:lang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styleId="LineNumber">
    <w:name w:val="line number"/>
    <w:basedOn w:val="DefaultParagraphFont"/>
    <w:uiPriority w:val="99"/>
    <w:semiHidden/>
    <w:unhideWhenUsed/>
    <w:rsid w:val="00296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1516</Words>
  <Characters>9811</Characters>
  <Application>Microsoft Office Word</Application>
  <DocSecurity>0</DocSecurity>
  <Lines>200</Lines>
  <Paragraphs>64</Paragraphs>
  <ScaleCrop>false</ScaleCrop>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Gonzalez</dc:creator>
  <cp:keywords/>
  <dc:description/>
  <cp:lastModifiedBy>Cesar Gonzalez</cp:lastModifiedBy>
  <cp:revision>2</cp:revision>
  <dcterms:created xsi:type="dcterms:W3CDTF">2026-06-21T20:56:00Z</dcterms:created>
  <dcterms:modified xsi:type="dcterms:W3CDTF">2026-06-21T20:56:00Z</dcterms:modified>
</cp:coreProperties>
</file>