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B65B" w14:textId="77777777" w:rsidR="007675E3" w:rsidRPr="0074493F" w:rsidRDefault="007675E3" w:rsidP="007675E3">
      <w:pPr>
        <w:jc w:val="both"/>
        <w:rPr>
          <w:rFonts w:ascii="Arial" w:hAnsi="Arial" w:cs="Arial"/>
          <w:b/>
          <w:bCs/>
        </w:rPr>
      </w:pPr>
      <w:r w:rsidRPr="0074493F">
        <w:rPr>
          <w:rFonts w:ascii="Arial" w:hAnsi="Arial" w:cs="Arial"/>
          <w:b/>
          <w:bCs/>
        </w:rPr>
        <w:t>Supplementary</w:t>
      </w:r>
    </w:p>
    <w:p w14:paraId="684B780E" w14:textId="77777777" w:rsidR="007675E3" w:rsidRPr="0074493F" w:rsidRDefault="007675E3" w:rsidP="007675E3">
      <w:pPr>
        <w:spacing w:before="100" w:beforeAutospacing="1" w:after="100" w:afterAutospacing="1" w:line="240" w:lineRule="auto"/>
        <w:jc w:val="both"/>
        <w:rPr>
          <w:rFonts w:ascii="Arial" w:hAnsi="Arial" w:cs="Arial"/>
          <w:b/>
          <w:bCs/>
          <w:color w:val="000000"/>
        </w:rPr>
      </w:pPr>
      <w:r w:rsidRPr="00A95348">
        <w:rPr>
          <w:rFonts w:ascii="Arial" w:eastAsia="Times New Roman" w:hAnsi="Arial" w:cs="Arial"/>
          <w:b/>
          <w:bCs/>
          <w:color w:val="000000"/>
          <w:lang w:val="en-US"/>
        </w:rPr>
        <w:t xml:space="preserve">Table S1. </w:t>
      </w:r>
      <w:r w:rsidRPr="0074493F">
        <w:rPr>
          <w:rFonts w:ascii="Arial" w:hAnsi="Arial" w:cs="Arial"/>
          <w:b/>
          <w:bCs/>
          <w:color w:val="000000"/>
        </w:rPr>
        <w:t>Comparison of residents with and without computable FI31-NH among residents aged ≥65 years admitted on or before 31 December 2019</w:t>
      </w:r>
    </w:p>
    <w:tbl>
      <w:tblPr>
        <w:tblW w:w="8263" w:type="dxa"/>
        <w:tblBorders>
          <w:bottom w:val="single" w:sz="4" w:space="0" w:color="auto"/>
          <w:insideH w:val="single" w:sz="4" w:space="0" w:color="auto"/>
        </w:tblBorders>
        <w:tblCellMar>
          <w:left w:w="70" w:type="dxa"/>
          <w:right w:w="70" w:type="dxa"/>
        </w:tblCellMar>
        <w:tblLook w:val="04A0" w:firstRow="1" w:lastRow="0" w:firstColumn="1" w:lastColumn="0" w:noHBand="0" w:noVBand="1"/>
      </w:tblPr>
      <w:tblGrid>
        <w:gridCol w:w="4963"/>
        <w:gridCol w:w="1620"/>
        <w:gridCol w:w="1680"/>
      </w:tblGrid>
      <w:tr w:rsidR="007675E3" w:rsidRPr="0074493F" w14:paraId="06F91BE4" w14:textId="77777777" w:rsidTr="00120D8C">
        <w:trPr>
          <w:trHeight w:val="320"/>
        </w:trPr>
        <w:tc>
          <w:tcPr>
            <w:tcW w:w="4963" w:type="dxa"/>
            <w:noWrap/>
            <w:vAlign w:val="bottom"/>
            <w:hideMark/>
          </w:tcPr>
          <w:p w14:paraId="3249975D" w14:textId="77777777" w:rsidR="007675E3" w:rsidRPr="0074493F" w:rsidRDefault="007675E3" w:rsidP="00120D8C">
            <w:pPr>
              <w:spacing w:after="0" w:line="240" w:lineRule="auto"/>
              <w:jc w:val="both"/>
              <w:rPr>
                <w:rFonts w:ascii="Arial" w:eastAsia="Times New Roman" w:hAnsi="Arial" w:cs="Arial"/>
                <w:b/>
                <w:bCs/>
                <w:color w:val="000000"/>
                <w:lang w:val="es-ES"/>
              </w:rPr>
            </w:pPr>
            <w:r w:rsidRPr="0074493F">
              <w:rPr>
                <w:rFonts w:ascii="Arial" w:eastAsia="Times New Roman" w:hAnsi="Arial" w:cs="Arial"/>
                <w:b/>
                <w:bCs/>
                <w:color w:val="000000"/>
                <w:lang w:val="es-ES"/>
              </w:rPr>
              <w:t>Variable</w:t>
            </w:r>
          </w:p>
        </w:tc>
        <w:tc>
          <w:tcPr>
            <w:tcW w:w="1620" w:type="dxa"/>
            <w:noWrap/>
            <w:vAlign w:val="bottom"/>
            <w:hideMark/>
          </w:tcPr>
          <w:p w14:paraId="4C40A24D" w14:textId="77777777" w:rsidR="007675E3" w:rsidRPr="0074493F" w:rsidRDefault="007675E3" w:rsidP="00120D8C">
            <w:pPr>
              <w:spacing w:after="0" w:line="240" w:lineRule="auto"/>
              <w:jc w:val="both"/>
              <w:rPr>
                <w:rFonts w:ascii="Arial" w:eastAsia="Times New Roman" w:hAnsi="Arial" w:cs="Arial"/>
                <w:b/>
                <w:bCs/>
                <w:color w:val="000000"/>
                <w:lang w:val="es-ES"/>
              </w:rPr>
            </w:pPr>
            <w:r w:rsidRPr="0074493F">
              <w:rPr>
                <w:rFonts w:ascii="Arial" w:eastAsia="Times New Roman" w:hAnsi="Arial" w:cs="Arial"/>
                <w:b/>
                <w:bCs/>
                <w:color w:val="000000"/>
                <w:lang w:val="es-ES"/>
              </w:rPr>
              <w:t>FI31-NH computable</w:t>
            </w:r>
          </w:p>
        </w:tc>
        <w:tc>
          <w:tcPr>
            <w:tcW w:w="1680" w:type="dxa"/>
            <w:noWrap/>
            <w:vAlign w:val="bottom"/>
            <w:hideMark/>
          </w:tcPr>
          <w:p w14:paraId="669F43CE" w14:textId="77777777" w:rsidR="007675E3" w:rsidRPr="0074493F" w:rsidRDefault="007675E3" w:rsidP="00120D8C">
            <w:pPr>
              <w:spacing w:after="0" w:line="240" w:lineRule="auto"/>
              <w:jc w:val="both"/>
              <w:rPr>
                <w:rFonts w:ascii="Arial" w:eastAsia="Times New Roman" w:hAnsi="Arial" w:cs="Arial"/>
                <w:b/>
                <w:bCs/>
                <w:color w:val="000000"/>
                <w:lang w:val="es-ES"/>
              </w:rPr>
            </w:pPr>
            <w:r w:rsidRPr="0074493F">
              <w:rPr>
                <w:rFonts w:ascii="Arial" w:eastAsia="Times New Roman" w:hAnsi="Arial" w:cs="Arial"/>
                <w:b/>
                <w:bCs/>
                <w:color w:val="000000"/>
                <w:lang w:val="es-ES"/>
              </w:rPr>
              <w:t>FI31-NH non-computable</w:t>
            </w:r>
          </w:p>
        </w:tc>
      </w:tr>
      <w:tr w:rsidR="007675E3" w:rsidRPr="0074493F" w14:paraId="4381D728" w14:textId="77777777" w:rsidTr="00120D8C">
        <w:trPr>
          <w:trHeight w:val="320"/>
        </w:trPr>
        <w:tc>
          <w:tcPr>
            <w:tcW w:w="4963" w:type="dxa"/>
            <w:noWrap/>
            <w:vAlign w:val="bottom"/>
            <w:hideMark/>
          </w:tcPr>
          <w:p w14:paraId="1DAFBC71"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Residents, n</w:t>
            </w:r>
          </w:p>
        </w:tc>
        <w:tc>
          <w:tcPr>
            <w:tcW w:w="1620" w:type="dxa"/>
            <w:noWrap/>
            <w:vAlign w:val="bottom"/>
            <w:hideMark/>
          </w:tcPr>
          <w:p w14:paraId="79DD00E1"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11,145</w:t>
            </w:r>
          </w:p>
        </w:tc>
        <w:tc>
          <w:tcPr>
            <w:tcW w:w="1680" w:type="dxa"/>
            <w:noWrap/>
            <w:vAlign w:val="bottom"/>
            <w:hideMark/>
          </w:tcPr>
          <w:p w14:paraId="2E77C308"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11,499</w:t>
            </w:r>
          </w:p>
        </w:tc>
      </w:tr>
      <w:tr w:rsidR="007675E3" w:rsidRPr="0074493F" w14:paraId="65D3C0A3" w14:textId="77777777" w:rsidTr="00120D8C">
        <w:trPr>
          <w:trHeight w:val="320"/>
        </w:trPr>
        <w:tc>
          <w:tcPr>
            <w:tcW w:w="4963" w:type="dxa"/>
            <w:noWrap/>
            <w:vAlign w:val="bottom"/>
            <w:hideMark/>
          </w:tcPr>
          <w:p w14:paraId="6727FDC9" w14:textId="77777777" w:rsidR="007675E3" w:rsidRPr="00A95348" w:rsidRDefault="007675E3" w:rsidP="00120D8C">
            <w:pPr>
              <w:spacing w:after="0" w:line="240" w:lineRule="auto"/>
              <w:jc w:val="both"/>
              <w:rPr>
                <w:rFonts w:ascii="Arial" w:eastAsia="Times New Roman" w:hAnsi="Arial" w:cs="Arial"/>
                <w:color w:val="000000"/>
                <w:lang w:val="en-US"/>
              </w:rPr>
            </w:pPr>
            <w:r w:rsidRPr="00A95348">
              <w:rPr>
                <w:rFonts w:ascii="Arial" w:eastAsia="Times New Roman" w:hAnsi="Arial" w:cs="Arial"/>
                <w:color w:val="000000"/>
                <w:lang w:val="en-US"/>
              </w:rPr>
              <w:t>Age at admission, mean (SD)</w:t>
            </w:r>
          </w:p>
        </w:tc>
        <w:tc>
          <w:tcPr>
            <w:tcW w:w="1620" w:type="dxa"/>
            <w:noWrap/>
            <w:vAlign w:val="bottom"/>
            <w:hideMark/>
          </w:tcPr>
          <w:p w14:paraId="043FE336"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84.5 (6.9)</w:t>
            </w:r>
          </w:p>
        </w:tc>
        <w:tc>
          <w:tcPr>
            <w:tcW w:w="1680" w:type="dxa"/>
            <w:noWrap/>
            <w:vAlign w:val="bottom"/>
            <w:hideMark/>
          </w:tcPr>
          <w:p w14:paraId="21FC4445"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84.5 (7.4)</w:t>
            </w:r>
          </w:p>
        </w:tc>
      </w:tr>
      <w:tr w:rsidR="007675E3" w:rsidRPr="0074493F" w14:paraId="4C545982" w14:textId="77777777" w:rsidTr="00120D8C">
        <w:trPr>
          <w:trHeight w:val="320"/>
        </w:trPr>
        <w:tc>
          <w:tcPr>
            <w:tcW w:w="4963" w:type="dxa"/>
            <w:noWrap/>
            <w:vAlign w:val="bottom"/>
            <w:hideMark/>
          </w:tcPr>
          <w:p w14:paraId="0792288D"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Female sex, %</w:t>
            </w:r>
          </w:p>
        </w:tc>
        <w:tc>
          <w:tcPr>
            <w:tcW w:w="1620" w:type="dxa"/>
            <w:noWrap/>
            <w:vAlign w:val="bottom"/>
            <w:hideMark/>
          </w:tcPr>
          <w:p w14:paraId="0D2A5BF4"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69.7</w:t>
            </w:r>
          </w:p>
        </w:tc>
        <w:tc>
          <w:tcPr>
            <w:tcW w:w="1680" w:type="dxa"/>
            <w:noWrap/>
            <w:vAlign w:val="bottom"/>
            <w:hideMark/>
          </w:tcPr>
          <w:p w14:paraId="2D1651FE"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64.2</w:t>
            </w:r>
          </w:p>
        </w:tc>
      </w:tr>
      <w:tr w:rsidR="007675E3" w:rsidRPr="0074493F" w14:paraId="5E77042E" w14:textId="77777777" w:rsidTr="00120D8C">
        <w:trPr>
          <w:trHeight w:val="320"/>
        </w:trPr>
        <w:tc>
          <w:tcPr>
            <w:tcW w:w="4963" w:type="dxa"/>
            <w:noWrap/>
            <w:vAlign w:val="bottom"/>
            <w:hideMark/>
          </w:tcPr>
          <w:p w14:paraId="5AFAC111" w14:textId="77777777" w:rsidR="007675E3" w:rsidRPr="00A95348" w:rsidRDefault="007675E3" w:rsidP="00120D8C">
            <w:pPr>
              <w:spacing w:after="0" w:line="240" w:lineRule="auto"/>
              <w:jc w:val="both"/>
              <w:rPr>
                <w:rFonts w:ascii="Arial" w:eastAsia="Times New Roman" w:hAnsi="Arial" w:cs="Arial"/>
                <w:color w:val="000000"/>
                <w:lang w:val="en-US"/>
              </w:rPr>
            </w:pPr>
            <w:r w:rsidRPr="00A95348">
              <w:rPr>
                <w:rFonts w:ascii="Arial" w:eastAsia="Times New Roman" w:hAnsi="Arial" w:cs="Arial"/>
                <w:color w:val="000000"/>
                <w:lang w:val="en-US"/>
              </w:rPr>
              <w:t>Median length of stay, days</w:t>
            </w:r>
          </w:p>
        </w:tc>
        <w:tc>
          <w:tcPr>
            <w:tcW w:w="1620" w:type="dxa"/>
            <w:noWrap/>
            <w:vAlign w:val="bottom"/>
            <w:hideMark/>
          </w:tcPr>
          <w:p w14:paraId="60CD9825"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820</w:t>
            </w:r>
          </w:p>
        </w:tc>
        <w:tc>
          <w:tcPr>
            <w:tcW w:w="1680" w:type="dxa"/>
            <w:noWrap/>
            <w:vAlign w:val="bottom"/>
            <w:hideMark/>
          </w:tcPr>
          <w:p w14:paraId="4A529DA8"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53</w:t>
            </w:r>
          </w:p>
        </w:tc>
      </w:tr>
      <w:tr w:rsidR="007675E3" w:rsidRPr="0074493F" w14:paraId="7047BF31" w14:textId="77777777" w:rsidTr="00120D8C">
        <w:trPr>
          <w:trHeight w:val="320"/>
        </w:trPr>
        <w:tc>
          <w:tcPr>
            <w:tcW w:w="4963" w:type="dxa"/>
            <w:noWrap/>
            <w:vAlign w:val="bottom"/>
            <w:hideMark/>
          </w:tcPr>
          <w:p w14:paraId="16E843DC"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Death before 90 days, %</w:t>
            </w:r>
          </w:p>
        </w:tc>
        <w:tc>
          <w:tcPr>
            <w:tcW w:w="1620" w:type="dxa"/>
            <w:noWrap/>
            <w:vAlign w:val="bottom"/>
            <w:hideMark/>
          </w:tcPr>
          <w:p w14:paraId="67801F05"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2.8</w:t>
            </w:r>
          </w:p>
        </w:tc>
        <w:tc>
          <w:tcPr>
            <w:tcW w:w="1680" w:type="dxa"/>
            <w:noWrap/>
            <w:vAlign w:val="bottom"/>
            <w:hideMark/>
          </w:tcPr>
          <w:p w14:paraId="3932E353"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11.3</w:t>
            </w:r>
          </w:p>
        </w:tc>
      </w:tr>
      <w:tr w:rsidR="007675E3" w:rsidRPr="0074493F" w14:paraId="55C7B2FD" w14:textId="77777777" w:rsidTr="00120D8C">
        <w:trPr>
          <w:trHeight w:val="320"/>
        </w:trPr>
        <w:tc>
          <w:tcPr>
            <w:tcW w:w="4963" w:type="dxa"/>
            <w:noWrap/>
            <w:vAlign w:val="bottom"/>
            <w:hideMark/>
          </w:tcPr>
          <w:p w14:paraId="0B7EA50D"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Early discharge ≤90 days, %</w:t>
            </w:r>
          </w:p>
        </w:tc>
        <w:tc>
          <w:tcPr>
            <w:tcW w:w="1620" w:type="dxa"/>
            <w:noWrap/>
            <w:vAlign w:val="bottom"/>
            <w:hideMark/>
          </w:tcPr>
          <w:p w14:paraId="148EAD15"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11.8</w:t>
            </w:r>
          </w:p>
        </w:tc>
        <w:tc>
          <w:tcPr>
            <w:tcW w:w="1680" w:type="dxa"/>
            <w:noWrap/>
            <w:vAlign w:val="bottom"/>
            <w:hideMark/>
          </w:tcPr>
          <w:p w14:paraId="4092AB70"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48.4</w:t>
            </w:r>
          </w:p>
        </w:tc>
      </w:tr>
      <w:tr w:rsidR="007675E3" w:rsidRPr="0074493F" w14:paraId="1DC36954" w14:textId="77777777" w:rsidTr="00120D8C">
        <w:trPr>
          <w:trHeight w:val="320"/>
        </w:trPr>
        <w:tc>
          <w:tcPr>
            <w:tcW w:w="4963" w:type="dxa"/>
            <w:noWrap/>
            <w:vAlign w:val="bottom"/>
            <w:hideMark/>
          </w:tcPr>
          <w:p w14:paraId="692A82CD"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Barthel assessment available, %</w:t>
            </w:r>
          </w:p>
        </w:tc>
        <w:tc>
          <w:tcPr>
            <w:tcW w:w="1620" w:type="dxa"/>
            <w:noWrap/>
            <w:vAlign w:val="bottom"/>
            <w:hideMark/>
          </w:tcPr>
          <w:p w14:paraId="1EE8EC15"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100.0</w:t>
            </w:r>
          </w:p>
        </w:tc>
        <w:tc>
          <w:tcPr>
            <w:tcW w:w="1680" w:type="dxa"/>
            <w:noWrap/>
            <w:vAlign w:val="bottom"/>
            <w:hideMark/>
          </w:tcPr>
          <w:p w14:paraId="68B5B3E6"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51.1</w:t>
            </w:r>
          </w:p>
        </w:tc>
      </w:tr>
      <w:tr w:rsidR="007675E3" w:rsidRPr="0074493F" w14:paraId="16811D6C" w14:textId="77777777" w:rsidTr="00120D8C">
        <w:trPr>
          <w:trHeight w:val="320"/>
        </w:trPr>
        <w:tc>
          <w:tcPr>
            <w:tcW w:w="4963" w:type="dxa"/>
            <w:noWrap/>
            <w:vAlign w:val="bottom"/>
            <w:hideMark/>
          </w:tcPr>
          <w:p w14:paraId="6CAC8F22"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Barthel Index, mean (SD)*</w:t>
            </w:r>
          </w:p>
        </w:tc>
        <w:tc>
          <w:tcPr>
            <w:tcW w:w="1620" w:type="dxa"/>
            <w:noWrap/>
            <w:vAlign w:val="bottom"/>
            <w:hideMark/>
          </w:tcPr>
          <w:p w14:paraId="32FC0077"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49.8 (31.4)</w:t>
            </w:r>
          </w:p>
        </w:tc>
        <w:tc>
          <w:tcPr>
            <w:tcW w:w="1680" w:type="dxa"/>
            <w:noWrap/>
            <w:vAlign w:val="bottom"/>
            <w:hideMark/>
          </w:tcPr>
          <w:p w14:paraId="08AAAB7A"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48.6 (31.1)</w:t>
            </w:r>
          </w:p>
        </w:tc>
      </w:tr>
      <w:tr w:rsidR="007675E3" w:rsidRPr="0074493F" w14:paraId="3900B529" w14:textId="77777777" w:rsidTr="00120D8C">
        <w:trPr>
          <w:trHeight w:val="320"/>
        </w:trPr>
        <w:tc>
          <w:tcPr>
            <w:tcW w:w="4963" w:type="dxa"/>
            <w:noWrap/>
            <w:vAlign w:val="bottom"/>
            <w:hideMark/>
          </w:tcPr>
          <w:p w14:paraId="72527141"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Tinetti assessment available, %</w:t>
            </w:r>
          </w:p>
        </w:tc>
        <w:tc>
          <w:tcPr>
            <w:tcW w:w="1620" w:type="dxa"/>
            <w:noWrap/>
            <w:vAlign w:val="bottom"/>
            <w:hideMark/>
          </w:tcPr>
          <w:p w14:paraId="5FCFAD38"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100.0</w:t>
            </w:r>
          </w:p>
        </w:tc>
        <w:tc>
          <w:tcPr>
            <w:tcW w:w="1680" w:type="dxa"/>
            <w:noWrap/>
            <w:vAlign w:val="bottom"/>
            <w:hideMark/>
          </w:tcPr>
          <w:p w14:paraId="3D3518AF"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55.4</w:t>
            </w:r>
          </w:p>
        </w:tc>
      </w:tr>
      <w:tr w:rsidR="007675E3" w:rsidRPr="0074493F" w14:paraId="5D7829A5" w14:textId="77777777" w:rsidTr="00120D8C">
        <w:trPr>
          <w:trHeight w:val="320"/>
        </w:trPr>
        <w:tc>
          <w:tcPr>
            <w:tcW w:w="4963" w:type="dxa"/>
            <w:noWrap/>
            <w:vAlign w:val="bottom"/>
            <w:hideMark/>
          </w:tcPr>
          <w:p w14:paraId="6B32B996"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Tinetti score, mean (SD)*</w:t>
            </w:r>
          </w:p>
        </w:tc>
        <w:tc>
          <w:tcPr>
            <w:tcW w:w="1620" w:type="dxa"/>
            <w:noWrap/>
            <w:vAlign w:val="bottom"/>
            <w:hideMark/>
          </w:tcPr>
          <w:p w14:paraId="1406AB94"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13.8 (9.2)</w:t>
            </w:r>
          </w:p>
        </w:tc>
        <w:tc>
          <w:tcPr>
            <w:tcW w:w="1680" w:type="dxa"/>
            <w:noWrap/>
            <w:vAlign w:val="bottom"/>
            <w:hideMark/>
          </w:tcPr>
          <w:p w14:paraId="5EF0F872"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13.0 (9.2)</w:t>
            </w:r>
          </w:p>
        </w:tc>
      </w:tr>
      <w:tr w:rsidR="007675E3" w:rsidRPr="0074493F" w14:paraId="3D3F8822" w14:textId="77777777" w:rsidTr="00120D8C">
        <w:trPr>
          <w:trHeight w:val="320"/>
        </w:trPr>
        <w:tc>
          <w:tcPr>
            <w:tcW w:w="4963" w:type="dxa"/>
            <w:noWrap/>
            <w:vAlign w:val="bottom"/>
            <w:hideMark/>
          </w:tcPr>
          <w:p w14:paraId="65E27EEC" w14:textId="77777777" w:rsidR="007675E3" w:rsidRPr="00A95348" w:rsidRDefault="007675E3" w:rsidP="00120D8C">
            <w:pPr>
              <w:spacing w:after="0" w:line="240" w:lineRule="auto"/>
              <w:jc w:val="both"/>
              <w:rPr>
                <w:rFonts w:ascii="Arial" w:eastAsia="Times New Roman" w:hAnsi="Arial" w:cs="Arial"/>
                <w:color w:val="000000"/>
                <w:lang w:val="en-US"/>
              </w:rPr>
            </w:pPr>
            <w:r w:rsidRPr="00A95348">
              <w:rPr>
                <w:rFonts w:ascii="Arial" w:eastAsia="Times New Roman" w:hAnsi="Arial" w:cs="Arial"/>
                <w:color w:val="000000"/>
                <w:lang w:val="en-US"/>
              </w:rPr>
              <w:t>Cognitive assessment available (Pfeiffer or Lobo), %</w:t>
            </w:r>
          </w:p>
        </w:tc>
        <w:tc>
          <w:tcPr>
            <w:tcW w:w="1620" w:type="dxa"/>
            <w:noWrap/>
            <w:vAlign w:val="bottom"/>
            <w:hideMark/>
          </w:tcPr>
          <w:p w14:paraId="3D2C17B9"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100.0</w:t>
            </w:r>
          </w:p>
        </w:tc>
        <w:tc>
          <w:tcPr>
            <w:tcW w:w="1680" w:type="dxa"/>
            <w:noWrap/>
            <w:vAlign w:val="bottom"/>
            <w:hideMark/>
          </w:tcPr>
          <w:p w14:paraId="5F96F4F0"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53.4</w:t>
            </w:r>
          </w:p>
        </w:tc>
      </w:tr>
      <w:tr w:rsidR="007675E3" w:rsidRPr="0074493F" w14:paraId="0FCF3183" w14:textId="77777777" w:rsidTr="00120D8C">
        <w:trPr>
          <w:trHeight w:val="320"/>
        </w:trPr>
        <w:tc>
          <w:tcPr>
            <w:tcW w:w="4963" w:type="dxa"/>
            <w:noWrap/>
            <w:vAlign w:val="bottom"/>
            <w:hideMark/>
          </w:tcPr>
          <w:p w14:paraId="49565E3D" w14:textId="77777777" w:rsidR="007675E3" w:rsidRPr="00A95348" w:rsidRDefault="007675E3" w:rsidP="00120D8C">
            <w:pPr>
              <w:spacing w:after="0" w:line="240" w:lineRule="auto"/>
              <w:jc w:val="both"/>
              <w:rPr>
                <w:rFonts w:ascii="Arial" w:eastAsia="Times New Roman" w:hAnsi="Arial" w:cs="Arial"/>
                <w:color w:val="000000"/>
                <w:lang w:val="en-US"/>
              </w:rPr>
            </w:pPr>
            <w:r w:rsidRPr="00A95348">
              <w:rPr>
                <w:rFonts w:ascii="Arial" w:eastAsia="Times New Roman" w:hAnsi="Arial" w:cs="Arial"/>
                <w:color w:val="000000"/>
                <w:lang w:val="en-US"/>
              </w:rPr>
              <w:t>Cognitive deficit score, mean (SD)*</w:t>
            </w:r>
          </w:p>
        </w:tc>
        <w:tc>
          <w:tcPr>
            <w:tcW w:w="1620" w:type="dxa"/>
            <w:noWrap/>
            <w:vAlign w:val="bottom"/>
            <w:hideMark/>
          </w:tcPr>
          <w:p w14:paraId="116A147E"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0.72 (0.41)</w:t>
            </w:r>
          </w:p>
        </w:tc>
        <w:tc>
          <w:tcPr>
            <w:tcW w:w="1680" w:type="dxa"/>
            <w:noWrap/>
            <w:vAlign w:val="bottom"/>
            <w:hideMark/>
          </w:tcPr>
          <w:p w14:paraId="2DA0E072" w14:textId="77777777" w:rsidR="007675E3" w:rsidRPr="0074493F" w:rsidRDefault="007675E3" w:rsidP="00120D8C">
            <w:pPr>
              <w:spacing w:after="0" w:line="240" w:lineRule="auto"/>
              <w:jc w:val="both"/>
              <w:rPr>
                <w:rFonts w:ascii="Arial" w:eastAsia="Times New Roman" w:hAnsi="Arial" w:cs="Arial"/>
                <w:color w:val="000000"/>
                <w:lang w:val="es-ES"/>
              </w:rPr>
            </w:pPr>
            <w:r w:rsidRPr="0074493F">
              <w:rPr>
                <w:rFonts w:ascii="Arial" w:eastAsia="Times New Roman" w:hAnsi="Arial" w:cs="Arial"/>
                <w:color w:val="000000"/>
                <w:lang w:val="es-ES"/>
              </w:rPr>
              <w:t>0.63 (0.45)</w:t>
            </w:r>
          </w:p>
        </w:tc>
      </w:tr>
    </w:tbl>
    <w:p w14:paraId="1AAB15A1" w14:textId="77777777" w:rsidR="007675E3" w:rsidRPr="00A95348" w:rsidRDefault="007675E3" w:rsidP="007675E3">
      <w:pPr>
        <w:spacing w:before="100" w:beforeAutospacing="1" w:after="100" w:afterAutospacing="1" w:line="240" w:lineRule="auto"/>
        <w:jc w:val="both"/>
        <w:rPr>
          <w:rFonts w:ascii="Arial" w:eastAsia="Times New Roman" w:hAnsi="Arial" w:cs="Arial"/>
          <w:b/>
          <w:bCs/>
          <w:color w:val="000000"/>
          <w:lang w:val="en-US"/>
        </w:rPr>
      </w:pPr>
      <w:r w:rsidRPr="0074493F">
        <w:rPr>
          <w:rFonts w:ascii="Arial" w:hAnsi="Arial" w:cs="Arial"/>
          <w:color w:val="000000"/>
        </w:rPr>
        <w:t>FI31-NH: 31-item Frailty Index for Nursing Homes; SD: standard deviation. Residents were classified as FI31-NH non-computable when insufficient multidomain routine clinical data were available within the first 90 days after admission. Percentages were calculated using the number of residents in each group as denominator. Scale scores were calculated among residents with available assessments only.</w:t>
      </w:r>
    </w:p>
    <w:p w14:paraId="30698D51" w14:textId="77777777" w:rsidR="007675E3" w:rsidRPr="009C73A9" w:rsidRDefault="007675E3" w:rsidP="007675E3">
      <w:pPr>
        <w:spacing w:line="240" w:lineRule="auto"/>
        <w:jc w:val="both"/>
        <w:rPr>
          <w:rFonts w:ascii="Arial" w:eastAsia="Calibri" w:hAnsi="Arial" w:cs="Arial"/>
          <w:b/>
          <w:bCs/>
          <w:color w:val="000000"/>
          <w:lang w:val="en-US"/>
        </w:rPr>
      </w:pPr>
      <w:r w:rsidRPr="0074493F">
        <w:rPr>
          <w:rFonts w:ascii="Arial" w:eastAsia="Calibri" w:hAnsi="Arial" w:cs="Arial"/>
          <w:b/>
          <w:bCs/>
          <w:color w:val="000000"/>
          <w:lang w:val="en-US"/>
        </w:rPr>
        <w:t>Table S2. Deficits included</w:t>
      </w:r>
      <w:r w:rsidRPr="009C73A9">
        <w:rPr>
          <w:rFonts w:ascii="Arial" w:eastAsia="Calibri" w:hAnsi="Arial" w:cs="Arial"/>
          <w:b/>
          <w:bCs/>
          <w:color w:val="000000"/>
          <w:lang w:val="en-US"/>
        </w:rPr>
        <w:t xml:space="preserve"> in the FI31-NH, grouped by frailty domain and coding rules</w:t>
      </w:r>
    </w:p>
    <w:tbl>
      <w:tblPr>
        <w:tblW w:w="0" w:type="auto"/>
        <w:tblCellSpacing w:w="15" w:type="dxa"/>
        <w:tblBorders>
          <w:top w:val="single" w:sz="4" w:space="0" w:color="auto"/>
          <w:bottom w:val="single" w:sz="4" w:space="0" w:color="auto"/>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60"/>
        <w:gridCol w:w="2646"/>
        <w:gridCol w:w="4158"/>
      </w:tblGrid>
      <w:tr w:rsidR="007675E3" w:rsidRPr="003E723D" w14:paraId="410D9846" w14:textId="77777777" w:rsidTr="00120D8C">
        <w:trPr>
          <w:tblHeader/>
          <w:tblCellSpacing w:w="15" w:type="dxa"/>
        </w:trPr>
        <w:tc>
          <w:tcPr>
            <w:tcW w:w="1515" w:type="dxa"/>
            <w:vAlign w:val="center"/>
            <w:hideMark/>
          </w:tcPr>
          <w:p w14:paraId="5C5F2F5F" w14:textId="77777777" w:rsidR="007675E3" w:rsidRPr="003E723D" w:rsidRDefault="007675E3" w:rsidP="00120D8C">
            <w:pPr>
              <w:spacing w:line="480" w:lineRule="auto"/>
              <w:jc w:val="both"/>
              <w:rPr>
                <w:rFonts w:ascii="Arial" w:eastAsia="Calibri" w:hAnsi="Arial" w:cs="Arial"/>
                <w:b/>
                <w:bCs/>
                <w:color w:val="000000"/>
                <w:lang w:val="en-US"/>
              </w:rPr>
            </w:pPr>
            <w:r w:rsidRPr="003E723D">
              <w:rPr>
                <w:rFonts w:ascii="Arial" w:eastAsia="Calibri" w:hAnsi="Arial" w:cs="Arial"/>
                <w:b/>
                <w:bCs/>
                <w:color w:val="000000"/>
                <w:lang w:val="en-US"/>
              </w:rPr>
              <w:t>Dimension</w:t>
            </w:r>
          </w:p>
        </w:tc>
        <w:tc>
          <w:tcPr>
            <w:tcW w:w="2616" w:type="dxa"/>
            <w:vAlign w:val="center"/>
            <w:hideMark/>
          </w:tcPr>
          <w:p w14:paraId="4AA92C46" w14:textId="77777777" w:rsidR="007675E3" w:rsidRPr="003E723D" w:rsidRDefault="007675E3" w:rsidP="00120D8C">
            <w:pPr>
              <w:spacing w:line="480" w:lineRule="auto"/>
              <w:jc w:val="both"/>
              <w:rPr>
                <w:rFonts w:ascii="Arial" w:eastAsia="Calibri" w:hAnsi="Arial" w:cs="Arial"/>
                <w:b/>
                <w:bCs/>
                <w:color w:val="000000"/>
                <w:lang w:val="en-US"/>
              </w:rPr>
            </w:pPr>
            <w:r w:rsidRPr="003E723D">
              <w:rPr>
                <w:rFonts w:ascii="Arial" w:eastAsia="Calibri" w:hAnsi="Arial" w:cs="Arial"/>
                <w:b/>
                <w:bCs/>
                <w:color w:val="000000"/>
                <w:lang w:val="en-US"/>
              </w:rPr>
              <w:t>Item</w:t>
            </w:r>
          </w:p>
        </w:tc>
        <w:tc>
          <w:tcPr>
            <w:tcW w:w="4113" w:type="dxa"/>
            <w:vAlign w:val="center"/>
            <w:hideMark/>
          </w:tcPr>
          <w:p w14:paraId="57144E53" w14:textId="77777777" w:rsidR="007675E3" w:rsidRPr="003E723D" w:rsidRDefault="007675E3" w:rsidP="00120D8C">
            <w:pPr>
              <w:spacing w:line="480" w:lineRule="auto"/>
              <w:jc w:val="both"/>
              <w:rPr>
                <w:rFonts w:ascii="Arial" w:eastAsia="Calibri" w:hAnsi="Arial" w:cs="Arial"/>
                <w:b/>
                <w:bCs/>
                <w:color w:val="000000"/>
                <w:lang w:val="en-US"/>
              </w:rPr>
            </w:pPr>
            <w:r w:rsidRPr="003E723D">
              <w:rPr>
                <w:rFonts w:ascii="Arial" w:eastAsia="Calibri" w:hAnsi="Arial" w:cs="Arial"/>
                <w:b/>
                <w:bCs/>
                <w:color w:val="000000"/>
                <w:lang w:val="en-US"/>
              </w:rPr>
              <w:t>Coding rule</w:t>
            </w:r>
          </w:p>
        </w:tc>
      </w:tr>
      <w:tr w:rsidR="007675E3" w:rsidRPr="00E030D7" w14:paraId="5BDC7822" w14:textId="77777777" w:rsidTr="00120D8C">
        <w:trPr>
          <w:tblCellSpacing w:w="15" w:type="dxa"/>
        </w:trPr>
        <w:tc>
          <w:tcPr>
            <w:tcW w:w="1515" w:type="dxa"/>
            <w:vAlign w:val="center"/>
            <w:hideMark/>
          </w:tcPr>
          <w:p w14:paraId="41979244"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Physical</w:t>
            </w:r>
          </w:p>
        </w:tc>
        <w:tc>
          <w:tcPr>
            <w:tcW w:w="2616" w:type="dxa"/>
            <w:vAlign w:val="center"/>
            <w:hideMark/>
          </w:tcPr>
          <w:p w14:paraId="6ED31690"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Sensory impairment</w:t>
            </w:r>
          </w:p>
        </w:tc>
        <w:tc>
          <w:tcPr>
            <w:tcW w:w="4113" w:type="dxa"/>
            <w:vAlign w:val="center"/>
            <w:hideMark/>
          </w:tcPr>
          <w:p w14:paraId="331586A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glaucoma OR cataract OR visual/hearing impairment</w:t>
            </w:r>
          </w:p>
        </w:tc>
      </w:tr>
      <w:tr w:rsidR="007675E3" w:rsidRPr="003E723D" w14:paraId="7129155B" w14:textId="77777777" w:rsidTr="00120D8C">
        <w:trPr>
          <w:tblCellSpacing w:w="15" w:type="dxa"/>
        </w:trPr>
        <w:tc>
          <w:tcPr>
            <w:tcW w:w="1515" w:type="dxa"/>
            <w:vAlign w:val="center"/>
            <w:hideMark/>
          </w:tcPr>
          <w:p w14:paraId="33F98FA9"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Physical</w:t>
            </w:r>
          </w:p>
        </w:tc>
        <w:tc>
          <w:tcPr>
            <w:tcW w:w="2616" w:type="dxa"/>
            <w:vAlign w:val="center"/>
            <w:hideMark/>
          </w:tcPr>
          <w:p w14:paraId="08092209" w14:textId="77777777" w:rsidR="007675E3" w:rsidRPr="003E723D" w:rsidRDefault="007675E3" w:rsidP="00120D8C">
            <w:pPr>
              <w:spacing w:line="480" w:lineRule="auto"/>
              <w:jc w:val="both"/>
              <w:rPr>
                <w:rFonts w:ascii="Arial" w:eastAsia="Calibri" w:hAnsi="Arial" w:cs="Arial"/>
                <w:color w:val="000000"/>
                <w:vertAlign w:val="superscript"/>
                <w:lang w:val="en-US"/>
              </w:rPr>
            </w:pPr>
            <w:r w:rsidRPr="003E723D">
              <w:rPr>
                <w:rFonts w:ascii="Arial" w:eastAsia="Calibri" w:hAnsi="Arial" w:cs="Arial"/>
                <w:color w:val="000000"/>
                <w:lang w:val="en-US"/>
              </w:rPr>
              <w:t>Pain</w:t>
            </w:r>
            <w:r>
              <w:rPr>
                <w:rFonts w:ascii="Arial" w:eastAsia="Calibri" w:hAnsi="Arial" w:cs="Arial"/>
                <w:color w:val="000000"/>
                <w:vertAlign w:val="superscript"/>
                <w:lang w:val="en-US"/>
              </w:rPr>
              <w:t>a</w:t>
            </w:r>
          </w:p>
        </w:tc>
        <w:tc>
          <w:tcPr>
            <w:tcW w:w="4113" w:type="dxa"/>
            <w:vAlign w:val="center"/>
            <w:hideMark/>
          </w:tcPr>
          <w:p w14:paraId="616B6C5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0 = mild; 0.5 = moderate; 1 = severe</w:t>
            </w:r>
          </w:p>
        </w:tc>
      </w:tr>
      <w:tr w:rsidR="007675E3" w:rsidRPr="003E723D" w14:paraId="7805F1CF" w14:textId="77777777" w:rsidTr="00120D8C">
        <w:trPr>
          <w:tblCellSpacing w:w="15" w:type="dxa"/>
        </w:trPr>
        <w:tc>
          <w:tcPr>
            <w:tcW w:w="1515" w:type="dxa"/>
            <w:vAlign w:val="center"/>
            <w:hideMark/>
          </w:tcPr>
          <w:p w14:paraId="502541A3"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Nutritional</w:t>
            </w:r>
          </w:p>
        </w:tc>
        <w:tc>
          <w:tcPr>
            <w:tcW w:w="2616" w:type="dxa"/>
            <w:vAlign w:val="center"/>
            <w:hideMark/>
          </w:tcPr>
          <w:p w14:paraId="4053F48A"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Body mass index (BMI)</w:t>
            </w:r>
          </w:p>
        </w:tc>
        <w:tc>
          <w:tcPr>
            <w:tcW w:w="4113" w:type="dxa"/>
            <w:vAlign w:val="center"/>
            <w:hideMark/>
          </w:tcPr>
          <w:p w14:paraId="6FD9224E"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&lt;18.5 or ≥30; 0.5 if 25–29.9; 0 if 18.5–24.9</w:t>
            </w:r>
          </w:p>
        </w:tc>
      </w:tr>
      <w:tr w:rsidR="007675E3" w:rsidRPr="003E723D" w14:paraId="77FD89AF" w14:textId="77777777" w:rsidTr="00120D8C">
        <w:trPr>
          <w:tblCellSpacing w:w="15" w:type="dxa"/>
        </w:trPr>
        <w:tc>
          <w:tcPr>
            <w:tcW w:w="1515" w:type="dxa"/>
            <w:vAlign w:val="center"/>
            <w:hideMark/>
          </w:tcPr>
          <w:p w14:paraId="171A8C8F"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lastRenderedPageBreak/>
              <w:t>Nutritional</w:t>
            </w:r>
          </w:p>
        </w:tc>
        <w:tc>
          <w:tcPr>
            <w:tcW w:w="2616" w:type="dxa"/>
            <w:vAlign w:val="center"/>
            <w:hideMark/>
          </w:tcPr>
          <w:p w14:paraId="708F1540"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Oral nutritional supplement</w:t>
            </w:r>
          </w:p>
        </w:tc>
        <w:tc>
          <w:tcPr>
            <w:tcW w:w="4113" w:type="dxa"/>
            <w:vAlign w:val="center"/>
            <w:hideMark/>
          </w:tcPr>
          <w:p w14:paraId="3C2F2725"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current use</w:t>
            </w:r>
          </w:p>
        </w:tc>
      </w:tr>
      <w:tr w:rsidR="007675E3" w:rsidRPr="003E723D" w14:paraId="1DA6DCCB" w14:textId="77777777" w:rsidTr="00120D8C">
        <w:trPr>
          <w:tblCellSpacing w:w="15" w:type="dxa"/>
        </w:trPr>
        <w:tc>
          <w:tcPr>
            <w:tcW w:w="1515" w:type="dxa"/>
            <w:vAlign w:val="center"/>
            <w:hideMark/>
          </w:tcPr>
          <w:p w14:paraId="5497F735"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Functional</w:t>
            </w:r>
          </w:p>
        </w:tc>
        <w:tc>
          <w:tcPr>
            <w:tcW w:w="2616" w:type="dxa"/>
            <w:vAlign w:val="center"/>
            <w:hideMark/>
          </w:tcPr>
          <w:p w14:paraId="64F3972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Tinetti</w:t>
            </w:r>
          </w:p>
        </w:tc>
        <w:tc>
          <w:tcPr>
            <w:tcW w:w="4113" w:type="dxa"/>
            <w:vAlign w:val="center"/>
            <w:hideMark/>
          </w:tcPr>
          <w:p w14:paraId="6FFB7AE7"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≤14; 0.5 if 15–19; 0 if ≥20</w:t>
            </w:r>
          </w:p>
        </w:tc>
      </w:tr>
      <w:tr w:rsidR="007675E3" w:rsidRPr="003E723D" w14:paraId="50CE1415" w14:textId="77777777" w:rsidTr="00120D8C">
        <w:trPr>
          <w:tblCellSpacing w:w="15" w:type="dxa"/>
        </w:trPr>
        <w:tc>
          <w:tcPr>
            <w:tcW w:w="1515" w:type="dxa"/>
            <w:vAlign w:val="center"/>
            <w:hideMark/>
          </w:tcPr>
          <w:p w14:paraId="25710860"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Functional</w:t>
            </w:r>
          </w:p>
        </w:tc>
        <w:tc>
          <w:tcPr>
            <w:tcW w:w="2616" w:type="dxa"/>
            <w:vAlign w:val="center"/>
            <w:hideMark/>
          </w:tcPr>
          <w:p w14:paraId="7C5B204A"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Barthel Index</w:t>
            </w:r>
          </w:p>
        </w:tc>
        <w:tc>
          <w:tcPr>
            <w:tcW w:w="4113" w:type="dxa"/>
            <w:vAlign w:val="center"/>
            <w:hideMark/>
          </w:tcPr>
          <w:p w14:paraId="4EF2B9C8"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≤35; 0.5 if 36–59; 0 if ≥60</w:t>
            </w:r>
          </w:p>
        </w:tc>
      </w:tr>
      <w:tr w:rsidR="007675E3" w:rsidRPr="003E723D" w14:paraId="6E79DC5F" w14:textId="77777777" w:rsidTr="00120D8C">
        <w:trPr>
          <w:tblCellSpacing w:w="15" w:type="dxa"/>
        </w:trPr>
        <w:tc>
          <w:tcPr>
            <w:tcW w:w="1515" w:type="dxa"/>
            <w:vAlign w:val="center"/>
            <w:hideMark/>
          </w:tcPr>
          <w:p w14:paraId="0CE54F16"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5417B038"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Hypertension</w:t>
            </w:r>
          </w:p>
        </w:tc>
        <w:tc>
          <w:tcPr>
            <w:tcW w:w="4113" w:type="dxa"/>
            <w:vAlign w:val="center"/>
            <w:hideMark/>
          </w:tcPr>
          <w:p w14:paraId="2BD03B26"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6B9B451C" w14:textId="77777777" w:rsidTr="00120D8C">
        <w:trPr>
          <w:tblCellSpacing w:w="15" w:type="dxa"/>
        </w:trPr>
        <w:tc>
          <w:tcPr>
            <w:tcW w:w="1515" w:type="dxa"/>
            <w:vAlign w:val="center"/>
            <w:hideMark/>
          </w:tcPr>
          <w:p w14:paraId="540811DC"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54A20DBF"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Heart failure</w:t>
            </w:r>
          </w:p>
        </w:tc>
        <w:tc>
          <w:tcPr>
            <w:tcW w:w="4113" w:type="dxa"/>
            <w:vAlign w:val="center"/>
            <w:hideMark/>
          </w:tcPr>
          <w:p w14:paraId="67F636A5"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7628782D" w14:textId="77777777" w:rsidTr="00120D8C">
        <w:trPr>
          <w:tblCellSpacing w:w="15" w:type="dxa"/>
        </w:trPr>
        <w:tc>
          <w:tcPr>
            <w:tcW w:w="1515" w:type="dxa"/>
            <w:vAlign w:val="center"/>
            <w:hideMark/>
          </w:tcPr>
          <w:p w14:paraId="3EB735F6"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159E02B3"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Urinary incontinence</w:t>
            </w:r>
          </w:p>
        </w:tc>
        <w:tc>
          <w:tcPr>
            <w:tcW w:w="4113" w:type="dxa"/>
            <w:vAlign w:val="center"/>
            <w:hideMark/>
          </w:tcPr>
          <w:p w14:paraId="69DA48D1"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20CD6B0C" w14:textId="77777777" w:rsidTr="00120D8C">
        <w:trPr>
          <w:tblCellSpacing w:w="15" w:type="dxa"/>
        </w:trPr>
        <w:tc>
          <w:tcPr>
            <w:tcW w:w="1515" w:type="dxa"/>
            <w:vAlign w:val="center"/>
            <w:hideMark/>
          </w:tcPr>
          <w:p w14:paraId="09975907"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0E3F0CA1"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Osteoarticular disease</w:t>
            </w:r>
          </w:p>
        </w:tc>
        <w:tc>
          <w:tcPr>
            <w:tcW w:w="4113" w:type="dxa"/>
            <w:vAlign w:val="center"/>
            <w:hideMark/>
          </w:tcPr>
          <w:p w14:paraId="23D440FA"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5F95146F" w14:textId="77777777" w:rsidTr="00120D8C">
        <w:trPr>
          <w:tblCellSpacing w:w="15" w:type="dxa"/>
        </w:trPr>
        <w:tc>
          <w:tcPr>
            <w:tcW w:w="1515" w:type="dxa"/>
            <w:vAlign w:val="center"/>
            <w:hideMark/>
          </w:tcPr>
          <w:p w14:paraId="039075FE"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580B4174"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Chronic kidney disease</w:t>
            </w:r>
          </w:p>
        </w:tc>
        <w:tc>
          <w:tcPr>
            <w:tcW w:w="4113" w:type="dxa"/>
            <w:vAlign w:val="center"/>
            <w:hideMark/>
          </w:tcPr>
          <w:p w14:paraId="42DAD11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7CFA9811" w14:textId="77777777" w:rsidTr="00120D8C">
        <w:trPr>
          <w:tblCellSpacing w:w="15" w:type="dxa"/>
        </w:trPr>
        <w:tc>
          <w:tcPr>
            <w:tcW w:w="1515" w:type="dxa"/>
            <w:vAlign w:val="center"/>
            <w:hideMark/>
          </w:tcPr>
          <w:p w14:paraId="753DCA6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5E8BAB36"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Hypothyroidism</w:t>
            </w:r>
          </w:p>
        </w:tc>
        <w:tc>
          <w:tcPr>
            <w:tcW w:w="4113" w:type="dxa"/>
            <w:vAlign w:val="center"/>
            <w:hideMark/>
          </w:tcPr>
          <w:p w14:paraId="2F341AF3"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375E1E1D" w14:textId="77777777" w:rsidTr="00120D8C">
        <w:trPr>
          <w:tblCellSpacing w:w="15" w:type="dxa"/>
        </w:trPr>
        <w:tc>
          <w:tcPr>
            <w:tcW w:w="1515" w:type="dxa"/>
            <w:vAlign w:val="center"/>
            <w:hideMark/>
          </w:tcPr>
          <w:p w14:paraId="34A8C26E"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4937D259"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Chronic obstructive pulmonary disease (COPD)</w:t>
            </w:r>
          </w:p>
        </w:tc>
        <w:tc>
          <w:tcPr>
            <w:tcW w:w="4113" w:type="dxa"/>
            <w:vAlign w:val="center"/>
            <w:hideMark/>
          </w:tcPr>
          <w:p w14:paraId="7D8D78BE"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58ABB8B8" w14:textId="77777777" w:rsidTr="00120D8C">
        <w:trPr>
          <w:tblCellSpacing w:w="15" w:type="dxa"/>
        </w:trPr>
        <w:tc>
          <w:tcPr>
            <w:tcW w:w="1515" w:type="dxa"/>
            <w:vAlign w:val="center"/>
            <w:hideMark/>
          </w:tcPr>
          <w:p w14:paraId="30B61993"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54FFEA7A"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Hyperthyroidism</w:t>
            </w:r>
          </w:p>
        </w:tc>
        <w:tc>
          <w:tcPr>
            <w:tcW w:w="4113" w:type="dxa"/>
            <w:vAlign w:val="center"/>
            <w:hideMark/>
          </w:tcPr>
          <w:p w14:paraId="78D32E7F"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E030D7" w14:paraId="4B609C0D" w14:textId="77777777" w:rsidTr="00120D8C">
        <w:trPr>
          <w:tblCellSpacing w:w="15" w:type="dxa"/>
        </w:trPr>
        <w:tc>
          <w:tcPr>
            <w:tcW w:w="1515" w:type="dxa"/>
            <w:vAlign w:val="center"/>
            <w:hideMark/>
          </w:tcPr>
          <w:p w14:paraId="4EDA4AFA"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277B3462"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Cerebrovascular disease</w:t>
            </w:r>
          </w:p>
        </w:tc>
        <w:tc>
          <w:tcPr>
            <w:tcW w:w="4113" w:type="dxa"/>
            <w:vAlign w:val="center"/>
            <w:hideMark/>
          </w:tcPr>
          <w:p w14:paraId="3C956C18"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history of stroke or cerebrovascular event</w:t>
            </w:r>
          </w:p>
        </w:tc>
      </w:tr>
      <w:tr w:rsidR="007675E3" w:rsidRPr="003E723D" w14:paraId="2CAE8E4E" w14:textId="77777777" w:rsidTr="00120D8C">
        <w:trPr>
          <w:tblCellSpacing w:w="15" w:type="dxa"/>
        </w:trPr>
        <w:tc>
          <w:tcPr>
            <w:tcW w:w="1515" w:type="dxa"/>
            <w:vAlign w:val="center"/>
            <w:hideMark/>
          </w:tcPr>
          <w:p w14:paraId="544F7590"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075E0329"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Anemia</w:t>
            </w:r>
          </w:p>
        </w:tc>
        <w:tc>
          <w:tcPr>
            <w:tcW w:w="4113" w:type="dxa"/>
            <w:vAlign w:val="center"/>
            <w:hideMark/>
          </w:tcPr>
          <w:p w14:paraId="3CABFA4F"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68367C5E" w14:textId="77777777" w:rsidTr="00120D8C">
        <w:trPr>
          <w:tblCellSpacing w:w="15" w:type="dxa"/>
        </w:trPr>
        <w:tc>
          <w:tcPr>
            <w:tcW w:w="1515" w:type="dxa"/>
            <w:vAlign w:val="center"/>
            <w:hideMark/>
          </w:tcPr>
          <w:p w14:paraId="3F960580"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lastRenderedPageBreak/>
              <w:t>Clinical</w:t>
            </w:r>
          </w:p>
        </w:tc>
        <w:tc>
          <w:tcPr>
            <w:tcW w:w="2616" w:type="dxa"/>
            <w:vAlign w:val="center"/>
            <w:hideMark/>
          </w:tcPr>
          <w:p w14:paraId="795DDE0E"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Diabetes mellitus</w:t>
            </w:r>
          </w:p>
        </w:tc>
        <w:tc>
          <w:tcPr>
            <w:tcW w:w="4113" w:type="dxa"/>
            <w:vAlign w:val="center"/>
            <w:hideMark/>
          </w:tcPr>
          <w:p w14:paraId="211CC822"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558312D7" w14:textId="77777777" w:rsidTr="00120D8C">
        <w:trPr>
          <w:tblCellSpacing w:w="15" w:type="dxa"/>
        </w:trPr>
        <w:tc>
          <w:tcPr>
            <w:tcW w:w="1515" w:type="dxa"/>
            <w:vAlign w:val="center"/>
            <w:hideMark/>
          </w:tcPr>
          <w:p w14:paraId="0D4E0EF3"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06A029DE"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Benign prostatic hyperplasia</w:t>
            </w:r>
          </w:p>
        </w:tc>
        <w:tc>
          <w:tcPr>
            <w:tcW w:w="4113" w:type="dxa"/>
            <w:vAlign w:val="center"/>
            <w:hideMark/>
          </w:tcPr>
          <w:p w14:paraId="4972D5DB"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3416D1B5" w14:textId="77777777" w:rsidTr="00120D8C">
        <w:trPr>
          <w:tblCellSpacing w:w="15" w:type="dxa"/>
        </w:trPr>
        <w:tc>
          <w:tcPr>
            <w:tcW w:w="1515" w:type="dxa"/>
            <w:vAlign w:val="center"/>
            <w:hideMark/>
          </w:tcPr>
          <w:p w14:paraId="2076AB9B"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03A22990"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Peripheral venous insufficiency</w:t>
            </w:r>
          </w:p>
        </w:tc>
        <w:tc>
          <w:tcPr>
            <w:tcW w:w="4113" w:type="dxa"/>
            <w:vAlign w:val="center"/>
            <w:hideMark/>
          </w:tcPr>
          <w:p w14:paraId="7F211B07"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23E32364" w14:textId="77777777" w:rsidTr="00120D8C">
        <w:trPr>
          <w:tblCellSpacing w:w="15" w:type="dxa"/>
        </w:trPr>
        <w:tc>
          <w:tcPr>
            <w:tcW w:w="1515" w:type="dxa"/>
            <w:vAlign w:val="center"/>
            <w:hideMark/>
          </w:tcPr>
          <w:p w14:paraId="6A77D176"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11AB8B5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Ischemic heart disease</w:t>
            </w:r>
          </w:p>
        </w:tc>
        <w:tc>
          <w:tcPr>
            <w:tcW w:w="4113" w:type="dxa"/>
            <w:vAlign w:val="center"/>
            <w:hideMark/>
          </w:tcPr>
          <w:p w14:paraId="7D0E2D0C"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114323F8" w14:textId="77777777" w:rsidTr="00120D8C">
        <w:trPr>
          <w:tblCellSpacing w:w="15" w:type="dxa"/>
        </w:trPr>
        <w:tc>
          <w:tcPr>
            <w:tcW w:w="1515" w:type="dxa"/>
            <w:vAlign w:val="center"/>
            <w:hideMark/>
          </w:tcPr>
          <w:p w14:paraId="5BD17AE2"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0E641BDA"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Arthritis</w:t>
            </w:r>
          </w:p>
        </w:tc>
        <w:tc>
          <w:tcPr>
            <w:tcW w:w="4113" w:type="dxa"/>
            <w:vAlign w:val="center"/>
            <w:hideMark/>
          </w:tcPr>
          <w:p w14:paraId="318D3551"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diagnosis present</w:t>
            </w:r>
          </w:p>
        </w:tc>
      </w:tr>
      <w:tr w:rsidR="007675E3" w:rsidRPr="003E723D" w14:paraId="7A4035B1" w14:textId="77777777" w:rsidTr="00120D8C">
        <w:trPr>
          <w:tblCellSpacing w:w="15" w:type="dxa"/>
        </w:trPr>
        <w:tc>
          <w:tcPr>
            <w:tcW w:w="1515" w:type="dxa"/>
            <w:vAlign w:val="center"/>
            <w:hideMark/>
          </w:tcPr>
          <w:p w14:paraId="57C795C4"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1EC974A5"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Comorbidity</w:t>
            </w:r>
          </w:p>
        </w:tc>
        <w:tc>
          <w:tcPr>
            <w:tcW w:w="4113" w:type="dxa"/>
            <w:vAlign w:val="center"/>
            <w:hideMark/>
          </w:tcPr>
          <w:p w14:paraId="318C9BC2"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≥7 chronic conditions</w:t>
            </w:r>
          </w:p>
        </w:tc>
      </w:tr>
      <w:tr w:rsidR="007675E3" w:rsidRPr="003E723D" w14:paraId="6E69A40A" w14:textId="77777777" w:rsidTr="00120D8C">
        <w:trPr>
          <w:tblCellSpacing w:w="15" w:type="dxa"/>
        </w:trPr>
        <w:tc>
          <w:tcPr>
            <w:tcW w:w="1515" w:type="dxa"/>
            <w:vAlign w:val="center"/>
            <w:hideMark/>
          </w:tcPr>
          <w:p w14:paraId="0C58CDC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45DBE6BF"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Polypharmacy</w:t>
            </w:r>
          </w:p>
        </w:tc>
        <w:tc>
          <w:tcPr>
            <w:tcW w:w="4113" w:type="dxa"/>
            <w:vAlign w:val="center"/>
            <w:hideMark/>
          </w:tcPr>
          <w:p w14:paraId="20300CD9"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0 if 1–4 drugs; 0.5 if 5–9; 1 if ≥10</w:t>
            </w:r>
          </w:p>
        </w:tc>
      </w:tr>
      <w:tr w:rsidR="007675E3" w:rsidRPr="003E723D" w14:paraId="4882D7AF" w14:textId="77777777" w:rsidTr="00120D8C">
        <w:trPr>
          <w:tblCellSpacing w:w="15" w:type="dxa"/>
        </w:trPr>
        <w:tc>
          <w:tcPr>
            <w:tcW w:w="1515" w:type="dxa"/>
            <w:vAlign w:val="center"/>
            <w:hideMark/>
          </w:tcPr>
          <w:p w14:paraId="65C71136"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20EC2EF1"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Analgesic – opioid</w:t>
            </w:r>
          </w:p>
        </w:tc>
        <w:tc>
          <w:tcPr>
            <w:tcW w:w="4113" w:type="dxa"/>
            <w:vAlign w:val="center"/>
            <w:hideMark/>
          </w:tcPr>
          <w:p w14:paraId="1FD1A3BA"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current use</w:t>
            </w:r>
          </w:p>
        </w:tc>
      </w:tr>
      <w:tr w:rsidR="007675E3" w:rsidRPr="003E723D" w14:paraId="103F33A8" w14:textId="77777777" w:rsidTr="00120D8C">
        <w:trPr>
          <w:tblCellSpacing w:w="15" w:type="dxa"/>
        </w:trPr>
        <w:tc>
          <w:tcPr>
            <w:tcW w:w="1515" w:type="dxa"/>
            <w:vAlign w:val="center"/>
            <w:hideMark/>
          </w:tcPr>
          <w:p w14:paraId="5E99287E"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34B35466"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Analgesic – NSAID</w:t>
            </w:r>
          </w:p>
        </w:tc>
        <w:tc>
          <w:tcPr>
            <w:tcW w:w="4113" w:type="dxa"/>
            <w:vAlign w:val="center"/>
            <w:hideMark/>
          </w:tcPr>
          <w:p w14:paraId="5EB992B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current use</w:t>
            </w:r>
          </w:p>
        </w:tc>
      </w:tr>
      <w:tr w:rsidR="007675E3" w:rsidRPr="003E723D" w14:paraId="66FD552D" w14:textId="77777777" w:rsidTr="00120D8C">
        <w:trPr>
          <w:tblCellSpacing w:w="15" w:type="dxa"/>
        </w:trPr>
        <w:tc>
          <w:tcPr>
            <w:tcW w:w="1515" w:type="dxa"/>
            <w:vAlign w:val="center"/>
            <w:hideMark/>
          </w:tcPr>
          <w:p w14:paraId="63AD6316"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0DBF1F88"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Cardiovascular – diuretic</w:t>
            </w:r>
          </w:p>
        </w:tc>
        <w:tc>
          <w:tcPr>
            <w:tcW w:w="4113" w:type="dxa"/>
            <w:vAlign w:val="center"/>
            <w:hideMark/>
          </w:tcPr>
          <w:p w14:paraId="78296464"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current use</w:t>
            </w:r>
          </w:p>
        </w:tc>
      </w:tr>
      <w:tr w:rsidR="007675E3" w:rsidRPr="003E723D" w14:paraId="53CA3ECF" w14:textId="77777777" w:rsidTr="00120D8C">
        <w:trPr>
          <w:tblCellSpacing w:w="15" w:type="dxa"/>
        </w:trPr>
        <w:tc>
          <w:tcPr>
            <w:tcW w:w="1515" w:type="dxa"/>
            <w:vAlign w:val="center"/>
            <w:hideMark/>
          </w:tcPr>
          <w:p w14:paraId="1FB97B23"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29B5B4C0"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Antihypertensive</w:t>
            </w:r>
          </w:p>
        </w:tc>
        <w:tc>
          <w:tcPr>
            <w:tcW w:w="4113" w:type="dxa"/>
            <w:vAlign w:val="center"/>
            <w:hideMark/>
          </w:tcPr>
          <w:p w14:paraId="3AE3E4B8"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current use</w:t>
            </w:r>
          </w:p>
        </w:tc>
      </w:tr>
      <w:tr w:rsidR="007675E3" w:rsidRPr="003E723D" w14:paraId="18247E59" w14:textId="77777777" w:rsidTr="00120D8C">
        <w:trPr>
          <w:tblCellSpacing w:w="15" w:type="dxa"/>
        </w:trPr>
        <w:tc>
          <w:tcPr>
            <w:tcW w:w="1515" w:type="dxa"/>
            <w:vAlign w:val="center"/>
            <w:hideMark/>
          </w:tcPr>
          <w:p w14:paraId="10D86E7B"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Clinical</w:t>
            </w:r>
          </w:p>
        </w:tc>
        <w:tc>
          <w:tcPr>
            <w:tcW w:w="2616" w:type="dxa"/>
            <w:vAlign w:val="center"/>
            <w:hideMark/>
          </w:tcPr>
          <w:p w14:paraId="5A133202"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Respiratory – anticholinergic bronchodilator</w:t>
            </w:r>
          </w:p>
        </w:tc>
        <w:tc>
          <w:tcPr>
            <w:tcW w:w="4113" w:type="dxa"/>
            <w:vAlign w:val="center"/>
            <w:hideMark/>
          </w:tcPr>
          <w:p w14:paraId="2D7261F3"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current use</w:t>
            </w:r>
          </w:p>
        </w:tc>
      </w:tr>
      <w:tr w:rsidR="007675E3" w:rsidRPr="00E030D7" w14:paraId="1395A98A" w14:textId="77777777" w:rsidTr="00120D8C">
        <w:trPr>
          <w:tblCellSpacing w:w="15" w:type="dxa"/>
        </w:trPr>
        <w:tc>
          <w:tcPr>
            <w:tcW w:w="1515" w:type="dxa"/>
            <w:vAlign w:val="center"/>
            <w:hideMark/>
          </w:tcPr>
          <w:p w14:paraId="4B0FD25B"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lastRenderedPageBreak/>
              <w:t>Cognitive</w:t>
            </w:r>
          </w:p>
        </w:tc>
        <w:tc>
          <w:tcPr>
            <w:tcW w:w="2616" w:type="dxa"/>
            <w:vAlign w:val="center"/>
            <w:hideMark/>
          </w:tcPr>
          <w:p w14:paraId="3905C57A" w14:textId="77777777" w:rsidR="007675E3" w:rsidRPr="003E723D" w:rsidRDefault="007675E3" w:rsidP="00120D8C">
            <w:pPr>
              <w:spacing w:line="480" w:lineRule="auto"/>
              <w:jc w:val="both"/>
              <w:rPr>
                <w:rFonts w:ascii="Arial" w:eastAsia="Calibri" w:hAnsi="Arial" w:cs="Arial"/>
                <w:color w:val="000000"/>
                <w:vertAlign w:val="superscript"/>
                <w:lang w:val="en-US"/>
              </w:rPr>
            </w:pPr>
            <w:r w:rsidRPr="003E723D">
              <w:rPr>
                <w:rFonts w:ascii="Arial" w:eastAsia="Calibri" w:hAnsi="Arial" w:cs="Arial"/>
                <w:color w:val="000000"/>
                <w:lang w:val="en-US"/>
              </w:rPr>
              <w:t>Cognition</w:t>
            </w:r>
            <w:r>
              <w:rPr>
                <w:rFonts w:ascii="Arial" w:eastAsia="Calibri" w:hAnsi="Arial" w:cs="Arial"/>
                <w:color w:val="000000"/>
                <w:vertAlign w:val="superscript"/>
                <w:lang w:val="en-US"/>
              </w:rPr>
              <w:t>a</w:t>
            </w:r>
          </w:p>
        </w:tc>
        <w:tc>
          <w:tcPr>
            <w:tcW w:w="4113" w:type="dxa"/>
            <w:vAlign w:val="center"/>
            <w:hideMark/>
          </w:tcPr>
          <w:p w14:paraId="2D7599AF"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Pfeiffer: 0 if 0–2; 0.5 if 3–4; 1 if ≥5. Lobo: 0 if ≥28; 0.5 if 24–27; 1 if ≤23</w:t>
            </w:r>
          </w:p>
        </w:tc>
      </w:tr>
      <w:tr w:rsidR="007675E3" w:rsidRPr="003E723D" w14:paraId="69F211C5" w14:textId="77777777" w:rsidTr="00120D8C">
        <w:trPr>
          <w:tblCellSpacing w:w="15" w:type="dxa"/>
        </w:trPr>
        <w:tc>
          <w:tcPr>
            <w:tcW w:w="1515" w:type="dxa"/>
            <w:vAlign w:val="center"/>
            <w:hideMark/>
          </w:tcPr>
          <w:p w14:paraId="6F95DA3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Psychological/emotional</w:t>
            </w:r>
          </w:p>
        </w:tc>
        <w:tc>
          <w:tcPr>
            <w:tcW w:w="2616" w:type="dxa"/>
            <w:vAlign w:val="center"/>
            <w:hideMark/>
          </w:tcPr>
          <w:p w14:paraId="62E23E75"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Depression or anxiety</w:t>
            </w:r>
          </w:p>
        </w:tc>
        <w:tc>
          <w:tcPr>
            <w:tcW w:w="4113" w:type="dxa"/>
            <w:vAlign w:val="center"/>
            <w:hideMark/>
          </w:tcPr>
          <w:p w14:paraId="1C8308B7"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1 if depression OR anxiety</w:t>
            </w:r>
          </w:p>
        </w:tc>
      </w:tr>
      <w:tr w:rsidR="007675E3" w:rsidRPr="00E030D7" w14:paraId="558E960E" w14:textId="77777777" w:rsidTr="00120D8C">
        <w:trPr>
          <w:tblCellSpacing w:w="15" w:type="dxa"/>
        </w:trPr>
        <w:tc>
          <w:tcPr>
            <w:tcW w:w="1515" w:type="dxa"/>
            <w:vAlign w:val="center"/>
            <w:hideMark/>
          </w:tcPr>
          <w:p w14:paraId="06A0A2BD"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Psychological/emotional</w:t>
            </w:r>
          </w:p>
        </w:tc>
        <w:tc>
          <w:tcPr>
            <w:tcW w:w="2616" w:type="dxa"/>
            <w:vAlign w:val="center"/>
            <w:hideMark/>
          </w:tcPr>
          <w:p w14:paraId="5B8FDCEA"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Psychotropic medication use</w:t>
            </w:r>
          </w:p>
        </w:tc>
        <w:tc>
          <w:tcPr>
            <w:tcW w:w="4113" w:type="dxa"/>
            <w:vAlign w:val="center"/>
            <w:hideMark/>
          </w:tcPr>
          <w:p w14:paraId="391AD5F3" w14:textId="77777777" w:rsidR="007675E3" w:rsidRPr="003E723D" w:rsidRDefault="007675E3" w:rsidP="00120D8C">
            <w:pPr>
              <w:spacing w:line="480" w:lineRule="auto"/>
              <w:jc w:val="both"/>
              <w:rPr>
                <w:rFonts w:ascii="Arial" w:eastAsia="Calibri" w:hAnsi="Arial" w:cs="Arial"/>
                <w:color w:val="000000"/>
                <w:lang w:val="en-US"/>
              </w:rPr>
            </w:pPr>
            <w:r w:rsidRPr="003E723D">
              <w:rPr>
                <w:rFonts w:ascii="Arial" w:eastAsia="Calibri" w:hAnsi="Arial" w:cs="Arial"/>
                <w:color w:val="000000"/>
                <w:lang w:val="en-US"/>
              </w:rPr>
              <w:t>0 if none; 0.5 if one group; 1 if ≥2 groups</w:t>
            </w:r>
          </w:p>
        </w:tc>
      </w:tr>
    </w:tbl>
    <w:p w14:paraId="5A1F7B90" w14:textId="77777777" w:rsidR="007675E3" w:rsidRPr="003E723D" w:rsidRDefault="007675E3" w:rsidP="007675E3">
      <w:pPr>
        <w:jc w:val="both"/>
        <w:rPr>
          <w:rFonts w:ascii="Arial" w:hAnsi="Arial" w:cs="Arial"/>
          <w:lang w:val="en-US"/>
        </w:rPr>
      </w:pPr>
    </w:p>
    <w:p w14:paraId="04D43369" w14:textId="77777777" w:rsidR="007675E3" w:rsidRPr="005A301B" w:rsidRDefault="007675E3" w:rsidP="007675E3">
      <w:pPr>
        <w:spacing w:after="0" w:line="240" w:lineRule="auto"/>
        <w:jc w:val="both"/>
        <w:rPr>
          <w:rStyle w:val="Strong"/>
          <w:rFonts w:ascii="Arial" w:hAnsi="Arial" w:cs="Arial"/>
          <w:b w:val="0"/>
          <w:bCs w:val="0"/>
          <w:color w:val="000000"/>
          <w:lang w:val="en-US"/>
        </w:rPr>
      </w:pPr>
      <w:r>
        <w:rPr>
          <w:rFonts w:ascii="Arial" w:hAnsi="Arial" w:cs="Arial"/>
          <w:color w:val="000000"/>
          <w:vertAlign w:val="superscript"/>
          <w:lang w:val="en-US"/>
        </w:rPr>
        <w:t>a</w:t>
      </w:r>
      <w:r>
        <w:rPr>
          <w:rFonts w:ascii="Arial" w:hAnsi="Arial" w:cs="Arial"/>
          <w:color w:val="000000"/>
          <w:lang w:val="en-US"/>
        </w:rPr>
        <w:t xml:space="preserve"> </w:t>
      </w:r>
      <w:r w:rsidRPr="003E723D">
        <w:rPr>
          <w:rFonts w:ascii="Arial" w:hAnsi="Arial" w:cs="Arial"/>
          <w:color w:val="000000"/>
          <w:lang w:val="en-US"/>
        </w:rPr>
        <w:t>Pain and cognitive deficits were derived from routinely collected clinical assessments. When more than one instrument was available for the same domain, predefined prioritization rules were applied. For pain, the visual analogue scale (EVA) was preferred over PainAD because the first one is self-reported and the second is used when the previous is not available. For cognition, the Pfeiffer Short Portable Mental Status Questionnaire was prioritized when available, because it is more consistently recorded, and the Lobo Cognitive Mini-Exam was used otherwise to maximize data completeness while capturing the same cognitive domain. Each scale was coded on a three-level scale (0, 0.5, 1).</w:t>
      </w:r>
      <w:r>
        <w:rPr>
          <w:rFonts w:ascii="Arial" w:hAnsi="Arial" w:cs="Arial"/>
          <w:color w:val="000000"/>
          <w:lang w:val="en-US"/>
        </w:rPr>
        <w:t xml:space="preserve"> </w:t>
      </w:r>
      <w:r w:rsidRPr="003E723D">
        <w:rPr>
          <w:rStyle w:val="Strong"/>
          <w:rFonts w:ascii="Arial" w:eastAsiaTheme="majorEastAsia" w:hAnsi="Arial" w:cs="Arial"/>
          <w:b w:val="0"/>
          <w:bCs w:val="0"/>
          <w:color w:val="000000"/>
          <w:lang w:val="en-US"/>
        </w:rPr>
        <w:t>When more than one cognitive assessment was available, the highest deficit value was retained.</w:t>
      </w:r>
      <w:r w:rsidRPr="005A301B">
        <w:rPr>
          <w:rFonts w:ascii="-webkit-standard" w:hAnsi="-webkit-standard"/>
          <w:color w:val="000000"/>
          <w:sz w:val="27"/>
          <w:szCs w:val="27"/>
        </w:rPr>
        <w:t xml:space="preserve"> </w:t>
      </w:r>
      <w:r w:rsidRPr="005A301B">
        <w:rPr>
          <w:rFonts w:ascii="Arial" w:hAnsi="Arial" w:cs="Arial"/>
          <w:color w:val="000000"/>
        </w:rPr>
        <w:t>Body mass index was coded as an operational nutritional/metabolic deficit using standard BMI categories, following prior frailty-index construction procedures in which underweight and obesity were treated as full deficits and overweight as a partial deficit. This coding should not be interpreted as a stand-alone nutritional diagnosis in older nursing home residents.</w:t>
      </w:r>
    </w:p>
    <w:p w14:paraId="5BC4EC6E" w14:textId="77777777" w:rsidR="007675E3" w:rsidRPr="003E723D" w:rsidRDefault="007675E3" w:rsidP="007675E3">
      <w:pPr>
        <w:jc w:val="both"/>
        <w:rPr>
          <w:lang w:val="en-US"/>
        </w:rPr>
      </w:pPr>
    </w:p>
    <w:p w14:paraId="2CAF1506" w14:textId="77777777" w:rsidR="007675E3" w:rsidRPr="009C73A9" w:rsidRDefault="007675E3" w:rsidP="007675E3">
      <w:pPr>
        <w:spacing w:line="480" w:lineRule="auto"/>
        <w:jc w:val="both"/>
        <w:rPr>
          <w:rFonts w:ascii="Arial" w:eastAsia="Calibri" w:hAnsi="Arial" w:cs="Arial"/>
          <w:b/>
          <w:bCs/>
          <w:lang w:val="en-US"/>
        </w:rPr>
      </w:pPr>
      <w:r w:rsidRPr="009C73A9">
        <w:rPr>
          <w:rFonts w:ascii="Arial" w:eastAsia="Calibri" w:hAnsi="Arial" w:cs="Arial"/>
          <w:b/>
          <w:bCs/>
          <w:lang w:val="en-US"/>
        </w:rPr>
        <w:t>Table S3. Sensitivity analysis according to baseline window definition</w:t>
      </w:r>
    </w:p>
    <w:tbl>
      <w:tblPr>
        <w:tblW w:w="9498" w:type="dxa"/>
        <w:tblBorders>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134"/>
        <w:gridCol w:w="993"/>
        <w:gridCol w:w="928"/>
        <w:gridCol w:w="1056"/>
        <w:gridCol w:w="2126"/>
        <w:gridCol w:w="851"/>
        <w:gridCol w:w="1417"/>
        <w:gridCol w:w="993"/>
      </w:tblGrid>
      <w:tr w:rsidR="007675E3" w:rsidRPr="00F36A57" w14:paraId="22464747" w14:textId="77777777" w:rsidTr="00120D8C">
        <w:trPr>
          <w:trHeight w:val="320"/>
        </w:trPr>
        <w:tc>
          <w:tcPr>
            <w:tcW w:w="1134" w:type="dxa"/>
            <w:noWrap/>
            <w:vAlign w:val="bottom"/>
            <w:hideMark/>
          </w:tcPr>
          <w:p w14:paraId="53C65195" w14:textId="77777777" w:rsidR="007675E3" w:rsidRPr="00F36A57" w:rsidRDefault="007675E3" w:rsidP="00120D8C">
            <w:pPr>
              <w:spacing w:after="0" w:line="240" w:lineRule="auto"/>
              <w:jc w:val="both"/>
              <w:rPr>
                <w:rFonts w:ascii="Arial" w:eastAsia="Times New Roman" w:hAnsi="Arial" w:cs="Arial"/>
                <w:b/>
                <w:bCs/>
                <w:color w:val="000000"/>
                <w:lang w:val="es-ES"/>
              </w:rPr>
            </w:pPr>
            <w:r w:rsidRPr="00F36A57">
              <w:rPr>
                <w:rFonts w:ascii="Arial" w:eastAsia="Times New Roman" w:hAnsi="Arial" w:cs="Arial"/>
                <w:b/>
                <w:bCs/>
                <w:color w:val="000000"/>
                <w:lang w:val="es-ES"/>
              </w:rPr>
              <w:t>Baseline window, days</w:t>
            </w:r>
          </w:p>
        </w:tc>
        <w:tc>
          <w:tcPr>
            <w:tcW w:w="993" w:type="dxa"/>
            <w:noWrap/>
            <w:vAlign w:val="bottom"/>
            <w:hideMark/>
          </w:tcPr>
          <w:p w14:paraId="7A34A920" w14:textId="77777777" w:rsidR="007675E3" w:rsidRPr="00F36A57" w:rsidRDefault="007675E3" w:rsidP="00120D8C">
            <w:pPr>
              <w:spacing w:after="0" w:line="240" w:lineRule="auto"/>
              <w:jc w:val="both"/>
              <w:rPr>
                <w:rFonts w:ascii="Arial" w:eastAsia="Times New Roman" w:hAnsi="Arial" w:cs="Arial"/>
                <w:b/>
                <w:bCs/>
                <w:color w:val="000000"/>
                <w:lang w:val="es-ES"/>
              </w:rPr>
            </w:pPr>
            <w:r w:rsidRPr="00F36A57">
              <w:rPr>
                <w:rFonts w:ascii="Arial" w:eastAsia="Times New Roman" w:hAnsi="Arial" w:cs="Arial"/>
                <w:b/>
                <w:bCs/>
                <w:color w:val="000000"/>
                <w:lang w:val="es-ES"/>
              </w:rPr>
              <w:t>Cox model n</w:t>
            </w:r>
          </w:p>
        </w:tc>
        <w:tc>
          <w:tcPr>
            <w:tcW w:w="928" w:type="dxa"/>
            <w:noWrap/>
            <w:vAlign w:val="bottom"/>
            <w:hideMark/>
          </w:tcPr>
          <w:p w14:paraId="51493553" w14:textId="77777777" w:rsidR="007675E3" w:rsidRPr="00F36A57" w:rsidRDefault="007675E3" w:rsidP="00120D8C">
            <w:pPr>
              <w:spacing w:after="0" w:line="240" w:lineRule="auto"/>
              <w:jc w:val="both"/>
              <w:rPr>
                <w:rFonts w:ascii="Arial" w:eastAsia="Times New Roman" w:hAnsi="Arial" w:cs="Arial"/>
                <w:b/>
                <w:bCs/>
                <w:color w:val="000000"/>
                <w:lang w:val="es-ES"/>
              </w:rPr>
            </w:pPr>
            <w:r w:rsidRPr="00F36A57">
              <w:rPr>
                <w:rFonts w:ascii="Arial" w:eastAsia="Times New Roman" w:hAnsi="Arial" w:cs="Arial"/>
                <w:b/>
                <w:bCs/>
                <w:color w:val="000000"/>
                <w:lang w:val="es-ES"/>
              </w:rPr>
              <w:t>Events</w:t>
            </w:r>
          </w:p>
        </w:tc>
        <w:tc>
          <w:tcPr>
            <w:tcW w:w="1056" w:type="dxa"/>
            <w:noWrap/>
            <w:vAlign w:val="bottom"/>
            <w:hideMark/>
          </w:tcPr>
          <w:p w14:paraId="008F7F02" w14:textId="77777777" w:rsidR="007675E3" w:rsidRPr="00F36A57" w:rsidRDefault="007675E3" w:rsidP="00120D8C">
            <w:pPr>
              <w:spacing w:after="0" w:line="240" w:lineRule="auto"/>
              <w:jc w:val="both"/>
              <w:rPr>
                <w:rFonts w:ascii="Arial" w:eastAsia="Times New Roman" w:hAnsi="Arial" w:cs="Arial"/>
                <w:b/>
                <w:bCs/>
                <w:color w:val="000000"/>
                <w:lang w:val="es-ES"/>
              </w:rPr>
            </w:pPr>
            <w:r w:rsidRPr="00F36A57">
              <w:rPr>
                <w:rFonts w:ascii="Arial" w:eastAsia="Times New Roman" w:hAnsi="Arial" w:cs="Arial"/>
                <w:b/>
                <w:bCs/>
                <w:color w:val="000000"/>
                <w:lang w:val="es-ES"/>
              </w:rPr>
              <w:t>FI mean (SD)</w:t>
            </w:r>
          </w:p>
        </w:tc>
        <w:tc>
          <w:tcPr>
            <w:tcW w:w="2126" w:type="dxa"/>
            <w:noWrap/>
            <w:vAlign w:val="bottom"/>
            <w:hideMark/>
          </w:tcPr>
          <w:p w14:paraId="1C0818A4" w14:textId="77777777" w:rsidR="007675E3" w:rsidRPr="00F36A57" w:rsidRDefault="007675E3" w:rsidP="00120D8C">
            <w:pPr>
              <w:spacing w:after="0" w:line="240" w:lineRule="auto"/>
              <w:jc w:val="both"/>
              <w:rPr>
                <w:rFonts w:ascii="Arial" w:eastAsia="Times New Roman" w:hAnsi="Arial" w:cs="Arial"/>
                <w:b/>
                <w:bCs/>
                <w:color w:val="000000"/>
                <w:lang w:val="es-ES"/>
              </w:rPr>
            </w:pPr>
            <w:r w:rsidRPr="00F36A57">
              <w:rPr>
                <w:rFonts w:ascii="Arial" w:eastAsia="Times New Roman" w:hAnsi="Arial" w:cs="Arial"/>
                <w:b/>
                <w:bCs/>
                <w:color w:val="000000"/>
                <w:lang w:val="es-ES"/>
              </w:rPr>
              <w:t>FI median (IQR)</w:t>
            </w:r>
          </w:p>
        </w:tc>
        <w:tc>
          <w:tcPr>
            <w:tcW w:w="851" w:type="dxa"/>
            <w:noWrap/>
            <w:vAlign w:val="bottom"/>
            <w:hideMark/>
          </w:tcPr>
          <w:p w14:paraId="7DA605CC" w14:textId="77777777" w:rsidR="007675E3" w:rsidRPr="00F36A57" w:rsidRDefault="007675E3" w:rsidP="00120D8C">
            <w:pPr>
              <w:spacing w:after="0" w:line="240" w:lineRule="auto"/>
              <w:jc w:val="both"/>
              <w:rPr>
                <w:rFonts w:ascii="Arial" w:eastAsia="Times New Roman" w:hAnsi="Arial" w:cs="Arial"/>
                <w:b/>
                <w:bCs/>
                <w:color w:val="000000"/>
                <w:lang w:val="es-ES"/>
              </w:rPr>
            </w:pPr>
            <w:r w:rsidRPr="00F36A57">
              <w:rPr>
                <w:rFonts w:ascii="Arial" w:eastAsia="Times New Roman" w:hAnsi="Arial" w:cs="Arial"/>
                <w:b/>
                <w:bCs/>
                <w:color w:val="000000"/>
                <w:lang w:val="es-ES"/>
              </w:rPr>
              <w:t>% FI ≥0.25</w:t>
            </w:r>
          </w:p>
        </w:tc>
        <w:tc>
          <w:tcPr>
            <w:tcW w:w="1417" w:type="dxa"/>
            <w:noWrap/>
            <w:vAlign w:val="bottom"/>
            <w:hideMark/>
          </w:tcPr>
          <w:p w14:paraId="65394D9E" w14:textId="77777777" w:rsidR="007675E3" w:rsidRPr="00F36A57" w:rsidRDefault="007675E3" w:rsidP="00120D8C">
            <w:pPr>
              <w:spacing w:after="0" w:line="240" w:lineRule="auto"/>
              <w:jc w:val="both"/>
              <w:rPr>
                <w:rFonts w:ascii="Arial" w:eastAsia="Times New Roman" w:hAnsi="Arial" w:cs="Arial"/>
                <w:b/>
                <w:bCs/>
                <w:color w:val="000000"/>
                <w:lang w:val="es-ES"/>
              </w:rPr>
            </w:pPr>
            <w:r w:rsidRPr="00F36A57">
              <w:rPr>
                <w:rFonts w:ascii="Arial" w:eastAsia="Times New Roman" w:hAnsi="Arial" w:cs="Arial"/>
                <w:b/>
                <w:bCs/>
                <w:color w:val="000000"/>
                <w:lang w:val="es-ES"/>
              </w:rPr>
              <w:t>HR per 0.01 (95% CI)</w:t>
            </w:r>
          </w:p>
        </w:tc>
        <w:tc>
          <w:tcPr>
            <w:tcW w:w="993" w:type="dxa"/>
            <w:noWrap/>
            <w:vAlign w:val="bottom"/>
            <w:hideMark/>
          </w:tcPr>
          <w:p w14:paraId="62639B36" w14:textId="77777777" w:rsidR="007675E3" w:rsidRPr="00F36A57" w:rsidRDefault="007675E3" w:rsidP="00120D8C">
            <w:pPr>
              <w:spacing w:after="0" w:line="240" w:lineRule="auto"/>
              <w:jc w:val="both"/>
              <w:rPr>
                <w:rFonts w:ascii="Arial" w:eastAsia="Times New Roman" w:hAnsi="Arial" w:cs="Arial"/>
                <w:b/>
                <w:bCs/>
                <w:color w:val="000000"/>
                <w:lang w:val="es-ES"/>
              </w:rPr>
            </w:pPr>
            <w:r w:rsidRPr="00F36A57">
              <w:rPr>
                <w:rFonts w:ascii="Arial" w:eastAsia="Times New Roman" w:hAnsi="Arial" w:cs="Arial"/>
                <w:b/>
                <w:bCs/>
                <w:color w:val="000000"/>
                <w:lang w:val="es-ES"/>
              </w:rPr>
              <w:t>p-value</w:t>
            </w:r>
          </w:p>
        </w:tc>
      </w:tr>
      <w:tr w:rsidR="007675E3" w:rsidRPr="00F36A57" w14:paraId="7B2CAF28" w14:textId="77777777" w:rsidTr="00120D8C">
        <w:trPr>
          <w:trHeight w:val="320"/>
        </w:trPr>
        <w:tc>
          <w:tcPr>
            <w:tcW w:w="1134" w:type="dxa"/>
            <w:noWrap/>
            <w:vAlign w:val="bottom"/>
            <w:hideMark/>
          </w:tcPr>
          <w:p w14:paraId="7D292E67"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30</w:t>
            </w:r>
          </w:p>
        </w:tc>
        <w:tc>
          <w:tcPr>
            <w:tcW w:w="993" w:type="dxa"/>
            <w:noWrap/>
            <w:vAlign w:val="bottom"/>
            <w:hideMark/>
          </w:tcPr>
          <w:p w14:paraId="2FE62DCA"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2,624</w:t>
            </w:r>
          </w:p>
        </w:tc>
        <w:tc>
          <w:tcPr>
            <w:tcW w:w="928" w:type="dxa"/>
            <w:noWrap/>
            <w:vAlign w:val="bottom"/>
            <w:hideMark/>
          </w:tcPr>
          <w:p w14:paraId="2C776857"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1,216</w:t>
            </w:r>
          </w:p>
        </w:tc>
        <w:tc>
          <w:tcPr>
            <w:tcW w:w="1056" w:type="dxa"/>
            <w:noWrap/>
            <w:vAlign w:val="bottom"/>
            <w:hideMark/>
          </w:tcPr>
          <w:p w14:paraId="7BEA8FCB"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0.259 (0.096)</w:t>
            </w:r>
          </w:p>
        </w:tc>
        <w:tc>
          <w:tcPr>
            <w:tcW w:w="2126" w:type="dxa"/>
            <w:noWrap/>
            <w:vAlign w:val="bottom"/>
            <w:hideMark/>
          </w:tcPr>
          <w:p w14:paraId="709B55CE"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0.258 (0.194-0.323)</w:t>
            </w:r>
          </w:p>
        </w:tc>
        <w:tc>
          <w:tcPr>
            <w:tcW w:w="851" w:type="dxa"/>
            <w:noWrap/>
            <w:vAlign w:val="bottom"/>
            <w:hideMark/>
          </w:tcPr>
          <w:p w14:paraId="1237B1CE"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52.0</w:t>
            </w:r>
          </w:p>
        </w:tc>
        <w:tc>
          <w:tcPr>
            <w:tcW w:w="1417" w:type="dxa"/>
            <w:noWrap/>
            <w:vAlign w:val="bottom"/>
            <w:hideMark/>
          </w:tcPr>
          <w:p w14:paraId="7DACE9F3"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1.023 (1.017-1.029)</w:t>
            </w:r>
          </w:p>
        </w:tc>
        <w:tc>
          <w:tcPr>
            <w:tcW w:w="993" w:type="dxa"/>
            <w:noWrap/>
            <w:vAlign w:val="bottom"/>
            <w:hideMark/>
          </w:tcPr>
          <w:p w14:paraId="6D97FF5E"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&lt;0.001</w:t>
            </w:r>
          </w:p>
        </w:tc>
      </w:tr>
      <w:tr w:rsidR="007675E3" w:rsidRPr="00F36A57" w14:paraId="371FD7B6" w14:textId="77777777" w:rsidTr="00120D8C">
        <w:trPr>
          <w:trHeight w:val="320"/>
        </w:trPr>
        <w:tc>
          <w:tcPr>
            <w:tcW w:w="1134" w:type="dxa"/>
            <w:noWrap/>
            <w:vAlign w:val="bottom"/>
            <w:hideMark/>
          </w:tcPr>
          <w:p w14:paraId="7C489507"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45</w:t>
            </w:r>
          </w:p>
        </w:tc>
        <w:tc>
          <w:tcPr>
            <w:tcW w:w="993" w:type="dxa"/>
            <w:noWrap/>
            <w:vAlign w:val="bottom"/>
            <w:hideMark/>
          </w:tcPr>
          <w:p w14:paraId="078A255B"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4,056</w:t>
            </w:r>
          </w:p>
        </w:tc>
        <w:tc>
          <w:tcPr>
            <w:tcW w:w="928" w:type="dxa"/>
            <w:noWrap/>
            <w:vAlign w:val="bottom"/>
            <w:hideMark/>
          </w:tcPr>
          <w:p w14:paraId="59C7D89E"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1,974</w:t>
            </w:r>
          </w:p>
        </w:tc>
        <w:tc>
          <w:tcPr>
            <w:tcW w:w="1056" w:type="dxa"/>
            <w:noWrap/>
            <w:vAlign w:val="bottom"/>
            <w:hideMark/>
          </w:tcPr>
          <w:p w14:paraId="62CE06F4"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0.260 (0.096)</w:t>
            </w:r>
          </w:p>
        </w:tc>
        <w:tc>
          <w:tcPr>
            <w:tcW w:w="2126" w:type="dxa"/>
            <w:noWrap/>
            <w:vAlign w:val="bottom"/>
            <w:hideMark/>
          </w:tcPr>
          <w:p w14:paraId="14EDAB84"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0.258 (0.194-0.323)</w:t>
            </w:r>
          </w:p>
        </w:tc>
        <w:tc>
          <w:tcPr>
            <w:tcW w:w="851" w:type="dxa"/>
            <w:noWrap/>
            <w:vAlign w:val="bottom"/>
            <w:hideMark/>
          </w:tcPr>
          <w:p w14:paraId="7CD99781"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51.7</w:t>
            </w:r>
          </w:p>
        </w:tc>
        <w:tc>
          <w:tcPr>
            <w:tcW w:w="1417" w:type="dxa"/>
            <w:noWrap/>
            <w:vAlign w:val="bottom"/>
            <w:hideMark/>
          </w:tcPr>
          <w:p w14:paraId="429624AD"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1.023 (1.018-1.027)</w:t>
            </w:r>
          </w:p>
        </w:tc>
        <w:tc>
          <w:tcPr>
            <w:tcW w:w="993" w:type="dxa"/>
            <w:noWrap/>
            <w:vAlign w:val="bottom"/>
            <w:hideMark/>
          </w:tcPr>
          <w:p w14:paraId="1509E195"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&lt;0.001</w:t>
            </w:r>
          </w:p>
        </w:tc>
      </w:tr>
      <w:tr w:rsidR="007675E3" w:rsidRPr="00F36A57" w14:paraId="1A8359CB" w14:textId="77777777" w:rsidTr="00120D8C">
        <w:trPr>
          <w:trHeight w:val="320"/>
        </w:trPr>
        <w:tc>
          <w:tcPr>
            <w:tcW w:w="1134" w:type="dxa"/>
            <w:noWrap/>
            <w:vAlign w:val="bottom"/>
            <w:hideMark/>
          </w:tcPr>
          <w:p w14:paraId="5BA33F00"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lastRenderedPageBreak/>
              <w:t>60</w:t>
            </w:r>
          </w:p>
        </w:tc>
        <w:tc>
          <w:tcPr>
            <w:tcW w:w="993" w:type="dxa"/>
            <w:noWrap/>
            <w:vAlign w:val="bottom"/>
            <w:hideMark/>
          </w:tcPr>
          <w:p w14:paraId="20B4D3B2"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5,326</w:t>
            </w:r>
          </w:p>
        </w:tc>
        <w:tc>
          <w:tcPr>
            <w:tcW w:w="928" w:type="dxa"/>
            <w:noWrap/>
            <w:vAlign w:val="bottom"/>
            <w:hideMark/>
          </w:tcPr>
          <w:p w14:paraId="542A0E55"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2,728</w:t>
            </w:r>
          </w:p>
        </w:tc>
        <w:tc>
          <w:tcPr>
            <w:tcW w:w="1056" w:type="dxa"/>
            <w:noWrap/>
            <w:vAlign w:val="bottom"/>
            <w:hideMark/>
          </w:tcPr>
          <w:p w14:paraId="6C74B555"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0.260 (0.095)</w:t>
            </w:r>
          </w:p>
        </w:tc>
        <w:tc>
          <w:tcPr>
            <w:tcW w:w="2126" w:type="dxa"/>
            <w:noWrap/>
            <w:vAlign w:val="bottom"/>
            <w:hideMark/>
          </w:tcPr>
          <w:p w14:paraId="545D71A4"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0.258 (0.194-0.323)</w:t>
            </w:r>
          </w:p>
        </w:tc>
        <w:tc>
          <w:tcPr>
            <w:tcW w:w="851" w:type="dxa"/>
            <w:noWrap/>
            <w:vAlign w:val="bottom"/>
            <w:hideMark/>
          </w:tcPr>
          <w:p w14:paraId="1FDD92D9"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51.8</w:t>
            </w:r>
          </w:p>
        </w:tc>
        <w:tc>
          <w:tcPr>
            <w:tcW w:w="1417" w:type="dxa"/>
            <w:noWrap/>
            <w:vAlign w:val="bottom"/>
            <w:hideMark/>
          </w:tcPr>
          <w:p w14:paraId="12574263"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1.024 (1.020-1.028)</w:t>
            </w:r>
          </w:p>
        </w:tc>
        <w:tc>
          <w:tcPr>
            <w:tcW w:w="993" w:type="dxa"/>
            <w:noWrap/>
            <w:vAlign w:val="bottom"/>
            <w:hideMark/>
          </w:tcPr>
          <w:p w14:paraId="389A823E"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&lt;0.001</w:t>
            </w:r>
          </w:p>
        </w:tc>
      </w:tr>
      <w:tr w:rsidR="007675E3" w:rsidRPr="00F36A57" w14:paraId="1DA9E717" w14:textId="77777777" w:rsidTr="00120D8C">
        <w:trPr>
          <w:trHeight w:val="320"/>
        </w:trPr>
        <w:tc>
          <w:tcPr>
            <w:tcW w:w="1134" w:type="dxa"/>
            <w:noWrap/>
            <w:vAlign w:val="bottom"/>
            <w:hideMark/>
          </w:tcPr>
          <w:p w14:paraId="3C188F59"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90</w:t>
            </w:r>
          </w:p>
        </w:tc>
        <w:tc>
          <w:tcPr>
            <w:tcW w:w="993" w:type="dxa"/>
            <w:noWrap/>
            <w:vAlign w:val="bottom"/>
            <w:hideMark/>
          </w:tcPr>
          <w:p w14:paraId="15401191"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10,728</w:t>
            </w:r>
          </w:p>
        </w:tc>
        <w:tc>
          <w:tcPr>
            <w:tcW w:w="928" w:type="dxa"/>
            <w:noWrap/>
            <w:vAlign w:val="bottom"/>
            <w:hideMark/>
          </w:tcPr>
          <w:p w14:paraId="55EE9F0C"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6,688</w:t>
            </w:r>
          </w:p>
        </w:tc>
        <w:tc>
          <w:tcPr>
            <w:tcW w:w="1056" w:type="dxa"/>
            <w:noWrap/>
            <w:vAlign w:val="bottom"/>
            <w:hideMark/>
          </w:tcPr>
          <w:p w14:paraId="3E58721E"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0.258 (0.094)</w:t>
            </w:r>
          </w:p>
        </w:tc>
        <w:tc>
          <w:tcPr>
            <w:tcW w:w="2126" w:type="dxa"/>
            <w:noWrap/>
            <w:vAlign w:val="bottom"/>
            <w:hideMark/>
          </w:tcPr>
          <w:p w14:paraId="621EABCF"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0.258 (0.194-0.323)</w:t>
            </w:r>
          </w:p>
        </w:tc>
        <w:tc>
          <w:tcPr>
            <w:tcW w:w="851" w:type="dxa"/>
            <w:noWrap/>
            <w:vAlign w:val="bottom"/>
            <w:hideMark/>
          </w:tcPr>
          <w:p w14:paraId="4DB205E8"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50.7</w:t>
            </w:r>
          </w:p>
        </w:tc>
        <w:tc>
          <w:tcPr>
            <w:tcW w:w="1417" w:type="dxa"/>
            <w:noWrap/>
            <w:vAlign w:val="bottom"/>
            <w:hideMark/>
          </w:tcPr>
          <w:p w14:paraId="419969BA"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1.022 (1.019-1.024)</w:t>
            </w:r>
          </w:p>
        </w:tc>
        <w:tc>
          <w:tcPr>
            <w:tcW w:w="993" w:type="dxa"/>
            <w:noWrap/>
            <w:vAlign w:val="bottom"/>
            <w:hideMark/>
          </w:tcPr>
          <w:p w14:paraId="3579D33F" w14:textId="77777777" w:rsidR="007675E3" w:rsidRPr="00F36A57" w:rsidRDefault="007675E3" w:rsidP="00120D8C">
            <w:pPr>
              <w:spacing w:after="0" w:line="240" w:lineRule="auto"/>
              <w:jc w:val="both"/>
              <w:rPr>
                <w:rFonts w:ascii="Arial" w:eastAsia="Times New Roman" w:hAnsi="Arial" w:cs="Arial"/>
                <w:color w:val="000000"/>
                <w:lang w:val="es-ES"/>
              </w:rPr>
            </w:pPr>
            <w:r w:rsidRPr="00F36A57">
              <w:rPr>
                <w:rFonts w:ascii="Arial" w:eastAsia="Times New Roman" w:hAnsi="Arial" w:cs="Arial"/>
                <w:color w:val="000000"/>
                <w:lang w:val="es-ES"/>
              </w:rPr>
              <w:t>&lt;0.001</w:t>
            </w:r>
          </w:p>
        </w:tc>
      </w:tr>
    </w:tbl>
    <w:p w14:paraId="1A13109C" w14:textId="77777777" w:rsidR="007675E3" w:rsidRDefault="007675E3" w:rsidP="007675E3">
      <w:pPr>
        <w:spacing w:after="0"/>
        <w:jc w:val="both"/>
        <w:rPr>
          <w:rFonts w:ascii="Arial" w:hAnsi="Arial" w:cs="Arial"/>
          <w:color w:val="000000"/>
        </w:rPr>
      </w:pPr>
      <w:r w:rsidRPr="006F19FB">
        <w:rPr>
          <w:rFonts w:ascii="Arial" w:hAnsi="Arial" w:cs="Arial"/>
          <w:color w:val="000000"/>
        </w:rPr>
        <w:t>FI31-NH: 31-item Frailty Index for Nursing Homes; HR: hazard ratio; CI: confidence interval; SD: standard deviation; IQR: interquartile range. Cox models were adjusted for age and sex and used complete-case data. HRs are expressed per 0.01-unit increase in FI31-NH. Sample sizes differed across windows because each analysis required FI31-NH computability and valid mortality follow-up within the corresponding baseline-window definition.</w:t>
      </w:r>
    </w:p>
    <w:p w14:paraId="6870ED70" w14:textId="77777777" w:rsidR="007675E3" w:rsidRPr="006F19FB" w:rsidRDefault="007675E3" w:rsidP="007675E3">
      <w:pPr>
        <w:spacing w:after="0"/>
        <w:jc w:val="both"/>
        <w:rPr>
          <w:rFonts w:ascii="Arial" w:hAnsi="Arial" w:cs="Arial"/>
          <w:lang w:val="en-US"/>
        </w:rPr>
      </w:pPr>
    </w:p>
    <w:p w14:paraId="4F51C771" w14:textId="77777777" w:rsidR="007675E3" w:rsidRDefault="007675E3" w:rsidP="007675E3">
      <w:pPr>
        <w:spacing w:line="240" w:lineRule="auto"/>
        <w:jc w:val="both"/>
        <w:rPr>
          <w:rFonts w:ascii="Arial" w:hAnsi="Arial" w:cs="Arial"/>
          <w:b/>
          <w:bCs/>
          <w:color w:val="000000"/>
        </w:rPr>
      </w:pPr>
      <w:r w:rsidRPr="009C73A9">
        <w:rPr>
          <w:rFonts w:ascii="Arial" w:hAnsi="Arial" w:cs="Arial"/>
          <w:b/>
          <w:bCs/>
          <w:color w:val="000000"/>
        </w:rPr>
        <w:t>Table S4. Kaplan-Meier cumulative mortality according to FI31-NH ≥0.25 threshold</w:t>
      </w:r>
    </w:p>
    <w:tbl>
      <w:tblPr>
        <w:tblW w:w="7305" w:type="dxa"/>
        <w:tblBorders>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843"/>
        <w:gridCol w:w="851"/>
        <w:gridCol w:w="1498"/>
        <w:gridCol w:w="1498"/>
        <w:gridCol w:w="1615"/>
      </w:tblGrid>
      <w:tr w:rsidR="007675E3" w:rsidRPr="009C73A9" w14:paraId="3478CAE1" w14:textId="77777777" w:rsidTr="00120D8C">
        <w:trPr>
          <w:trHeight w:val="320"/>
        </w:trPr>
        <w:tc>
          <w:tcPr>
            <w:tcW w:w="1843" w:type="dxa"/>
            <w:noWrap/>
            <w:vAlign w:val="bottom"/>
            <w:hideMark/>
          </w:tcPr>
          <w:p w14:paraId="0F5D0728" w14:textId="77777777" w:rsidR="007675E3" w:rsidRPr="005A301B" w:rsidRDefault="007675E3" w:rsidP="00120D8C">
            <w:pPr>
              <w:spacing w:after="0" w:line="240" w:lineRule="auto"/>
              <w:jc w:val="both"/>
              <w:rPr>
                <w:rFonts w:ascii="Arial" w:eastAsia="Times New Roman" w:hAnsi="Arial" w:cs="Arial"/>
                <w:b/>
                <w:bCs/>
                <w:color w:val="000000"/>
                <w:lang w:val="es-ES"/>
              </w:rPr>
            </w:pPr>
            <w:r w:rsidRPr="005A301B">
              <w:rPr>
                <w:rFonts w:ascii="Arial" w:eastAsia="Times New Roman" w:hAnsi="Arial" w:cs="Arial"/>
                <w:b/>
                <w:bCs/>
                <w:color w:val="000000"/>
                <w:lang w:val="es-ES"/>
              </w:rPr>
              <w:t>FI31-NH group</w:t>
            </w:r>
          </w:p>
        </w:tc>
        <w:tc>
          <w:tcPr>
            <w:tcW w:w="851" w:type="dxa"/>
            <w:noWrap/>
            <w:vAlign w:val="bottom"/>
            <w:hideMark/>
          </w:tcPr>
          <w:p w14:paraId="7EE8397B" w14:textId="77777777" w:rsidR="007675E3" w:rsidRPr="005A301B" w:rsidRDefault="007675E3" w:rsidP="00120D8C">
            <w:pPr>
              <w:spacing w:after="0" w:line="240" w:lineRule="auto"/>
              <w:jc w:val="both"/>
              <w:rPr>
                <w:rFonts w:ascii="Arial" w:eastAsia="Times New Roman" w:hAnsi="Arial" w:cs="Arial"/>
                <w:b/>
                <w:bCs/>
                <w:color w:val="000000"/>
                <w:lang w:val="es-ES"/>
              </w:rPr>
            </w:pPr>
            <w:r w:rsidRPr="005A301B">
              <w:rPr>
                <w:rFonts w:ascii="Arial" w:eastAsia="Times New Roman" w:hAnsi="Arial" w:cs="Arial"/>
                <w:b/>
                <w:bCs/>
                <w:color w:val="000000"/>
                <w:lang w:val="es-ES"/>
              </w:rPr>
              <w:t>N</w:t>
            </w:r>
          </w:p>
        </w:tc>
        <w:tc>
          <w:tcPr>
            <w:tcW w:w="1498" w:type="dxa"/>
            <w:noWrap/>
            <w:vAlign w:val="bottom"/>
            <w:hideMark/>
          </w:tcPr>
          <w:p w14:paraId="2DF22D7A" w14:textId="77777777" w:rsidR="007675E3" w:rsidRPr="005A301B" w:rsidRDefault="007675E3" w:rsidP="00120D8C">
            <w:pPr>
              <w:spacing w:after="0" w:line="240" w:lineRule="auto"/>
              <w:jc w:val="both"/>
              <w:rPr>
                <w:rFonts w:ascii="Arial" w:eastAsia="Times New Roman" w:hAnsi="Arial" w:cs="Arial"/>
                <w:b/>
                <w:bCs/>
                <w:color w:val="000000"/>
                <w:lang w:val="es-ES"/>
              </w:rPr>
            </w:pPr>
            <w:r w:rsidRPr="005A301B">
              <w:rPr>
                <w:rFonts w:ascii="Arial" w:eastAsia="Times New Roman" w:hAnsi="Arial" w:cs="Arial"/>
                <w:b/>
                <w:bCs/>
                <w:color w:val="000000"/>
                <w:lang w:val="es-ES"/>
              </w:rPr>
              <w:t>1-year cumulative mortality, % (95% CI)</w:t>
            </w:r>
          </w:p>
        </w:tc>
        <w:tc>
          <w:tcPr>
            <w:tcW w:w="1498" w:type="dxa"/>
            <w:noWrap/>
            <w:vAlign w:val="bottom"/>
            <w:hideMark/>
          </w:tcPr>
          <w:p w14:paraId="3EC77CA9" w14:textId="77777777" w:rsidR="007675E3" w:rsidRPr="005A301B" w:rsidRDefault="007675E3" w:rsidP="00120D8C">
            <w:pPr>
              <w:spacing w:after="0" w:line="240" w:lineRule="auto"/>
              <w:jc w:val="both"/>
              <w:rPr>
                <w:rFonts w:ascii="Arial" w:eastAsia="Times New Roman" w:hAnsi="Arial" w:cs="Arial"/>
                <w:b/>
                <w:bCs/>
                <w:color w:val="000000"/>
                <w:lang w:val="es-ES"/>
              </w:rPr>
            </w:pPr>
            <w:r w:rsidRPr="005A301B">
              <w:rPr>
                <w:rFonts w:ascii="Arial" w:eastAsia="Times New Roman" w:hAnsi="Arial" w:cs="Arial"/>
                <w:b/>
                <w:bCs/>
                <w:color w:val="000000"/>
                <w:lang w:val="es-ES"/>
              </w:rPr>
              <w:t>3-year cumulative mortality, % (95% CI)</w:t>
            </w:r>
          </w:p>
        </w:tc>
        <w:tc>
          <w:tcPr>
            <w:tcW w:w="1615" w:type="dxa"/>
            <w:noWrap/>
            <w:vAlign w:val="bottom"/>
            <w:hideMark/>
          </w:tcPr>
          <w:p w14:paraId="060622FC" w14:textId="77777777" w:rsidR="007675E3" w:rsidRPr="005A301B" w:rsidRDefault="007675E3" w:rsidP="00120D8C">
            <w:pPr>
              <w:spacing w:after="0" w:line="240" w:lineRule="auto"/>
              <w:jc w:val="both"/>
              <w:rPr>
                <w:rFonts w:ascii="Arial" w:eastAsia="Times New Roman" w:hAnsi="Arial" w:cs="Arial"/>
                <w:b/>
                <w:bCs/>
                <w:color w:val="000000"/>
                <w:lang w:val="es-ES"/>
              </w:rPr>
            </w:pPr>
            <w:r w:rsidRPr="005A301B">
              <w:rPr>
                <w:rFonts w:ascii="Arial" w:eastAsia="Times New Roman" w:hAnsi="Arial" w:cs="Arial"/>
                <w:b/>
                <w:bCs/>
                <w:color w:val="000000"/>
                <w:lang w:val="es-ES"/>
              </w:rPr>
              <w:t>5-year cumulative mortality, % (95% CI)</w:t>
            </w:r>
          </w:p>
        </w:tc>
      </w:tr>
      <w:tr w:rsidR="007675E3" w:rsidRPr="009C73A9" w14:paraId="457998F3" w14:textId="77777777" w:rsidTr="00120D8C">
        <w:trPr>
          <w:trHeight w:val="320"/>
        </w:trPr>
        <w:tc>
          <w:tcPr>
            <w:tcW w:w="1843" w:type="dxa"/>
            <w:noWrap/>
            <w:vAlign w:val="bottom"/>
            <w:hideMark/>
          </w:tcPr>
          <w:p w14:paraId="190BEF75"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FI31-NH &lt;0.25</w:t>
            </w:r>
          </w:p>
        </w:tc>
        <w:tc>
          <w:tcPr>
            <w:tcW w:w="851" w:type="dxa"/>
            <w:noWrap/>
            <w:vAlign w:val="bottom"/>
            <w:hideMark/>
          </w:tcPr>
          <w:p w14:paraId="79EE2D8C"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5,36</w:t>
            </w:r>
            <w:r>
              <w:rPr>
                <w:rFonts w:ascii="Arial" w:eastAsia="Times New Roman" w:hAnsi="Arial" w:cs="Arial"/>
                <w:color w:val="000000"/>
                <w:lang w:val="es-ES"/>
              </w:rPr>
              <w:t>0</w:t>
            </w:r>
          </w:p>
        </w:tc>
        <w:tc>
          <w:tcPr>
            <w:tcW w:w="1498" w:type="dxa"/>
            <w:noWrap/>
            <w:vAlign w:val="bottom"/>
            <w:hideMark/>
          </w:tcPr>
          <w:p w14:paraId="41565017"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11.5 (10.5-12.4)</w:t>
            </w:r>
          </w:p>
        </w:tc>
        <w:tc>
          <w:tcPr>
            <w:tcW w:w="1498" w:type="dxa"/>
            <w:noWrap/>
            <w:vAlign w:val="bottom"/>
            <w:hideMark/>
          </w:tcPr>
          <w:p w14:paraId="274B627E"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33.6 (32.0-35.1)</w:t>
            </w:r>
          </w:p>
        </w:tc>
        <w:tc>
          <w:tcPr>
            <w:tcW w:w="1615" w:type="dxa"/>
            <w:noWrap/>
            <w:vAlign w:val="bottom"/>
            <w:hideMark/>
          </w:tcPr>
          <w:p w14:paraId="120E30FA"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54.6 (52.9-56.3)</w:t>
            </w:r>
          </w:p>
        </w:tc>
      </w:tr>
      <w:tr w:rsidR="007675E3" w:rsidRPr="009C73A9" w14:paraId="5789CF2F" w14:textId="77777777" w:rsidTr="00120D8C">
        <w:trPr>
          <w:trHeight w:val="320"/>
        </w:trPr>
        <w:tc>
          <w:tcPr>
            <w:tcW w:w="1843" w:type="dxa"/>
            <w:noWrap/>
            <w:vAlign w:val="bottom"/>
            <w:hideMark/>
          </w:tcPr>
          <w:p w14:paraId="64ED699B"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FI31-NH ≥0.25</w:t>
            </w:r>
          </w:p>
        </w:tc>
        <w:tc>
          <w:tcPr>
            <w:tcW w:w="851" w:type="dxa"/>
            <w:noWrap/>
            <w:vAlign w:val="bottom"/>
            <w:hideMark/>
          </w:tcPr>
          <w:p w14:paraId="02F95C85"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5,503</w:t>
            </w:r>
          </w:p>
        </w:tc>
        <w:tc>
          <w:tcPr>
            <w:tcW w:w="1498" w:type="dxa"/>
            <w:noWrap/>
            <w:vAlign w:val="bottom"/>
            <w:hideMark/>
          </w:tcPr>
          <w:p w14:paraId="335EFB70"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17.5 (16.4-18.6)</w:t>
            </w:r>
          </w:p>
        </w:tc>
        <w:tc>
          <w:tcPr>
            <w:tcW w:w="1498" w:type="dxa"/>
            <w:noWrap/>
            <w:vAlign w:val="bottom"/>
            <w:hideMark/>
          </w:tcPr>
          <w:p w14:paraId="5DE0B61B"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46.6 (45.0-48.1)</w:t>
            </w:r>
          </w:p>
        </w:tc>
        <w:tc>
          <w:tcPr>
            <w:tcW w:w="1615" w:type="dxa"/>
            <w:noWrap/>
            <w:vAlign w:val="bottom"/>
            <w:hideMark/>
          </w:tcPr>
          <w:p w14:paraId="10B7000E" w14:textId="77777777" w:rsidR="007675E3" w:rsidRPr="005A301B" w:rsidRDefault="007675E3" w:rsidP="00120D8C">
            <w:pPr>
              <w:spacing w:after="0" w:line="240" w:lineRule="auto"/>
              <w:jc w:val="both"/>
              <w:rPr>
                <w:rFonts w:ascii="Arial" w:eastAsia="Times New Roman" w:hAnsi="Arial" w:cs="Arial"/>
                <w:color w:val="000000"/>
                <w:lang w:val="es-ES"/>
              </w:rPr>
            </w:pPr>
            <w:r w:rsidRPr="005A301B">
              <w:rPr>
                <w:rFonts w:ascii="Arial" w:eastAsia="Times New Roman" w:hAnsi="Arial" w:cs="Arial"/>
                <w:color w:val="000000"/>
                <w:lang w:val="es-ES"/>
              </w:rPr>
              <w:t>69.6 (68.1-71.0)</w:t>
            </w:r>
          </w:p>
        </w:tc>
      </w:tr>
    </w:tbl>
    <w:p w14:paraId="5CDE1D75" w14:textId="77777777" w:rsidR="007675E3" w:rsidRPr="00A22C20" w:rsidRDefault="007675E3" w:rsidP="007675E3">
      <w:pPr>
        <w:spacing w:after="0" w:line="240" w:lineRule="auto"/>
        <w:jc w:val="both"/>
        <w:rPr>
          <w:rFonts w:ascii="Arial" w:hAnsi="Arial" w:cs="Arial"/>
          <w:b/>
          <w:bCs/>
        </w:rPr>
      </w:pPr>
      <w:r w:rsidRPr="00A22C20">
        <w:rPr>
          <w:rFonts w:ascii="Arial" w:hAnsi="Arial" w:cs="Arial"/>
          <w:color w:val="000000"/>
        </w:rPr>
        <w:t>FI31-NH: 31-item Frailty Index for Nursing Homes; CI: confidence interval. Cumulative mortality was estimated using Kaplan-Meier methods with standard right-censoring. The FI31-NH threshold of 0.25 was used for clinical interpretability. Values are presented as percentages with 95% confidence intervals.</w:t>
      </w:r>
    </w:p>
    <w:p w14:paraId="582B9E71" w14:textId="77777777" w:rsidR="00DC2479" w:rsidRDefault="00DC2479"/>
    <w:sectPr w:rsidR="00DC2479" w:rsidSect="007675E3">
      <w:footerReference w:type="default" r:id="rId4"/>
      <w:pgSz w:w="11906" w:h="16838"/>
      <w:pgMar w:top="1417" w:right="1701" w:bottom="1417" w:left="1701" w:header="708" w:footer="708" w:gutter="0"/>
      <w:lnNumType w:countBy="1" w:restart="continuous"/>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F41C" w14:textId="77777777" w:rsidR="007675E3" w:rsidRDefault="007675E3">
    <w:pPr>
      <w:pStyle w:val="Footer"/>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lang w:val="es-ES"/>
      </w:rPr>
      <w:t>2</w:t>
    </w:r>
    <w:r>
      <w:rPr>
        <w:caps/>
        <w:color w:val="156082" w:themeColor="accent1"/>
      </w:rPr>
      <w:fldChar w:fldCharType="end"/>
    </w:r>
  </w:p>
  <w:p w14:paraId="01CDB183" w14:textId="77777777" w:rsidR="007675E3" w:rsidRDefault="007675E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5E3"/>
    <w:rsid w:val="005B6877"/>
    <w:rsid w:val="00666022"/>
    <w:rsid w:val="007675E3"/>
    <w:rsid w:val="00AA0C3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3913"/>
  <w15:chartTrackingRefBased/>
  <w15:docId w15:val="{7F0B7614-94D1-4CAB-A80D-7FA962B3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5E3"/>
    <w:rPr>
      <w:rFonts w:ascii="Aptos" w:eastAsia="Aptos" w:hAnsi="Aptos" w:cs="Aptos"/>
      <w:kern w:val="0"/>
      <w:lang w:val="en" w:eastAsia="es-ES_tradnl"/>
      <w14:ligatures w14:val="none"/>
    </w:rPr>
  </w:style>
  <w:style w:type="paragraph" w:styleId="Heading1">
    <w:name w:val="heading 1"/>
    <w:basedOn w:val="Normal"/>
    <w:next w:val="Normal"/>
    <w:link w:val="Heading1Char"/>
    <w:uiPriority w:val="9"/>
    <w:qFormat/>
    <w:rsid w:val="007675E3"/>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7675E3"/>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7675E3"/>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7675E3"/>
    <w:pPr>
      <w:keepNext/>
      <w:keepLines/>
      <w:spacing w:before="80" w:after="40"/>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7675E3"/>
    <w:pPr>
      <w:keepNext/>
      <w:keepLines/>
      <w:spacing w:before="80" w:after="40"/>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7675E3"/>
    <w:pPr>
      <w:keepNext/>
      <w:keepLines/>
      <w:spacing w:before="40" w:after="0"/>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7675E3"/>
    <w:pPr>
      <w:keepNext/>
      <w:keepLines/>
      <w:spacing w:before="40" w:after="0"/>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7675E3"/>
    <w:pPr>
      <w:keepNext/>
      <w:keepLines/>
      <w:spacing w:after="0"/>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7675E3"/>
    <w:pPr>
      <w:keepNext/>
      <w:keepLines/>
      <w:spacing w:after="0"/>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5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5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5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5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5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5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5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5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5E3"/>
    <w:rPr>
      <w:rFonts w:eastAsiaTheme="majorEastAsia" w:cstheme="majorBidi"/>
      <w:color w:val="272727" w:themeColor="text1" w:themeTint="D8"/>
    </w:rPr>
  </w:style>
  <w:style w:type="paragraph" w:styleId="Title">
    <w:name w:val="Title"/>
    <w:basedOn w:val="Normal"/>
    <w:next w:val="Normal"/>
    <w:link w:val="TitleChar"/>
    <w:uiPriority w:val="10"/>
    <w:qFormat/>
    <w:rsid w:val="007675E3"/>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7675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5E3"/>
    <w:pPr>
      <w:numPr>
        <w:ilvl w:val="1"/>
      </w:numPr>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767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5E3"/>
    <w:pPr>
      <w:spacing w:before="160"/>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7675E3"/>
    <w:rPr>
      <w:i/>
      <w:iCs/>
      <w:color w:val="404040" w:themeColor="text1" w:themeTint="BF"/>
    </w:rPr>
  </w:style>
  <w:style w:type="paragraph" w:styleId="ListParagraph">
    <w:name w:val="List Paragraph"/>
    <w:basedOn w:val="Normal"/>
    <w:uiPriority w:val="34"/>
    <w:qFormat/>
    <w:rsid w:val="007675E3"/>
    <w:pPr>
      <w:ind w:left="720"/>
      <w:contextualSpacing/>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7675E3"/>
    <w:rPr>
      <w:i/>
      <w:iCs/>
      <w:color w:val="0F4761" w:themeColor="accent1" w:themeShade="BF"/>
    </w:rPr>
  </w:style>
  <w:style w:type="paragraph" w:styleId="IntenseQuote">
    <w:name w:val="Intense Quote"/>
    <w:basedOn w:val="Normal"/>
    <w:next w:val="Normal"/>
    <w:link w:val="IntenseQuoteChar"/>
    <w:uiPriority w:val="30"/>
    <w:qFormat/>
    <w:rsid w:val="007675E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7675E3"/>
    <w:rPr>
      <w:i/>
      <w:iCs/>
      <w:color w:val="0F4761" w:themeColor="accent1" w:themeShade="BF"/>
    </w:rPr>
  </w:style>
  <w:style w:type="character" w:styleId="IntenseReference">
    <w:name w:val="Intense Reference"/>
    <w:basedOn w:val="DefaultParagraphFont"/>
    <w:uiPriority w:val="32"/>
    <w:qFormat/>
    <w:rsid w:val="007675E3"/>
    <w:rPr>
      <w:b/>
      <w:bCs/>
      <w:smallCaps/>
      <w:color w:val="0F4761" w:themeColor="accent1" w:themeShade="BF"/>
      <w:spacing w:val="5"/>
    </w:rPr>
  </w:style>
  <w:style w:type="paragraph" w:styleId="Footer">
    <w:name w:val="footer"/>
    <w:basedOn w:val="Normal"/>
    <w:link w:val="FooterChar"/>
    <w:uiPriority w:val="99"/>
    <w:unhideWhenUsed/>
    <w:rsid w:val="007675E3"/>
    <w:pPr>
      <w:tabs>
        <w:tab w:val="center" w:pos="4252"/>
        <w:tab w:val="right" w:pos="8504"/>
      </w:tabs>
      <w:spacing w:after="0" w:line="240" w:lineRule="auto"/>
    </w:pPr>
  </w:style>
  <w:style w:type="character" w:customStyle="1" w:styleId="FooterChar">
    <w:name w:val="Footer Char"/>
    <w:basedOn w:val="DefaultParagraphFont"/>
    <w:link w:val="Footer"/>
    <w:uiPriority w:val="99"/>
    <w:rsid w:val="007675E3"/>
    <w:rPr>
      <w:rFonts w:ascii="Aptos" w:eastAsia="Aptos" w:hAnsi="Aptos" w:cs="Aptos"/>
      <w:kern w:val="0"/>
      <w:lang w:val="en" w:eastAsia="es-ES_tradnl"/>
      <w14:ligatures w14:val="none"/>
    </w:rPr>
  </w:style>
  <w:style w:type="character" w:styleId="Strong">
    <w:name w:val="Strong"/>
    <w:basedOn w:val="DefaultParagraphFont"/>
    <w:uiPriority w:val="22"/>
    <w:qFormat/>
    <w:rsid w:val="007675E3"/>
    <w:rPr>
      <w:b/>
      <w:bCs/>
    </w:rPr>
  </w:style>
  <w:style w:type="character" w:styleId="LineNumber">
    <w:name w:val="line number"/>
    <w:basedOn w:val="DefaultParagraphFont"/>
    <w:uiPriority w:val="99"/>
    <w:semiHidden/>
    <w:unhideWhenUsed/>
    <w:rsid w:val="00767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879</Words>
  <Characters>5016</Characters>
  <Application>Microsoft Office Word</Application>
  <DocSecurity>0</DocSecurity>
  <Lines>41</Lines>
  <Paragraphs>11</Paragraphs>
  <ScaleCrop>false</ScaleCrop>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2026-07-31T10:20:00Z</dcterms:created>
  <dcterms:modified xsi:type="dcterms:W3CDTF">2026-07-31T10:20:00Z</dcterms:modified>
</cp:coreProperties>
</file>