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9616" w14:textId="77777777" w:rsidR="00EC689A" w:rsidRDefault="002E2216">
      <w:pPr>
        <w:spacing w:line="480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Supplementary </w:t>
      </w:r>
      <w:proofErr w:type="spellStart"/>
      <w:r>
        <w:rPr>
          <w:rFonts w:ascii="Arial" w:eastAsia="Arial" w:hAnsi="Arial" w:cs="Arial"/>
          <w:b/>
          <w:bCs/>
          <w:color w:val="000000"/>
        </w:rPr>
        <w:t>matherial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18037601" w14:textId="77777777" w:rsidR="00D2177D" w:rsidRPr="00CD58A6" w:rsidRDefault="00D2177D" w:rsidP="00D21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CD58A6">
        <w:rPr>
          <w:rFonts w:ascii="Arial" w:hAnsi="Arial" w:cs="Arial"/>
          <w:b/>
          <w:bCs/>
          <w:color w:val="000000"/>
        </w:rPr>
        <w:t>Table 1. Baseline characteristics of residents in the FI31-NH development cohort, overall and by FI31-NH quartiles</w:t>
      </w:r>
    </w:p>
    <w:tbl>
      <w:tblPr>
        <w:tblW w:w="9639" w:type="dxa"/>
        <w:tblInd w:w="-567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560"/>
        <w:gridCol w:w="1511"/>
        <w:gridCol w:w="1700"/>
        <w:gridCol w:w="1466"/>
      </w:tblGrid>
      <w:tr w:rsidR="00D2177D" w:rsidRPr="00D2177D" w14:paraId="2A019178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57D2C9E5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  <w:proofErr w:type="spellStart"/>
            <w:r w:rsidRPr="00D2177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Characteristic</w:t>
            </w:r>
            <w:proofErr w:type="spellEnd"/>
          </w:p>
        </w:tc>
        <w:tc>
          <w:tcPr>
            <w:tcW w:w="1417" w:type="dxa"/>
            <w:noWrap/>
            <w:vAlign w:val="bottom"/>
            <w:hideMark/>
          </w:tcPr>
          <w:p w14:paraId="4C98459C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Overall (n = 11,145)</w:t>
            </w:r>
          </w:p>
        </w:tc>
        <w:tc>
          <w:tcPr>
            <w:tcW w:w="1560" w:type="dxa"/>
            <w:noWrap/>
            <w:vAlign w:val="bottom"/>
            <w:hideMark/>
          </w:tcPr>
          <w:p w14:paraId="08B34F56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Q1 (n = 3,368)</w:t>
            </w:r>
          </w:p>
        </w:tc>
        <w:tc>
          <w:tcPr>
            <w:tcW w:w="1511" w:type="dxa"/>
            <w:noWrap/>
            <w:vAlign w:val="bottom"/>
            <w:hideMark/>
          </w:tcPr>
          <w:p w14:paraId="61F74BAA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Q2 (n = 2,880)</w:t>
            </w:r>
          </w:p>
        </w:tc>
        <w:tc>
          <w:tcPr>
            <w:tcW w:w="1700" w:type="dxa"/>
            <w:noWrap/>
            <w:vAlign w:val="bottom"/>
            <w:hideMark/>
          </w:tcPr>
          <w:p w14:paraId="671EA627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Q3 (n = 2,429)</w:t>
            </w:r>
          </w:p>
        </w:tc>
        <w:tc>
          <w:tcPr>
            <w:tcW w:w="1466" w:type="dxa"/>
            <w:noWrap/>
            <w:vAlign w:val="bottom"/>
            <w:hideMark/>
          </w:tcPr>
          <w:p w14:paraId="1DD9078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/>
              </w:rPr>
              <w:t>Q4 (n = 2,468)</w:t>
            </w:r>
          </w:p>
        </w:tc>
      </w:tr>
      <w:tr w:rsidR="00D2177D" w:rsidRPr="00D2177D" w14:paraId="0E813978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19366583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Age at baseline, mean (SD)</w:t>
            </w:r>
          </w:p>
        </w:tc>
        <w:tc>
          <w:tcPr>
            <w:tcW w:w="1417" w:type="dxa"/>
            <w:noWrap/>
            <w:vAlign w:val="bottom"/>
            <w:hideMark/>
          </w:tcPr>
          <w:p w14:paraId="56E11FEA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84.6 (6.9)</w:t>
            </w:r>
          </w:p>
        </w:tc>
        <w:tc>
          <w:tcPr>
            <w:tcW w:w="1560" w:type="dxa"/>
            <w:noWrap/>
            <w:vAlign w:val="bottom"/>
            <w:hideMark/>
          </w:tcPr>
          <w:p w14:paraId="15923F3C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83.6 (7.2)</w:t>
            </w:r>
          </w:p>
        </w:tc>
        <w:tc>
          <w:tcPr>
            <w:tcW w:w="1511" w:type="dxa"/>
            <w:noWrap/>
            <w:vAlign w:val="bottom"/>
            <w:hideMark/>
          </w:tcPr>
          <w:p w14:paraId="2690918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84.5 (6.9)</w:t>
            </w:r>
          </w:p>
        </w:tc>
        <w:tc>
          <w:tcPr>
            <w:tcW w:w="1700" w:type="dxa"/>
            <w:noWrap/>
            <w:vAlign w:val="bottom"/>
            <w:hideMark/>
          </w:tcPr>
          <w:p w14:paraId="132AB7E4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85.3 (6.6)</w:t>
            </w:r>
          </w:p>
        </w:tc>
        <w:tc>
          <w:tcPr>
            <w:tcW w:w="1466" w:type="dxa"/>
            <w:noWrap/>
            <w:vAlign w:val="bottom"/>
            <w:hideMark/>
          </w:tcPr>
          <w:p w14:paraId="68DD57E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85.5 (6.3)</w:t>
            </w:r>
          </w:p>
        </w:tc>
      </w:tr>
      <w:tr w:rsidR="00D2177D" w:rsidRPr="00D2177D" w14:paraId="42191A36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0E866532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Female sex, n (%)</w:t>
            </w:r>
          </w:p>
        </w:tc>
        <w:tc>
          <w:tcPr>
            <w:tcW w:w="1417" w:type="dxa"/>
            <w:noWrap/>
            <w:vAlign w:val="bottom"/>
            <w:hideMark/>
          </w:tcPr>
          <w:p w14:paraId="54E4F645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7,763 (69.7)</w:t>
            </w:r>
          </w:p>
        </w:tc>
        <w:tc>
          <w:tcPr>
            <w:tcW w:w="1560" w:type="dxa"/>
            <w:noWrap/>
            <w:vAlign w:val="bottom"/>
            <w:hideMark/>
          </w:tcPr>
          <w:p w14:paraId="6EC89D5D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2,222 (66.0)</w:t>
            </w:r>
          </w:p>
        </w:tc>
        <w:tc>
          <w:tcPr>
            <w:tcW w:w="1511" w:type="dxa"/>
            <w:noWrap/>
            <w:vAlign w:val="bottom"/>
            <w:hideMark/>
          </w:tcPr>
          <w:p w14:paraId="2149F2FF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1,999 (69.4)</w:t>
            </w:r>
          </w:p>
        </w:tc>
        <w:tc>
          <w:tcPr>
            <w:tcW w:w="1700" w:type="dxa"/>
            <w:noWrap/>
            <w:vAlign w:val="bottom"/>
            <w:hideMark/>
          </w:tcPr>
          <w:p w14:paraId="2CFBDE0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1,725 (71.0)</w:t>
            </w:r>
          </w:p>
        </w:tc>
        <w:tc>
          <w:tcPr>
            <w:tcW w:w="1466" w:type="dxa"/>
            <w:noWrap/>
            <w:vAlign w:val="bottom"/>
            <w:hideMark/>
          </w:tcPr>
          <w:p w14:paraId="55809D23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1,817 (73.6)</w:t>
            </w:r>
          </w:p>
        </w:tc>
      </w:tr>
      <w:tr w:rsidR="00D2177D" w:rsidRPr="00D2177D" w14:paraId="505A8D97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580F62EE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Median length of stay, days (IQR)</w:t>
            </w:r>
          </w:p>
        </w:tc>
        <w:tc>
          <w:tcPr>
            <w:tcW w:w="1417" w:type="dxa"/>
            <w:noWrap/>
            <w:vAlign w:val="bottom"/>
            <w:hideMark/>
          </w:tcPr>
          <w:p w14:paraId="61533214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820 (213-1732)</w:t>
            </w:r>
          </w:p>
        </w:tc>
        <w:tc>
          <w:tcPr>
            <w:tcW w:w="1560" w:type="dxa"/>
            <w:noWrap/>
            <w:vAlign w:val="bottom"/>
            <w:hideMark/>
          </w:tcPr>
          <w:p w14:paraId="4FB51F80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894 (156-1976)</w:t>
            </w:r>
          </w:p>
        </w:tc>
        <w:tc>
          <w:tcPr>
            <w:tcW w:w="1511" w:type="dxa"/>
            <w:noWrap/>
            <w:vAlign w:val="bottom"/>
            <w:hideMark/>
          </w:tcPr>
          <w:p w14:paraId="72866377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827 (202-1730)</w:t>
            </w:r>
          </w:p>
        </w:tc>
        <w:tc>
          <w:tcPr>
            <w:tcW w:w="1700" w:type="dxa"/>
            <w:noWrap/>
            <w:vAlign w:val="bottom"/>
            <w:hideMark/>
          </w:tcPr>
          <w:p w14:paraId="28A2B0A3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790 (239-1650)</w:t>
            </w:r>
          </w:p>
        </w:tc>
        <w:tc>
          <w:tcPr>
            <w:tcW w:w="1466" w:type="dxa"/>
            <w:noWrap/>
            <w:vAlign w:val="bottom"/>
            <w:hideMark/>
          </w:tcPr>
          <w:p w14:paraId="045F1FF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786 (279-1537)</w:t>
            </w:r>
          </w:p>
        </w:tc>
      </w:tr>
      <w:tr w:rsidR="00D2177D" w:rsidRPr="00D2177D" w14:paraId="0A79BA80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3CF6B68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FI31-NH, mean (SD)</w:t>
            </w:r>
          </w:p>
        </w:tc>
        <w:tc>
          <w:tcPr>
            <w:tcW w:w="1417" w:type="dxa"/>
            <w:noWrap/>
            <w:vAlign w:val="bottom"/>
            <w:hideMark/>
          </w:tcPr>
          <w:p w14:paraId="5FC5C06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0.257 (0.094)</w:t>
            </w:r>
          </w:p>
        </w:tc>
        <w:tc>
          <w:tcPr>
            <w:tcW w:w="1560" w:type="dxa"/>
            <w:noWrap/>
            <w:vAlign w:val="bottom"/>
            <w:hideMark/>
          </w:tcPr>
          <w:p w14:paraId="4073C57A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0.152 (0.035)</w:t>
            </w:r>
          </w:p>
        </w:tc>
        <w:tc>
          <w:tcPr>
            <w:tcW w:w="1511" w:type="dxa"/>
            <w:noWrap/>
            <w:vAlign w:val="bottom"/>
            <w:hideMark/>
          </w:tcPr>
          <w:p w14:paraId="346BB5C8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0.234 (0.018)</w:t>
            </w:r>
          </w:p>
        </w:tc>
        <w:tc>
          <w:tcPr>
            <w:tcW w:w="1700" w:type="dxa"/>
            <w:noWrap/>
            <w:vAlign w:val="bottom"/>
            <w:hideMark/>
          </w:tcPr>
          <w:p w14:paraId="2329990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0.297 (0.018)</w:t>
            </w:r>
          </w:p>
        </w:tc>
        <w:tc>
          <w:tcPr>
            <w:tcW w:w="1466" w:type="dxa"/>
            <w:noWrap/>
            <w:vAlign w:val="bottom"/>
            <w:hideMark/>
          </w:tcPr>
          <w:p w14:paraId="0DE0F73E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0.390 (0.048)</w:t>
            </w:r>
          </w:p>
        </w:tc>
      </w:tr>
      <w:tr w:rsidR="00D2177D" w:rsidRPr="00D2177D" w14:paraId="29DDB43D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7AF48415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Barthel Index, mean (SD)</w:t>
            </w:r>
          </w:p>
        </w:tc>
        <w:tc>
          <w:tcPr>
            <w:tcW w:w="1417" w:type="dxa"/>
            <w:noWrap/>
            <w:vAlign w:val="bottom"/>
            <w:hideMark/>
          </w:tcPr>
          <w:p w14:paraId="117C13B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49.8 (31.4)</w:t>
            </w:r>
          </w:p>
        </w:tc>
        <w:tc>
          <w:tcPr>
            <w:tcW w:w="1560" w:type="dxa"/>
            <w:noWrap/>
            <w:vAlign w:val="bottom"/>
            <w:hideMark/>
          </w:tcPr>
          <w:p w14:paraId="600C1CB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63.6 (29.7)</w:t>
            </w:r>
          </w:p>
        </w:tc>
        <w:tc>
          <w:tcPr>
            <w:tcW w:w="1511" w:type="dxa"/>
            <w:noWrap/>
            <w:vAlign w:val="bottom"/>
            <w:hideMark/>
          </w:tcPr>
          <w:p w14:paraId="4BB70AF3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49.0 (31.1)</w:t>
            </w:r>
          </w:p>
        </w:tc>
        <w:tc>
          <w:tcPr>
            <w:tcW w:w="1700" w:type="dxa"/>
            <w:noWrap/>
            <w:vAlign w:val="bottom"/>
            <w:hideMark/>
          </w:tcPr>
          <w:p w14:paraId="482BDE06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44.7 (30.3)</w:t>
            </w:r>
          </w:p>
        </w:tc>
        <w:tc>
          <w:tcPr>
            <w:tcW w:w="1466" w:type="dxa"/>
            <w:noWrap/>
            <w:vAlign w:val="bottom"/>
            <w:hideMark/>
          </w:tcPr>
          <w:p w14:paraId="55F16C89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37.1 (27.7)</w:t>
            </w:r>
          </w:p>
        </w:tc>
      </w:tr>
      <w:tr w:rsidR="00D2177D" w:rsidRPr="00D2177D" w14:paraId="033F3DFC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3958544A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Tinetti score, mean (SD)</w:t>
            </w:r>
          </w:p>
        </w:tc>
        <w:tc>
          <w:tcPr>
            <w:tcW w:w="1417" w:type="dxa"/>
            <w:noWrap/>
            <w:vAlign w:val="bottom"/>
            <w:hideMark/>
          </w:tcPr>
          <w:p w14:paraId="0CA66358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13.8 (9.2)</w:t>
            </w:r>
          </w:p>
        </w:tc>
        <w:tc>
          <w:tcPr>
            <w:tcW w:w="1560" w:type="dxa"/>
            <w:noWrap/>
            <w:vAlign w:val="bottom"/>
            <w:hideMark/>
          </w:tcPr>
          <w:p w14:paraId="663DCCE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17.6 (8.7)</w:t>
            </w:r>
          </w:p>
        </w:tc>
        <w:tc>
          <w:tcPr>
            <w:tcW w:w="1511" w:type="dxa"/>
            <w:noWrap/>
            <w:vAlign w:val="bottom"/>
            <w:hideMark/>
          </w:tcPr>
          <w:p w14:paraId="6BE9D07E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13.8 (9.1)</w:t>
            </w:r>
          </w:p>
        </w:tc>
        <w:tc>
          <w:tcPr>
            <w:tcW w:w="1700" w:type="dxa"/>
            <w:noWrap/>
            <w:vAlign w:val="bottom"/>
            <w:hideMark/>
          </w:tcPr>
          <w:p w14:paraId="03F05C2D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12.3 (8.8)</w:t>
            </w:r>
          </w:p>
        </w:tc>
        <w:tc>
          <w:tcPr>
            <w:tcW w:w="1466" w:type="dxa"/>
            <w:noWrap/>
            <w:vAlign w:val="bottom"/>
            <w:hideMark/>
          </w:tcPr>
          <w:p w14:paraId="370CDB20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10.2 (8.2)</w:t>
            </w:r>
          </w:p>
        </w:tc>
      </w:tr>
      <w:tr w:rsidR="00D2177D" w:rsidRPr="00D2177D" w14:paraId="197943B0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2C399A7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Cognitive deficit score, mean (SD)</w:t>
            </w:r>
          </w:p>
        </w:tc>
        <w:tc>
          <w:tcPr>
            <w:tcW w:w="1417" w:type="dxa"/>
            <w:noWrap/>
            <w:vAlign w:val="bottom"/>
            <w:hideMark/>
          </w:tcPr>
          <w:p w14:paraId="38E8216D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0.650 (0.440)</w:t>
            </w:r>
          </w:p>
        </w:tc>
        <w:tc>
          <w:tcPr>
            <w:tcW w:w="1560" w:type="dxa"/>
            <w:noWrap/>
            <w:vAlign w:val="bottom"/>
            <w:hideMark/>
          </w:tcPr>
          <w:p w14:paraId="3C571AAE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0.531 (0.464)</w:t>
            </w:r>
          </w:p>
        </w:tc>
        <w:tc>
          <w:tcPr>
            <w:tcW w:w="1511" w:type="dxa"/>
            <w:noWrap/>
            <w:vAlign w:val="bottom"/>
            <w:hideMark/>
          </w:tcPr>
          <w:p w14:paraId="74A75502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0.660 (0.437)</w:t>
            </w:r>
          </w:p>
        </w:tc>
        <w:tc>
          <w:tcPr>
            <w:tcW w:w="1700" w:type="dxa"/>
            <w:noWrap/>
            <w:vAlign w:val="bottom"/>
            <w:hideMark/>
          </w:tcPr>
          <w:p w14:paraId="527518B9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0.698 (0.420)</w:t>
            </w:r>
          </w:p>
        </w:tc>
        <w:tc>
          <w:tcPr>
            <w:tcW w:w="1466" w:type="dxa"/>
            <w:noWrap/>
            <w:vAlign w:val="bottom"/>
            <w:hideMark/>
          </w:tcPr>
          <w:p w14:paraId="714259B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0.752 (0.390)</w:t>
            </w:r>
          </w:p>
        </w:tc>
      </w:tr>
      <w:tr w:rsidR="00D2177D" w:rsidRPr="00D2177D" w14:paraId="408387CE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5C266804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Psychotropic medication groups, mean (SD)</w:t>
            </w:r>
          </w:p>
        </w:tc>
        <w:tc>
          <w:tcPr>
            <w:tcW w:w="1417" w:type="dxa"/>
            <w:noWrap/>
            <w:vAlign w:val="bottom"/>
            <w:hideMark/>
          </w:tcPr>
          <w:p w14:paraId="48713A5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1.16 (0.97)</w:t>
            </w:r>
          </w:p>
        </w:tc>
        <w:tc>
          <w:tcPr>
            <w:tcW w:w="1560" w:type="dxa"/>
            <w:noWrap/>
            <w:vAlign w:val="bottom"/>
            <w:hideMark/>
          </w:tcPr>
          <w:p w14:paraId="3AD71F9A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0.86 (0.92)</w:t>
            </w:r>
          </w:p>
        </w:tc>
        <w:tc>
          <w:tcPr>
            <w:tcW w:w="1511" w:type="dxa"/>
            <w:noWrap/>
            <w:vAlign w:val="bottom"/>
            <w:hideMark/>
          </w:tcPr>
          <w:p w14:paraId="69E4192E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1.15 (0.96)</w:t>
            </w:r>
          </w:p>
        </w:tc>
        <w:tc>
          <w:tcPr>
            <w:tcW w:w="1700" w:type="dxa"/>
            <w:noWrap/>
            <w:vAlign w:val="bottom"/>
            <w:hideMark/>
          </w:tcPr>
          <w:p w14:paraId="6EA6E96D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1.25 (0.95)</w:t>
            </w:r>
          </w:p>
        </w:tc>
        <w:tc>
          <w:tcPr>
            <w:tcW w:w="1466" w:type="dxa"/>
            <w:noWrap/>
            <w:vAlign w:val="bottom"/>
            <w:hideMark/>
          </w:tcPr>
          <w:p w14:paraId="1455F422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1.48 (0.95)</w:t>
            </w:r>
          </w:p>
        </w:tc>
      </w:tr>
      <w:tr w:rsidR="00D2177D" w:rsidRPr="00D2177D" w14:paraId="6945657C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10FDC04E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proofErr w:type="spellStart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Polypharmacy</w:t>
            </w:r>
            <w:proofErr w:type="spellEnd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, n (%)</w:t>
            </w:r>
          </w:p>
        </w:tc>
        <w:tc>
          <w:tcPr>
            <w:tcW w:w="1417" w:type="dxa"/>
            <w:noWrap/>
            <w:vAlign w:val="bottom"/>
            <w:hideMark/>
          </w:tcPr>
          <w:p w14:paraId="71C73B56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5,767 (51.7)</w:t>
            </w:r>
          </w:p>
        </w:tc>
        <w:tc>
          <w:tcPr>
            <w:tcW w:w="1560" w:type="dxa"/>
            <w:noWrap/>
            <w:vAlign w:val="bottom"/>
            <w:hideMark/>
          </w:tcPr>
          <w:p w14:paraId="033C4BA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1,142 (33.9)</w:t>
            </w:r>
          </w:p>
        </w:tc>
        <w:tc>
          <w:tcPr>
            <w:tcW w:w="1511" w:type="dxa"/>
            <w:noWrap/>
            <w:vAlign w:val="bottom"/>
            <w:hideMark/>
          </w:tcPr>
          <w:p w14:paraId="3B2E1CD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1,473 (51.1)</w:t>
            </w:r>
          </w:p>
        </w:tc>
        <w:tc>
          <w:tcPr>
            <w:tcW w:w="1700" w:type="dxa"/>
            <w:noWrap/>
            <w:vAlign w:val="bottom"/>
            <w:hideMark/>
          </w:tcPr>
          <w:p w14:paraId="7315CE55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1,425 (58.7)</w:t>
            </w:r>
          </w:p>
        </w:tc>
        <w:tc>
          <w:tcPr>
            <w:tcW w:w="1466" w:type="dxa"/>
            <w:noWrap/>
            <w:vAlign w:val="bottom"/>
            <w:hideMark/>
          </w:tcPr>
          <w:p w14:paraId="26997C6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1,727 (70.0)</w:t>
            </w:r>
          </w:p>
        </w:tc>
      </w:tr>
      <w:tr w:rsidR="00D2177D" w:rsidRPr="00D2177D" w14:paraId="0E5C49A7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2653347E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proofErr w:type="spellStart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Hyperpolypharmacy</w:t>
            </w:r>
            <w:proofErr w:type="spellEnd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, n (%)</w:t>
            </w:r>
          </w:p>
        </w:tc>
        <w:tc>
          <w:tcPr>
            <w:tcW w:w="1417" w:type="dxa"/>
            <w:noWrap/>
            <w:vAlign w:val="bottom"/>
            <w:hideMark/>
          </w:tcPr>
          <w:p w14:paraId="61119592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2,048 (18.4)</w:t>
            </w:r>
          </w:p>
        </w:tc>
        <w:tc>
          <w:tcPr>
            <w:tcW w:w="1560" w:type="dxa"/>
            <w:noWrap/>
            <w:vAlign w:val="bottom"/>
            <w:hideMark/>
          </w:tcPr>
          <w:p w14:paraId="7AA3ED09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224 (6.7)</w:t>
            </w:r>
          </w:p>
        </w:tc>
        <w:tc>
          <w:tcPr>
            <w:tcW w:w="1511" w:type="dxa"/>
            <w:noWrap/>
            <w:vAlign w:val="bottom"/>
            <w:hideMark/>
          </w:tcPr>
          <w:p w14:paraId="7DC95ACB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438 (15.2)</w:t>
            </w:r>
          </w:p>
        </w:tc>
        <w:tc>
          <w:tcPr>
            <w:tcW w:w="1700" w:type="dxa"/>
            <w:noWrap/>
            <w:vAlign w:val="bottom"/>
            <w:hideMark/>
          </w:tcPr>
          <w:p w14:paraId="30AD0692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534 (22.0)</w:t>
            </w:r>
          </w:p>
        </w:tc>
        <w:tc>
          <w:tcPr>
            <w:tcW w:w="1466" w:type="dxa"/>
            <w:noWrap/>
            <w:vAlign w:val="bottom"/>
            <w:hideMark/>
          </w:tcPr>
          <w:p w14:paraId="78E1ED5F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852 (34.5)</w:t>
            </w:r>
          </w:p>
        </w:tc>
      </w:tr>
      <w:tr w:rsidR="00D2177D" w:rsidRPr="00D2177D" w14:paraId="7510BE4F" w14:textId="77777777" w:rsidTr="00D2177D">
        <w:trPr>
          <w:trHeight w:val="320"/>
        </w:trPr>
        <w:tc>
          <w:tcPr>
            <w:tcW w:w="1985" w:type="dxa"/>
            <w:noWrap/>
            <w:vAlign w:val="bottom"/>
            <w:hideMark/>
          </w:tcPr>
          <w:p w14:paraId="05825421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proofErr w:type="spellStart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Comorbidity</w:t>
            </w:r>
            <w:proofErr w:type="spellEnd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 xml:space="preserve"> ≥7 </w:t>
            </w:r>
            <w:proofErr w:type="spellStart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chronic</w:t>
            </w:r>
            <w:proofErr w:type="spellEnd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conditions</w:t>
            </w:r>
            <w:proofErr w:type="spellEnd"/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, n (%)</w:t>
            </w:r>
          </w:p>
        </w:tc>
        <w:tc>
          <w:tcPr>
            <w:tcW w:w="1417" w:type="dxa"/>
            <w:noWrap/>
            <w:vAlign w:val="bottom"/>
            <w:hideMark/>
          </w:tcPr>
          <w:p w14:paraId="73E21BE6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4,792 (43.0)</w:t>
            </w:r>
          </w:p>
        </w:tc>
        <w:tc>
          <w:tcPr>
            <w:tcW w:w="1560" w:type="dxa"/>
            <w:noWrap/>
            <w:vAlign w:val="bottom"/>
            <w:hideMark/>
          </w:tcPr>
          <w:p w14:paraId="4455434F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228 (6.8)</w:t>
            </w:r>
          </w:p>
        </w:tc>
        <w:tc>
          <w:tcPr>
            <w:tcW w:w="1511" w:type="dxa"/>
            <w:noWrap/>
            <w:vAlign w:val="bottom"/>
            <w:hideMark/>
          </w:tcPr>
          <w:p w14:paraId="1604182D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840 (29.2)</w:t>
            </w:r>
          </w:p>
        </w:tc>
        <w:tc>
          <w:tcPr>
            <w:tcW w:w="1700" w:type="dxa"/>
            <w:noWrap/>
            <w:vAlign w:val="bottom"/>
            <w:hideMark/>
          </w:tcPr>
          <w:p w14:paraId="36202E18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1,505 (62.0)</w:t>
            </w:r>
          </w:p>
        </w:tc>
        <w:tc>
          <w:tcPr>
            <w:tcW w:w="1466" w:type="dxa"/>
            <w:noWrap/>
            <w:vAlign w:val="bottom"/>
            <w:hideMark/>
          </w:tcPr>
          <w:p w14:paraId="0B952DF5" w14:textId="77777777" w:rsidR="00D2177D" w:rsidRPr="00D2177D" w:rsidRDefault="00D2177D" w:rsidP="003B0A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</w:pPr>
            <w:r w:rsidRPr="00D2177D">
              <w:rPr>
                <w:rFonts w:ascii="Arial" w:eastAsia="Times New Roman" w:hAnsi="Arial" w:cs="Arial"/>
                <w:color w:val="000000"/>
                <w:sz w:val="22"/>
                <w:szCs w:val="22"/>
                <w:lang w:val="es-ES"/>
              </w:rPr>
              <w:t>2,219 (89.9)</w:t>
            </w:r>
          </w:p>
        </w:tc>
      </w:tr>
    </w:tbl>
    <w:p w14:paraId="1E61C048" w14:textId="77777777" w:rsidR="00D2177D" w:rsidRDefault="00D2177D" w:rsidP="00D21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CD58A6">
        <w:rPr>
          <w:rFonts w:ascii="Arial" w:hAnsi="Arial" w:cs="Arial"/>
          <w:color w:val="000000"/>
        </w:rPr>
        <w:t xml:space="preserve">FI31-NH: 31-item Frailty Index for Nursing Homes; SD: standard deviation; IQR: interquartile range. Q1 to Q4 represent increasing quartiles of FI31-NH, based on the empirical distribution of FI31-NH values in the development cohort (cut-points: P25 = 0.194, P50 = 0.258, P75 = 0.323). Female percentages were calculated using the total number of residents in each quartile as denominator. Length of stay was calculated from admission date to recorded status date. Psychotropic medication groups </w:t>
      </w:r>
      <w:proofErr w:type="gramStart"/>
      <w:r w:rsidRPr="00CD58A6">
        <w:rPr>
          <w:rFonts w:ascii="Arial" w:hAnsi="Arial" w:cs="Arial"/>
          <w:color w:val="000000"/>
        </w:rPr>
        <w:t>refers</w:t>
      </w:r>
      <w:proofErr w:type="gramEnd"/>
      <w:r w:rsidRPr="00CD58A6">
        <w:rPr>
          <w:rFonts w:ascii="Arial" w:hAnsi="Arial" w:cs="Arial"/>
          <w:color w:val="000000"/>
        </w:rPr>
        <w:t xml:space="preserve"> to the number of psychotropic drug classes prescribed at FI31-NH baseline. Polypharmacy was defined as 5 or more prescribed drugs and </w:t>
      </w:r>
      <w:proofErr w:type="spellStart"/>
      <w:r w:rsidRPr="00CD58A6">
        <w:rPr>
          <w:rFonts w:ascii="Arial" w:hAnsi="Arial" w:cs="Arial"/>
          <w:color w:val="000000"/>
        </w:rPr>
        <w:t>hyperpolypharmacy</w:t>
      </w:r>
      <w:proofErr w:type="spellEnd"/>
      <w:r w:rsidRPr="00CD58A6">
        <w:rPr>
          <w:rFonts w:ascii="Arial" w:hAnsi="Arial" w:cs="Arial"/>
          <w:color w:val="000000"/>
        </w:rPr>
        <w:t xml:space="preserve"> as 10 or more prescribed drugs, according to the FI31-NH polypharmacy item coding. Comorbidity ≥7 chronic conditions </w:t>
      </w:r>
      <w:proofErr w:type="gramStart"/>
      <w:r w:rsidRPr="00CD58A6">
        <w:rPr>
          <w:rFonts w:ascii="Arial" w:hAnsi="Arial" w:cs="Arial"/>
          <w:color w:val="000000"/>
        </w:rPr>
        <w:t>corresponds</w:t>
      </w:r>
      <w:proofErr w:type="gramEnd"/>
      <w:r w:rsidRPr="00CD58A6">
        <w:rPr>
          <w:rFonts w:ascii="Arial" w:hAnsi="Arial" w:cs="Arial"/>
          <w:color w:val="000000"/>
        </w:rPr>
        <w:t xml:space="preserve"> to the FI31-NH comorbidity item.</w:t>
      </w:r>
    </w:p>
    <w:p w14:paraId="15CA969A" w14:textId="77777777" w:rsidR="00EC689A" w:rsidRDefault="00EC689A" w:rsidP="00D2177D">
      <w:pPr>
        <w:spacing w:line="480" w:lineRule="auto"/>
      </w:pPr>
    </w:p>
    <w:sectPr w:rsidR="00EC689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D57AE5B-8C2D-4231-9486-F0D6B4D4B5B3}"/>
    <w:embedBold r:id="rId2" w:fontKey="{942DAD20-E965-46BA-8EE9-61B5A506BFB7}"/>
    <w:embedItalic r:id="rId3" w:fontKey="{BA006108-1F7E-4161-94B7-58A1B3787C84}"/>
  </w:font>
  <w:font w:name="Play">
    <w:charset w:val="00"/>
    <w:family w:val="auto"/>
    <w:pitch w:val="default"/>
    <w:embedRegular r:id="rId4" w:fontKey="{7566E6C0-1D37-445D-A034-E4A68315E3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FBFAAF51-E56A-4327-9AE1-93A13CC523E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9A"/>
    <w:rsid w:val="002E2216"/>
    <w:rsid w:val="00596DE6"/>
    <w:rsid w:val="00D2177D"/>
    <w:rsid w:val="00EC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9616"/>
  <w15:docId w15:val="{BCF168AF-B5A5-486F-BC25-9D87189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7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7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7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3E7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3E7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3E7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3E72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3E72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3E72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72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72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723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3E7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3E7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7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72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72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72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7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72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723D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3E723D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3E72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7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723D"/>
    <w:rPr>
      <w:rFonts w:ascii="Times New Roman" w:eastAsia="Times New Roman" w:hAnsi="Times New Roman" w:cs="Times New Roman"/>
      <w:kern w:val="0"/>
      <w:sz w:val="20"/>
      <w:szCs w:val="20"/>
      <w:lang w:val="en-GB" w:eastAsia="es-ES_tradnl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Fj1p0n0nggtiHDSZxOJYp8q3T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zgAciExMTFkd1ZqR1Npd2Rfcl9TdERoRC1rbTAzcDNGWnRad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LUIS GONZALEZ PASCUAL</dc:creator>
  <cp:lastModifiedBy>MARIA CABALLERO GALILEA</cp:lastModifiedBy>
  <cp:revision>2</cp:revision>
  <dcterms:created xsi:type="dcterms:W3CDTF">2026-02-02T11:43:00Z</dcterms:created>
  <dcterms:modified xsi:type="dcterms:W3CDTF">2026-06-21T20:22:00Z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a3394-03bb-460d-b0e0-929a41aa1fc7_Enabled">
    <vt:lpwstr>true</vt:lpwstr>
  </property>
  <property fmtid="{D5CDD505-2E9C-101B-9397-08002B2CF9AE}" pid="3" name="MSIP_Label_184a3394-03bb-460d-b0e0-929a41aa1fc7_SetDate">
    <vt:lpwstr>2026-02-02T11:48:22Z</vt:lpwstr>
  </property>
  <property fmtid="{D5CDD505-2E9C-101B-9397-08002B2CF9AE}" pid="4" name="MSIP_Label_184a3394-03bb-460d-b0e0-929a41aa1fc7_Method">
    <vt:lpwstr>Privileged</vt:lpwstr>
  </property>
  <property fmtid="{D5CDD505-2E9C-101B-9397-08002B2CF9AE}" pid="5" name="MSIP_Label_184a3394-03bb-460d-b0e0-929a41aa1fc7_Name">
    <vt:lpwstr>Público</vt:lpwstr>
  </property>
  <property fmtid="{D5CDD505-2E9C-101B-9397-08002B2CF9AE}" pid="6" name="MSIP_Label_184a3394-03bb-460d-b0e0-929a41aa1fc7_SiteId">
    <vt:lpwstr>cfab0009-84b7-4397-a0f8-f77cdf1579c1</vt:lpwstr>
  </property>
  <property fmtid="{D5CDD505-2E9C-101B-9397-08002B2CF9AE}" pid="7" name="MSIP_Label_184a3394-03bb-460d-b0e0-929a41aa1fc7_ActionId">
    <vt:lpwstr>f5fcc607-fdfd-4367-9ae4-6fd562f4ac18</vt:lpwstr>
  </property>
  <property fmtid="{D5CDD505-2E9C-101B-9397-08002B2CF9AE}" pid="8" name="MSIP_Label_184a3394-03bb-460d-b0e0-929a41aa1fc7_ContentBits">
    <vt:lpwstr>0</vt:lpwstr>
  </property>
  <property fmtid="{D5CDD505-2E9C-101B-9397-08002B2CF9AE}" pid="9" name="MSIP_Label_184a3394-03bb-460d-b0e0-929a41aa1fc7_Tag">
    <vt:lpwstr>10, 0, 1, 1</vt:lpwstr>
  </property>
</Properties>
</file>