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1CE2" w14:textId="77777777" w:rsidR="00BB0AD0" w:rsidRDefault="00F23849">
      <w:pPr>
        <w:spacing w:line="48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Supplementary </w:t>
      </w:r>
      <w:proofErr w:type="spellStart"/>
      <w:r>
        <w:rPr>
          <w:rFonts w:ascii="Arial" w:eastAsia="Arial" w:hAnsi="Arial" w:cs="Arial"/>
          <w:color w:val="000000"/>
        </w:rPr>
        <w:t>matherial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BBD5FC" w14:textId="77777777" w:rsidR="00092C82" w:rsidRPr="009C73A9" w:rsidRDefault="00092C82" w:rsidP="00092C82">
      <w:pPr>
        <w:spacing w:line="480" w:lineRule="auto"/>
        <w:rPr>
          <w:rFonts w:ascii="Arial" w:eastAsia="Calibri" w:hAnsi="Arial" w:cs="Arial"/>
          <w:b/>
          <w:bCs/>
          <w:lang w:val="en-US"/>
        </w:rPr>
      </w:pPr>
      <w:r w:rsidRPr="009C73A9">
        <w:rPr>
          <w:rFonts w:ascii="Arial" w:eastAsia="Calibri" w:hAnsi="Arial" w:cs="Arial"/>
          <w:b/>
          <w:bCs/>
          <w:lang w:val="en-US"/>
        </w:rPr>
        <w:t>Table S3. Sensitivity analysis according to baseline window definition</w:t>
      </w:r>
    </w:p>
    <w:tbl>
      <w:tblPr>
        <w:tblW w:w="949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928"/>
        <w:gridCol w:w="1056"/>
        <w:gridCol w:w="2126"/>
        <w:gridCol w:w="851"/>
        <w:gridCol w:w="1417"/>
        <w:gridCol w:w="993"/>
      </w:tblGrid>
      <w:tr w:rsidR="00092C82" w:rsidRPr="00F36A57" w14:paraId="62B195EF" w14:textId="77777777" w:rsidTr="003B0ACA">
        <w:trPr>
          <w:trHeight w:val="320"/>
        </w:trPr>
        <w:tc>
          <w:tcPr>
            <w:tcW w:w="1134" w:type="dxa"/>
            <w:noWrap/>
            <w:vAlign w:val="bottom"/>
            <w:hideMark/>
          </w:tcPr>
          <w:p w14:paraId="150D2401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Baseline</w:t>
            </w:r>
            <w:proofErr w:type="spellEnd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 </w:t>
            </w: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window</w:t>
            </w:r>
            <w:proofErr w:type="spellEnd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, </w:t>
            </w: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days</w:t>
            </w:r>
            <w:proofErr w:type="spellEnd"/>
          </w:p>
        </w:tc>
        <w:tc>
          <w:tcPr>
            <w:tcW w:w="993" w:type="dxa"/>
            <w:noWrap/>
            <w:vAlign w:val="bottom"/>
            <w:hideMark/>
          </w:tcPr>
          <w:p w14:paraId="342AECB7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Cox </w:t>
            </w: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model</w:t>
            </w:r>
            <w:proofErr w:type="spellEnd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 n</w:t>
            </w:r>
          </w:p>
        </w:tc>
        <w:tc>
          <w:tcPr>
            <w:tcW w:w="928" w:type="dxa"/>
            <w:noWrap/>
            <w:vAlign w:val="bottom"/>
            <w:hideMark/>
          </w:tcPr>
          <w:p w14:paraId="6DC804B7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Events</w:t>
            </w:r>
            <w:proofErr w:type="spellEnd"/>
          </w:p>
        </w:tc>
        <w:tc>
          <w:tcPr>
            <w:tcW w:w="1056" w:type="dxa"/>
            <w:noWrap/>
            <w:vAlign w:val="bottom"/>
            <w:hideMark/>
          </w:tcPr>
          <w:p w14:paraId="2D69D153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FI mean (SD)</w:t>
            </w:r>
          </w:p>
        </w:tc>
        <w:tc>
          <w:tcPr>
            <w:tcW w:w="2126" w:type="dxa"/>
            <w:noWrap/>
            <w:vAlign w:val="bottom"/>
            <w:hideMark/>
          </w:tcPr>
          <w:p w14:paraId="4F9025E8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FI median (IQR)</w:t>
            </w:r>
          </w:p>
        </w:tc>
        <w:tc>
          <w:tcPr>
            <w:tcW w:w="851" w:type="dxa"/>
            <w:noWrap/>
            <w:vAlign w:val="bottom"/>
            <w:hideMark/>
          </w:tcPr>
          <w:p w14:paraId="680B1D6E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% FI ≥0.25</w:t>
            </w:r>
          </w:p>
        </w:tc>
        <w:tc>
          <w:tcPr>
            <w:tcW w:w="1417" w:type="dxa"/>
            <w:noWrap/>
            <w:vAlign w:val="bottom"/>
            <w:hideMark/>
          </w:tcPr>
          <w:p w14:paraId="0D74F13C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HR per 0.01 (95% CI)</w:t>
            </w:r>
          </w:p>
        </w:tc>
        <w:tc>
          <w:tcPr>
            <w:tcW w:w="993" w:type="dxa"/>
            <w:noWrap/>
            <w:vAlign w:val="bottom"/>
            <w:hideMark/>
          </w:tcPr>
          <w:p w14:paraId="5A575054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p-</w:t>
            </w:r>
            <w:proofErr w:type="spellStart"/>
            <w:r w:rsidRPr="00F36A57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value</w:t>
            </w:r>
            <w:proofErr w:type="spellEnd"/>
          </w:p>
        </w:tc>
      </w:tr>
      <w:tr w:rsidR="00092C82" w:rsidRPr="00F36A57" w14:paraId="256F121B" w14:textId="77777777" w:rsidTr="003B0ACA">
        <w:trPr>
          <w:trHeight w:val="320"/>
        </w:trPr>
        <w:tc>
          <w:tcPr>
            <w:tcW w:w="1134" w:type="dxa"/>
            <w:noWrap/>
            <w:vAlign w:val="bottom"/>
            <w:hideMark/>
          </w:tcPr>
          <w:p w14:paraId="51D1CF7C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30</w:t>
            </w:r>
          </w:p>
        </w:tc>
        <w:tc>
          <w:tcPr>
            <w:tcW w:w="993" w:type="dxa"/>
            <w:noWrap/>
            <w:vAlign w:val="bottom"/>
            <w:hideMark/>
          </w:tcPr>
          <w:p w14:paraId="7911A3D5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2,624</w:t>
            </w:r>
          </w:p>
        </w:tc>
        <w:tc>
          <w:tcPr>
            <w:tcW w:w="928" w:type="dxa"/>
            <w:noWrap/>
            <w:vAlign w:val="bottom"/>
            <w:hideMark/>
          </w:tcPr>
          <w:p w14:paraId="34C70FC6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1,216</w:t>
            </w:r>
          </w:p>
        </w:tc>
        <w:tc>
          <w:tcPr>
            <w:tcW w:w="1056" w:type="dxa"/>
            <w:noWrap/>
            <w:vAlign w:val="bottom"/>
            <w:hideMark/>
          </w:tcPr>
          <w:p w14:paraId="53B50043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0.259 (0.096)</w:t>
            </w:r>
          </w:p>
        </w:tc>
        <w:tc>
          <w:tcPr>
            <w:tcW w:w="2126" w:type="dxa"/>
            <w:noWrap/>
            <w:vAlign w:val="bottom"/>
            <w:hideMark/>
          </w:tcPr>
          <w:p w14:paraId="61D7E24E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0.258 (0.194-0.323)</w:t>
            </w:r>
          </w:p>
        </w:tc>
        <w:tc>
          <w:tcPr>
            <w:tcW w:w="851" w:type="dxa"/>
            <w:noWrap/>
            <w:vAlign w:val="bottom"/>
            <w:hideMark/>
          </w:tcPr>
          <w:p w14:paraId="3211AD9E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52.0</w:t>
            </w:r>
          </w:p>
        </w:tc>
        <w:tc>
          <w:tcPr>
            <w:tcW w:w="1417" w:type="dxa"/>
            <w:noWrap/>
            <w:vAlign w:val="bottom"/>
            <w:hideMark/>
          </w:tcPr>
          <w:p w14:paraId="6B3E53B9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1.023 (1.017-1.029)</w:t>
            </w:r>
          </w:p>
        </w:tc>
        <w:tc>
          <w:tcPr>
            <w:tcW w:w="993" w:type="dxa"/>
            <w:noWrap/>
            <w:vAlign w:val="bottom"/>
            <w:hideMark/>
          </w:tcPr>
          <w:p w14:paraId="511ECB6E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&lt;0.001</w:t>
            </w:r>
          </w:p>
        </w:tc>
      </w:tr>
      <w:tr w:rsidR="00092C82" w:rsidRPr="00F36A57" w14:paraId="025B73AA" w14:textId="77777777" w:rsidTr="003B0ACA">
        <w:trPr>
          <w:trHeight w:val="320"/>
        </w:trPr>
        <w:tc>
          <w:tcPr>
            <w:tcW w:w="1134" w:type="dxa"/>
            <w:noWrap/>
            <w:vAlign w:val="bottom"/>
            <w:hideMark/>
          </w:tcPr>
          <w:p w14:paraId="311652CD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45</w:t>
            </w:r>
          </w:p>
        </w:tc>
        <w:tc>
          <w:tcPr>
            <w:tcW w:w="993" w:type="dxa"/>
            <w:noWrap/>
            <w:vAlign w:val="bottom"/>
            <w:hideMark/>
          </w:tcPr>
          <w:p w14:paraId="407356C4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4,056</w:t>
            </w:r>
          </w:p>
        </w:tc>
        <w:tc>
          <w:tcPr>
            <w:tcW w:w="928" w:type="dxa"/>
            <w:noWrap/>
            <w:vAlign w:val="bottom"/>
            <w:hideMark/>
          </w:tcPr>
          <w:p w14:paraId="23D4844E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1,974</w:t>
            </w:r>
          </w:p>
        </w:tc>
        <w:tc>
          <w:tcPr>
            <w:tcW w:w="1056" w:type="dxa"/>
            <w:noWrap/>
            <w:vAlign w:val="bottom"/>
            <w:hideMark/>
          </w:tcPr>
          <w:p w14:paraId="2AE47BC7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0.260 (0.096)</w:t>
            </w:r>
          </w:p>
        </w:tc>
        <w:tc>
          <w:tcPr>
            <w:tcW w:w="2126" w:type="dxa"/>
            <w:noWrap/>
            <w:vAlign w:val="bottom"/>
            <w:hideMark/>
          </w:tcPr>
          <w:p w14:paraId="1A6D5A29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0.258 (0.194-0.323)</w:t>
            </w:r>
          </w:p>
        </w:tc>
        <w:tc>
          <w:tcPr>
            <w:tcW w:w="851" w:type="dxa"/>
            <w:noWrap/>
            <w:vAlign w:val="bottom"/>
            <w:hideMark/>
          </w:tcPr>
          <w:p w14:paraId="70289AB4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51.7</w:t>
            </w:r>
          </w:p>
        </w:tc>
        <w:tc>
          <w:tcPr>
            <w:tcW w:w="1417" w:type="dxa"/>
            <w:noWrap/>
            <w:vAlign w:val="bottom"/>
            <w:hideMark/>
          </w:tcPr>
          <w:p w14:paraId="60C3D3FD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1.023 (1.018-1.027)</w:t>
            </w:r>
          </w:p>
        </w:tc>
        <w:tc>
          <w:tcPr>
            <w:tcW w:w="993" w:type="dxa"/>
            <w:noWrap/>
            <w:vAlign w:val="bottom"/>
            <w:hideMark/>
          </w:tcPr>
          <w:p w14:paraId="53A880A1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&lt;0.001</w:t>
            </w:r>
          </w:p>
        </w:tc>
      </w:tr>
      <w:tr w:rsidR="00092C82" w:rsidRPr="00F36A57" w14:paraId="38972F0F" w14:textId="77777777" w:rsidTr="003B0ACA">
        <w:trPr>
          <w:trHeight w:val="320"/>
        </w:trPr>
        <w:tc>
          <w:tcPr>
            <w:tcW w:w="1134" w:type="dxa"/>
            <w:noWrap/>
            <w:vAlign w:val="bottom"/>
            <w:hideMark/>
          </w:tcPr>
          <w:p w14:paraId="0970E5B3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60</w:t>
            </w:r>
          </w:p>
        </w:tc>
        <w:tc>
          <w:tcPr>
            <w:tcW w:w="993" w:type="dxa"/>
            <w:noWrap/>
            <w:vAlign w:val="bottom"/>
            <w:hideMark/>
          </w:tcPr>
          <w:p w14:paraId="4B28CC8F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5,326</w:t>
            </w:r>
          </w:p>
        </w:tc>
        <w:tc>
          <w:tcPr>
            <w:tcW w:w="928" w:type="dxa"/>
            <w:noWrap/>
            <w:vAlign w:val="bottom"/>
            <w:hideMark/>
          </w:tcPr>
          <w:p w14:paraId="773C742F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2,728</w:t>
            </w:r>
          </w:p>
        </w:tc>
        <w:tc>
          <w:tcPr>
            <w:tcW w:w="1056" w:type="dxa"/>
            <w:noWrap/>
            <w:vAlign w:val="bottom"/>
            <w:hideMark/>
          </w:tcPr>
          <w:p w14:paraId="654235B8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0.260 (0.095)</w:t>
            </w:r>
          </w:p>
        </w:tc>
        <w:tc>
          <w:tcPr>
            <w:tcW w:w="2126" w:type="dxa"/>
            <w:noWrap/>
            <w:vAlign w:val="bottom"/>
            <w:hideMark/>
          </w:tcPr>
          <w:p w14:paraId="3813BD6B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0.258 (0.194-0.323)</w:t>
            </w:r>
          </w:p>
        </w:tc>
        <w:tc>
          <w:tcPr>
            <w:tcW w:w="851" w:type="dxa"/>
            <w:noWrap/>
            <w:vAlign w:val="bottom"/>
            <w:hideMark/>
          </w:tcPr>
          <w:p w14:paraId="68568916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51.8</w:t>
            </w:r>
          </w:p>
        </w:tc>
        <w:tc>
          <w:tcPr>
            <w:tcW w:w="1417" w:type="dxa"/>
            <w:noWrap/>
            <w:vAlign w:val="bottom"/>
            <w:hideMark/>
          </w:tcPr>
          <w:p w14:paraId="5AD5FB50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1.024 (1.020-1.028)</w:t>
            </w:r>
          </w:p>
        </w:tc>
        <w:tc>
          <w:tcPr>
            <w:tcW w:w="993" w:type="dxa"/>
            <w:noWrap/>
            <w:vAlign w:val="bottom"/>
            <w:hideMark/>
          </w:tcPr>
          <w:p w14:paraId="5E172299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&lt;0.001</w:t>
            </w:r>
          </w:p>
        </w:tc>
      </w:tr>
      <w:tr w:rsidR="00092C82" w:rsidRPr="00F36A57" w14:paraId="1D4CDC40" w14:textId="77777777" w:rsidTr="003B0ACA">
        <w:trPr>
          <w:trHeight w:val="320"/>
        </w:trPr>
        <w:tc>
          <w:tcPr>
            <w:tcW w:w="1134" w:type="dxa"/>
            <w:noWrap/>
            <w:vAlign w:val="bottom"/>
            <w:hideMark/>
          </w:tcPr>
          <w:p w14:paraId="1AF5265F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90</w:t>
            </w:r>
          </w:p>
        </w:tc>
        <w:tc>
          <w:tcPr>
            <w:tcW w:w="993" w:type="dxa"/>
            <w:noWrap/>
            <w:vAlign w:val="bottom"/>
            <w:hideMark/>
          </w:tcPr>
          <w:p w14:paraId="49CDCEC5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10,728</w:t>
            </w:r>
          </w:p>
        </w:tc>
        <w:tc>
          <w:tcPr>
            <w:tcW w:w="928" w:type="dxa"/>
            <w:noWrap/>
            <w:vAlign w:val="bottom"/>
            <w:hideMark/>
          </w:tcPr>
          <w:p w14:paraId="7782479C" w14:textId="77777777" w:rsidR="00092C82" w:rsidRPr="00F36A57" w:rsidRDefault="00092C82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6,688</w:t>
            </w:r>
          </w:p>
        </w:tc>
        <w:tc>
          <w:tcPr>
            <w:tcW w:w="1056" w:type="dxa"/>
            <w:noWrap/>
            <w:vAlign w:val="bottom"/>
            <w:hideMark/>
          </w:tcPr>
          <w:p w14:paraId="5C022907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0.258 (0.094)</w:t>
            </w:r>
          </w:p>
        </w:tc>
        <w:tc>
          <w:tcPr>
            <w:tcW w:w="2126" w:type="dxa"/>
            <w:noWrap/>
            <w:vAlign w:val="bottom"/>
            <w:hideMark/>
          </w:tcPr>
          <w:p w14:paraId="59ECC709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0.258 (0.194-0.323)</w:t>
            </w:r>
          </w:p>
        </w:tc>
        <w:tc>
          <w:tcPr>
            <w:tcW w:w="851" w:type="dxa"/>
            <w:noWrap/>
            <w:vAlign w:val="bottom"/>
            <w:hideMark/>
          </w:tcPr>
          <w:p w14:paraId="6B9C87C6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50.7</w:t>
            </w:r>
          </w:p>
        </w:tc>
        <w:tc>
          <w:tcPr>
            <w:tcW w:w="1417" w:type="dxa"/>
            <w:noWrap/>
            <w:vAlign w:val="bottom"/>
            <w:hideMark/>
          </w:tcPr>
          <w:p w14:paraId="6F119928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1.022 (1.019-1.024)</w:t>
            </w:r>
          </w:p>
        </w:tc>
        <w:tc>
          <w:tcPr>
            <w:tcW w:w="993" w:type="dxa"/>
            <w:noWrap/>
            <w:vAlign w:val="bottom"/>
            <w:hideMark/>
          </w:tcPr>
          <w:p w14:paraId="112D98D5" w14:textId="77777777" w:rsidR="00092C82" w:rsidRPr="00F36A57" w:rsidRDefault="00092C82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F36A57">
              <w:rPr>
                <w:rFonts w:ascii="Arial" w:eastAsia="Times New Roman" w:hAnsi="Arial" w:cs="Arial"/>
                <w:color w:val="000000"/>
                <w:lang w:val="es-ES"/>
              </w:rPr>
              <w:t>&lt;0.001</w:t>
            </w:r>
          </w:p>
        </w:tc>
      </w:tr>
    </w:tbl>
    <w:p w14:paraId="28AA57EC" w14:textId="77777777" w:rsidR="00092C82" w:rsidRDefault="00092C82" w:rsidP="00092C82">
      <w:pPr>
        <w:spacing w:after="0"/>
        <w:rPr>
          <w:rFonts w:ascii="Arial" w:hAnsi="Arial" w:cs="Arial"/>
          <w:color w:val="000000"/>
        </w:rPr>
      </w:pPr>
      <w:r w:rsidRPr="006F19FB">
        <w:rPr>
          <w:rFonts w:ascii="Arial" w:hAnsi="Arial" w:cs="Arial"/>
          <w:color w:val="000000"/>
        </w:rPr>
        <w:t>FI31-NH: 31-item Frailty Index for Nursing Homes; HR: hazard ratio; CI: confidence interval; SD: standard deviation; IQR: interquartile range. Cox models were adjusted for age and sex and used complete-case data. HRs are expressed per 0.01-unit increase in FI31-NH. Sample sizes differed across windows because each analysis required FI31-NH computability and valid mortality follow-up within the corresponding baseline-window definition.</w:t>
      </w:r>
    </w:p>
    <w:p w14:paraId="5F171CE4" w14:textId="2D1B4AB2" w:rsidR="00BB0AD0" w:rsidRDefault="00BB0AD0">
      <w:pPr>
        <w:spacing w:line="480" w:lineRule="auto"/>
        <w:rPr>
          <w:rFonts w:ascii="Arial" w:eastAsia="Arial" w:hAnsi="Arial" w:cs="Arial"/>
          <w:b/>
          <w:bCs/>
        </w:rPr>
      </w:pPr>
    </w:p>
    <w:p w14:paraId="5F171CE5" w14:textId="77777777" w:rsidR="00BB0AD0" w:rsidRDefault="00BB0AD0">
      <w:pPr>
        <w:spacing w:line="480" w:lineRule="auto"/>
        <w:rPr>
          <w:rFonts w:ascii="Arial" w:eastAsia="Arial" w:hAnsi="Arial" w:cs="Arial"/>
        </w:rPr>
      </w:pPr>
    </w:p>
    <w:p w14:paraId="5F171CE6" w14:textId="77777777" w:rsidR="00BB0AD0" w:rsidRDefault="00BB0AD0"/>
    <w:sectPr w:rsidR="00BB0AD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5516A53-F75C-4FCB-8F24-2CAD5CD518BD}"/>
    <w:embedItalic r:id="rId2" w:fontKey="{287EAD94-1D50-4330-BE00-66376A64B6AA}"/>
  </w:font>
  <w:font w:name="Play">
    <w:charset w:val="00"/>
    <w:family w:val="auto"/>
    <w:pitch w:val="default"/>
    <w:embedRegular r:id="rId3" w:fontKey="{4D948157-19D1-497D-9756-15CB9FE35D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8DA77BD-C729-49D6-8FBB-4AC24EFF5A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5" w:fontKey="{42181CB4-9167-4AD1-8EC8-3833952B7B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D0"/>
    <w:rsid w:val="00092C82"/>
    <w:rsid w:val="00596DE6"/>
    <w:rsid w:val="00BB0AD0"/>
    <w:rsid w:val="00F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1CE2"/>
  <w15:docId w15:val="{BCF168AF-B5A5-486F-BC25-9D87189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142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142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142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142C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142C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142C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2C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2C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2CD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14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14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2C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2C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2C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2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2C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2CD5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142CD5"/>
    <w:rPr>
      <w:b/>
      <w:bCs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xtLIaIKHD7KdFqVQbQ5iRMe9Zw==">CgMxLjA4AHIhMVFfdi10UWxFaHpDYmRtVmZUNkxZU0kxU190cVJtZksw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828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LUIS GONZALEZ PASCUAL</dc:creator>
  <cp:lastModifiedBy>MARIA CABALLERO GALILEA</cp:lastModifiedBy>
  <cp:revision>2</cp:revision>
  <dcterms:created xsi:type="dcterms:W3CDTF">2026-02-02T16:45:00Z</dcterms:created>
  <dcterms:modified xsi:type="dcterms:W3CDTF">2026-06-21T20:26:00Z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a3394-03bb-460d-b0e0-929a41aa1fc7_Enabled">
    <vt:lpwstr>true</vt:lpwstr>
  </property>
  <property fmtid="{D5CDD505-2E9C-101B-9397-08002B2CF9AE}" pid="3" name="MSIP_Label_184a3394-03bb-460d-b0e0-929a41aa1fc7_SetDate">
    <vt:lpwstr>2026-02-02T16:46:24Z</vt:lpwstr>
  </property>
  <property fmtid="{D5CDD505-2E9C-101B-9397-08002B2CF9AE}" pid="4" name="MSIP_Label_184a3394-03bb-460d-b0e0-929a41aa1fc7_Method">
    <vt:lpwstr>Privileged</vt:lpwstr>
  </property>
  <property fmtid="{D5CDD505-2E9C-101B-9397-08002B2CF9AE}" pid="5" name="MSIP_Label_184a3394-03bb-460d-b0e0-929a41aa1fc7_Name">
    <vt:lpwstr>Público</vt:lpwstr>
  </property>
  <property fmtid="{D5CDD505-2E9C-101B-9397-08002B2CF9AE}" pid="6" name="MSIP_Label_184a3394-03bb-460d-b0e0-929a41aa1fc7_SiteId">
    <vt:lpwstr>cfab0009-84b7-4397-a0f8-f77cdf1579c1</vt:lpwstr>
  </property>
  <property fmtid="{D5CDD505-2E9C-101B-9397-08002B2CF9AE}" pid="7" name="MSIP_Label_184a3394-03bb-460d-b0e0-929a41aa1fc7_ActionId">
    <vt:lpwstr>1fa9032f-c728-498e-9421-fdb46fc49ebd</vt:lpwstr>
  </property>
  <property fmtid="{D5CDD505-2E9C-101B-9397-08002B2CF9AE}" pid="8" name="MSIP_Label_184a3394-03bb-460d-b0e0-929a41aa1fc7_ContentBits">
    <vt:lpwstr>0</vt:lpwstr>
  </property>
  <property fmtid="{D5CDD505-2E9C-101B-9397-08002B2CF9AE}" pid="9" name="MSIP_Label_184a3394-03bb-460d-b0e0-929a41aa1fc7_Tag">
    <vt:lpwstr>10, 0, 1, 1</vt:lpwstr>
  </property>
</Properties>
</file>