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B14A" w14:textId="77777777" w:rsidR="00F54D1A" w:rsidRPr="00BE467E" w:rsidRDefault="00F54D1A" w:rsidP="00F54D1A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Table 1.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Demographic and clinical features of patients presenting acute, visually significant postsurgical macular oedema (PSMO)</w:t>
      </w:r>
    </w:p>
    <w:tbl>
      <w:tblPr>
        <w:tblStyle w:val="LightGrid-Accent51"/>
        <w:tblW w:w="5006" w:type="pct"/>
        <w:tblInd w:w="-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1990"/>
        <w:gridCol w:w="2219"/>
      </w:tblGrid>
      <w:tr w:rsidR="00F54D1A" w:rsidRPr="00BE467E" w14:paraId="1E0DA004" w14:textId="77777777" w:rsidTr="00B57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14:paraId="0B385E2B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Clinical/Demographic feature (N=193)</w:t>
            </w:r>
          </w:p>
        </w:tc>
        <w:tc>
          <w:tcPr>
            <w:tcW w:w="110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14:paraId="0C815BE2" w14:textId="77777777" w:rsidR="00F54D1A" w:rsidRPr="00BE467E" w:rsidRDefault="00F54D1A" w:rsidP="00B574B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(n)</w:t>
            </w:r>
          </w:p>
        </w:tc>
        <w:tc>
          <w:tcPr>
            <w:tcW w:w="1228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14:paraId="59AEB2C9" w14:textId="77777777" w:rsidR="00F54D1A" w:rsidRPr="00BE467E" w:rsidRDefault="00F54D1A" w:rsidP="00B574B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(Percent)</w:t>
            </w:r>
          </w:p>
        </w:tc>
      </w:tr>
      <w:tr w:rsidR="00F54D1A" w:rsidRPr="00BE467E" w14:paraId="139CD070" w14:textId="77777777" w:rsidTr="00B5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0BC06883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Age (Mean ±SD)</w:t>
            </w:r>
          </w:p>
        </w:tc>
        <w:tc>
          <w:tcPr>
            <w:tcW w:w="1101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761FC3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28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1AD6232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71.5 (±10.6)</w:t>
            </w:r>
          </w:p>
        </w:tc>
      </w:tr>
      <w:tr w:rsidR="00F54D1A" w:rsidRPr="00BE467E" w14:paraId="379E96CE" w14:textId="77777777" w:rsidTr="00B574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1F51BFA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Gender</w:t>
            </w:r>
          </w:p>
          <w:p w14:paraId="333EFDA5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Males</w:t>
            </w:r>
          </w:p>
          <w:p w14:paraId="129562C9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Females</w:t>
            </w:r>
          </w:p>
        </w:tc>
        <w:tc>
          <w:tcPr>
            <w:tcW w:w="11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FB7A36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C1E24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  <w:p w14:paraId="7B6D3194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(85)</w:t>
            </w:r>
          </w:p>
        </w:tc>
        <w:tc>
          <w:tcPr>
            <w:tcW w:w="1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13E730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8EFFC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(55.9)</w:t>
            </w:r>
          </w:p>
          <w:p w14:paraId="233B5E55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(44.1)</w:t>
            </w:r>
          </w:p>
        </w:tc>
      </w:tr>
      <w:tr w:rsidR="00F54D1A" w:rsidRPr="00BE467E" w14:paraId="503040FA" w14:textId="77777777" w:rsidTr="00B5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A0C31F4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Affected eye</w:t>
            </w:r>
          </w:p>
          <w:p w14:paraId="20E544AB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Left eye (OD)</w:t>
            </w:r>
          </w:p>
          <w:p w14:paraId="16882499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Right eye (OG)</w:t>
            </w:r>
          </w:p>
        </w:tc>
        <w:tc>
          <w:tcPr>
            <w:tcW w:w="11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FF0B834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8CB0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(104)</w:t>
            </w:r>
          </w:p>
          <w:p w14:paraId="783D280E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(89)</w:t>
            </w:r>
          </w:p>
        </w:tc>
        <w:tc>
          <w:tcPr>
            <w:tcW w:w="1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36A568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47E98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(53.9)</w:t>
            </w:r>
          </w:p>
          <w:p w14:paraId="542951B4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(46.1)</w:t>
            </w:r>
          </w:p>
        </w:tc>
      </w:tr>
      <w:tr w:rsidR="00F54D1A" w:rsidRPr="00BE467E" w14:paraId="153A133C" w14:textId="77777777" w:rsidTr="00B574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639A7CF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Type of causal Pathology</w:t>
            </w:r>
          </w:p>
          <w:p w14:paraId="4CE7AD1B" w14:textId="77777777" w:rsidR="00F54D1A" w:rsidRPr="00BE467E" w:rsidRDefault="00F54D1A" w:rsidP="00B574B4">
            <w:pPr>
              <w:tabs>
                <w:tab w:val="left" w:pos="2448"/>
                <w:tab w:val="right" w:pos="3186"/>
              </w:tabs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Phacoemulsification (PKE)</w:t>
            </w:r>
          </w:p>
          <w:p w14:paraId="6EE8B6C7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Retinal detachment (RD)</w:t>
            </w:r>
          </w:p>
          <w:p w14:paraId="70B8E58E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Secondary Implantation</w:t>
            </w:r>
          </w:p>
          <w:p w14:paraId="004B5CC5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Others</w:t>
            </w:r>
          </w:p>
        </w:tc>
        <w:tc>
          <w:tcPr>
            <w:tcW w:w="11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329F7F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DB23D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(143)</w:t>
            </w:r>
          </w:p>
          <w:p w14:paraId="714BB3FC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  <w:p w14:paraId="0044C4FC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(09)</w:t>
            </w:r>
          </w:p>
          <w:p w14:paraId="6945A387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  <w:tc>
          <w:tcPr>
            <w:tcW w:w="1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9F63C9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F3E8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(74.1)</w:t>
            </w:r>
          </w:p>
          <w:p w14:paraId="4870D59C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(9.8)</w:t>
            </w:r>
          </w:p>
          <w:p w14:paraId="2BBFA2B5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(4.7)</w:t>
            </w:r>
          </w:p>
          <w:p w14:paraId="71D1B5D8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(11.4)</w:t>
            </w:r>
          </w:p>
        </w:tc>
      </w:tr>
      <w:tr w:rsidR="00F54D1A" w:rsidRPr="00BE467E" w14:paraId="34AF5ABD" w14:textId="77777777" w:rsidTr="00B5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7000B0B2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IN"/>
              </w:rPr>
              <w:t>General ACTD</w:t>
            </w:r>
          </w:p>
          <w:p w14:paraId="65879CF0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  <w:t>Diabetes</w:t>
            </w:r>
          </w:p>
          <w:p w14:paraId="1E9CA231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  <w:t>Hypertension</w:t>
            </w:r>
          </w:p>
          <w:p w14:paraId="7A070711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  <w:t>Others</w:t>
            </w:r>
          </w:p>
        </w:tc>
        <w:tc>
          <w:tcPr>
            <w:tcW w:w="11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70C23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  <w:p w14:paraId="75898962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  <w:p w14:paraId="38685962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(52)</w:t>
            </w:r>
          </w:p>
          <w:p w14:paraId="1639C3EB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1DD481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E334E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(10.8)</w:t>
            </w:r>
          </w:p>
          <w:p w14:paraId="0EB2F408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(26.8)</w:t>
            </w:r>
          </w:p>
          <w:p w14:paraId="02488F55" w14:textId="77777777" w:rsidR="00F54D1A" w:rsidRPr="00BE467E" w:rsidRDefault="00F54D1A" w:rsidP="00B574B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(2.1)</w:t>
            </w:r>
          </w:p>
        </w:tc>
      </w:tr>
      <w:tr w:rsidR="00F54D1A" w:rsidRPr="00BE467E" w14:paraId="4DDF79C1" w14:textId="77777777" w:rsidTr="00B574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638DA9B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Switched to other Treatment</w:t>
            </w:r>
          </w:p>
          <w:p w14:paraId="0E2743E7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ILUVIEN</w:t>
            </w:r>
          </w:p>
          <w:p w14:paraId="1364B55C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en-IN"/>
              </w:rPr>
              <w:t>KENACORT</w:t>
            </w:r>
          </w:p>
          <w:p w14:paraId="198E45FE" w14:textId="77777777" w:rsidR="00F54D1A" w:rsidRDefault="00F54D1A" w:rsidP="00B574B4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t xml:space="preserve">Laser focal </w:t>
            </w:r>
          </w:p>
          <w:p w14:paraId="021FE443" w14:textId="77777777" w:rsidR="00F54D1A" w:rsidRPr="00BE467E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t>OZURDEX</w:t>
            </w:r>
          </w:p>
          <w:p w14:paraId="1C84A0A7" w14:textId="77777777" w:rsidR="00F54D1A" w:rsidRPr="00EB7819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  <w:t>Phacoemulsification +</w:t>
            </w: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t xml:space="preserve"> Vitrectomy</w:t>
            </w:r>
          </w:p>
          <w:p w14:paraId="2713F6FF" w14:textId="77777777" w:rsidR="00F54D1A" w:rsidRPr="00EB7819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lastRenderedPageBreak/>
              <w:t xml:space="preserve">Vitrectomy </w:t>
            </w: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  <w:t>+</w:t>
            </w: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t xml:space="preserve"> Membrane épi Macular</w:t>
            </w:r>
          </w:p>
          <w:p w14:paraId="43F75453" w14:textId="77777777" w:rsidR="00F54D1A" w:rsidRPr="00EB7819" w:rsidRDefault="00F54D1A" w:rsidP="00B574B4">
            <w:pPr>
              <w:spacing w:line="480" w:lineRule="auto"/>
              <w:jc w:val="both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pt-BR"/>
              </w:rPr>
              <w:t>Vitrectomy</w:t>
            </w:r>
            <w:r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fr-FR"/>
              </w:rPr>
              <w:t>, Ozurdex</w:t>
            </w:r>
          </w:p>
        </w:tc>
        <w:tc>
          <w:tcPr>
            <w:tcW w:w="11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6ADD22" w14:textId="77777777" w:rsidR="00F54D1A" w:rsidRPr="00EB7819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8B200D2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14:paraId="3FD65D38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14:paraId="1DC31186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5F8415E6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  <w:p w14:paraId="6948F8AF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2F795380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(10)</w:t>
            </w:r>
          </w:p>
          <w:p w14:paraId="5C852DFD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42309A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F8127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(2.1)</w:t>
            </w:r>
          </w:p>
          <w:p w14:paraId="0F1A7CBA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(2.1)</w:t>
            </w:r>
          </w:p>
          <w:p w14:paraId="062FB0F5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  <w:p w14:paraId="6EA4621F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(8.8)</w:t>
            </w:r>
          </w:p>
          <w:p w14:paraId="3355252A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  <w:p w14:paraId="647F974B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(5.1)</w:t>
            </w:r>
          </w:p>
          <w:p w14:paraId="0DDC0CB0" w14:textId="77777777" w:rsidR="00F54D1A" w:rsidRPr="00BE467E" w:rsidRDefault="00F54D1A" w:rsidP="00B574B4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</w:tc>
      </w:tr>
    </w:tbl>
    <w:p w14:paraId="114EB556" w14:textId="77777777" w:rsidR="00F54D1A" w:rsidRPr="00BE467E" w:rsidRDefault="00F54D1A" w:rsidP="00F54D1A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sz w:val="24"/>
          <w:szCs w:val="24"/>
          <w:lang w:val="en-IN"/>
        </w:rPr>
        <w:lastRenderedPageBreak/>
        <w:t>The numbers represent frequency (n) and percent, unless specified otherwise. The numbers may not add up to the total due to missing values in some variables.</w:t>
      </w:r>
    </w:p>
    <w:p w14:paraId="59ED6F4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1A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E2B43"/>
    <w:rsid w:val="00B10170"/>
    <w:rsid w:val="00B260B7"/>
    <w:rsid w:val="00B85331"/>
    <w:rsid w:val="00C94D66"/>
    <w:rsid w:val="00DE7E69"/>
    <w:rsid w:val="00E023F9"/>
    <w:rsid w:val="00F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C6DA"/>
  <w15:chartTrackingRefBased/>
  <w15:docId w15:val="{88570776-9050-494E-B2BC-CC95D120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D1A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D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D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D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D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D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D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D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D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D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5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D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5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D1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54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D1A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F54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D1A"/>
    <w:rPr>
      <w:b/>
      <w:bCs/>
      <w:smallCaps/>
      <w:color w:val="0F4761" w:themeColor="accent1" w:themeShade="BF"/>
      <w:spacing w:val="5"/>
    </w:rPr>
  </w:style>
  <w:style w:type="table" w:customStyle="1" w:styleId="LightGrid-Accent51">
    <w:name w:val="Light Grid - Accent 51"/>
    <w:basedOn w:val="TableNormal"/>
    <w:next w:val="LightGrid-Accent5"/>
    <w:uiPriority w:val="62"/>
    <w:semiHidden/>
    <w:unhideWhenUsed/>
    <w:rsid w:val="00F54D1A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54D1A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2026-08-07T10:01:00Z</dcterms:created>
  <dcterms:modified xsi:type="dcterms:W3CDTF">2026-08-07T10:05:00Z</dcterms:modified>
</cp:coreProperties>
</file>