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3F09" w:rsidRPr="00AF5689" w:rsidRDefault="00E63F09" w:rsidP="00E63F09">
      <w:pPr>
        <w:spacing w:line="288" w:lineRule="auto"/>
        <w:rPr>
          <w:rFonts w:ascii="Times New Roman" w:eastAsia="SimHei" w:hAnsi="Times New Roman" w:cs="Times New Roman"/>
          <w:b/>
          <w:sz w:val="28"/>
          <w:szCs w:val="24"/>
        </w:rPr>
        <w:sectPr w:rsidR="00E63F09" w:rsidRPr="00AF5689" w:rsidSect="001C7E9B">
          <w:pgSz w:w="11906" w:h="16838"/>
          <w:pgMar w:top="1134" w:right="1134" w:bottom="1134" w:left="1134" w:header="851" w:footer="992" w:gutter="0"/>
          <w:lnNumType w:countBy="1" w:restart="continuous"/>
          <w:cols w:space="425"/>
          <w:docGrid w:type="lines" w:linePitch="312"/>
        </w:sectPr>
      </w:pPr>
      <w:bookmarkStart w:id="0" w:name="_Hlk75421907"/>
    </w:p>
    <w:p w:rsidR="00E63F09" w:rsidRPr="00AF5689" w:rsidRDefault="00E63F09" w:rsidP="00E63F09">
      <w:pPr>
        <w:spacing w:line="288" w:lineRule="auto"/>
        <w:rPr>
          <w:rFonts w:ascii="Times New Roman" w:eastAsia="SimHei" w:hAnsi="Times New Roman" w:cs="Times New Roman"/>
          <w:b/>
          <w:sz w:val="28"/>
          <w:szCs w:val="24"/>
        </w:rPr>
      </w:pPr>
      <w:r w:rsidRPr="00AF5689">
        <w:rPr>
          <w:rFonts w:ascii="Times New Roman" w:eastAsia="SimHei" w:hAnsi="Times New Roman" w:cs="Times New Roman"/>
          <w:b/>
          <w:sz w:val="28"/>
          <w:szCs w:val="24"/>
        </w:rPr>
        <w:t xml:space="preserve">Appendix A: </w:t>
      </w:r>
    </w:p>
    <w:bookmarkEnd w:id="0"/>
    <w:p w:rsidR="00E63F09" w:rsidRPr="00AF5689" w:rsidRDefault="00E63F09" w:rsidP="00E63F09">
      <w:pPr>
        <w:spacing w:line="288" w:lineRule="auto"/>
        <w:rPr>
          <w:rFonts w:ascii="Times New Roman" w:eastAsia="SimHei" w:hAnsi="Times New Roman" w:cs="Times New Roman"/>
          <w:b/>
          <w:sz w:val="28"/>
          <w:szCs w:val="24"/>
        </w:rPr>
      </w:pPr>
    </w:p>
    <w:p w:rsidR="00E63F09" w:rsidRPr="00AF5689" w:rsidRDefault="00E63F09" w:rsidP="00E63F09">
      <w:pPr>
        <w:spacing w:line="288" w:lineRule="auto"/>
        <w:rPr>
          <w:rFonts w:ascii="Arial" w:eastAsia="SimHei" w:hAnsi="Arial" w:cs="Arial"/>
          <w:b/>
          <w:sz w:val="22"/>
        </w:rPr>
      </w:pPr>
      <w:r w:rsidRPr="00AF5689">
        <w:rPr>
          <w:rFonts w:ascii="Arial" w:hAnsi="Arial" w:cs="Arial"/>
          <w:b/>
          <w:bCs/>
          <w:sz w:val="22"/>
        </w:rPr>
        <w:t>Table 5.</w:t>
      </w:r>
      <w:r w:rsidRPr="00AF5689">
        <w:rPr>
          <w:rFonts w:ascii="Arial" w:hAnsi="Arial" w:cs="Arial"/>
          <w:sz w:val="22"/>
        </w:rPr>
        <w:t xml:space="preserve"> List of parameterization options available in COSIMA (Huintjes et al., 2015)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390"/>
        <w:gridCol w:w="2847"/>
        <w:gridCol w:w="3401"/>
      </w:tblGrid>
      <w:tr w:rsidR="00E63F09" w:rsidRPr="00AF5689" w:rsidTr="00946036">
        <w:trPr>
          <w:trHeight w:val="540"/>
        </w:trPr>
        <w:tc>
          <w:tcPr>
            <w:tcW w:w="33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Parameter(ization)</w:t>
            </w:r>
          </w:p>
        </w:tc>
        <w:tc>
          <w:tcPr>
            <w:tcW w:w="284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Value</w:t>
            </w:r>
          </w:p>
        </w:tc>
        <w:tc>
          <w:tcPr>
            <w:tcW w:w="34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References</w:t>
            </w:r>
          </w:p>
        </w:tc>
      </w:tr>
      <w:tr w:rsidR="00E63F09" w:rsidRPr="00AF5689" w:rsidTr="00946036">
        <w:trPr>
          <w:trHeight w:val="300"/>
        </w:trPr>
        <w:tc>
          <w:tcPr>
            <w:tcW w:w="33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SW</w:t>
            </w:r>
            <w:r w:rsidRPr="00AF5689">
              <w:rPr>
                <w:rFonts w:ascii="Times New Roman" w:eastAsia="DengXian" w:hAnsi="Times New Roman" w:cs="Times New Roman"/>
                <w:kern w:val="0"/>
                <w:sz w:val="22"/>
                <w:vertAlign w:val="subscript"/>
              </w:rPr>
              <w:t>in</w:t>
            </w:r>
          </w:p>
        </w:tc>
        <w:tc>
          <w:tcPr>
            <w:tcW w:w="28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Measurement or calculation</w:t>
            </w:r>
          </w:p>
        </w:tc>
        <w:tc>
          <w:tcPr>
            <w:tcW w:w="34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measurement, Kumar et al. (1997)</w:t>
            </w:r>
          </w:p>
        </w:tc>
      </w:tr>
      <w:tr w:rsidR="00E63F09" w:rsidRPr="00AF5689" w:rsidTr="00946036">
        <w:trPr>
          <w:trHeight w:val="540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LW</w:t>
            </w:r>
            <w:r w:rsidRPr="00AF5689">
              <w:rPr>
                <w:rFonts w:ascii="Times New Roman" w:eastAsia="DengXian" w:hAnsi="Times New Roman" w:cs="Times New Roman"/>
                <w:kern w:val="0"/>
                <w:sz w:val="22"/>
                <w:vertAlign w:val="subscript"/>
              </w:rPr>
              <w:t>in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calculation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Klok and Oerlemans (2002)</w:t>
            </w:r>
          </w:p>
        </w:tc>
      </w:tr>
      <w:tr w:rsidR="00E63F09" w:rsidRPr="00AF5689" w:rsidTr="00946036">
        <w:trPr>
          <w:trHeight w:val="300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Cloud cover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calculation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Favier et al. (2004)</w:t>
            </w:r>
          </w:p>
        </w:tc>
      </w:tr>
      <w:tr w:rsidR="00E63F09" w:rsidRPr="00AF5689" w:rsidTr="00946036">
        <w:trPr>
          <w:trHeight w:val="300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Surface albedo scheme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calculated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Oerlemans and Knap (1998)</w:t>
            </w:r>
          </w:p>
        </w:tc>
      </w:tr>
      <w:tr w:rsidR="00E63F09" w:rsidRPr="00AF5689" w:rsidTr="00946036">
        <w:trPr>
          <w:trHeight w:val="300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Stable condition effect on turbulence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calculation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Braithwaite (1995)</w:t>
            </w:r>
          </w:p>
        </w:tc>
      </w:tr>
      <w:tr w:rsidR="00E63F09" w:rsidRPr="00AF5689" w:rsidTr="00946036">
        <w:trPr>
          <w:trHeight w:val="300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Bulk transfer coefficients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calculation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Braithwaite (1995)</w:t>
            </w:r>
          </w:p>
        </w:tc>
      </w:tr>
      <w:tr w:rsidR="00E63F09" w:rsidRPr="00AF5689" w:rsidTr="00946036">
        <w:trPr>
          <w:trHeight w:val="300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Vertical air temperature gradient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-0.01175 ℃ m</w:t>
            </w:r>
            <w:r w:rsidRPr="00AF5689">
              <w:rPr>
                <w:rFonts w:ascii="Times New Roman" w:eastAsia="DengXian" w:hAnsi="Times New Roman" w:cs="Times New Roman"/>
                <w:kern w:val="0"/>
                <w:sz w:val="22"/>
                <w:vertAlign w:val="superscript"/>
              </w:rPr>
              <w:t>–1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measurement</w:t>
            </w:r>
          </w:p>
        </w:tc>
      </w:tr>
      <w:tr w:rsidR="00E63F09" w:rsidRPr="00AF5689" w:rsidTr="00946036">
        <w:trPr>
          <w:trHeight w:val="300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Vertical precipitation gradient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0.00079% m</w:t>
            </w:r>
            <w:r w:rsidRPr="00AF5689">
              <w:rPr>
                <w:rFonts w:ascii="Times New Roman" w:eastAsia="DengXian" w:hAnsi="Times New Roman" w:cs="Times New Roman"/>
                <w:kern w:val="0"/>
                <w:sz w:val="22"/>
                <w:vertAlign w:val="superscript"/>
              </w:rPr>
              <w:t>–1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measurement</w:t>
            </w:r>
          </w:p>
        </w:tc>
      </w:tr>
      <w:tr w:rsidR="00E63F09" w:rsidRPr="00AF5689" w:rsidTr="00946036">
        <w:trPr>
          <w:trHeight w:val="300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Vertical humidity gradient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0.022% m</w:t>
            </w:r>
            <w:r w:rsidRPr="00AF5689">
              <w:rPr>
                <w:rFonts w:ascii="Times New Roman" w:eastAsia="DengXian" w:hAnsi="Times New Roman" w:cs="Times New Roman"/>
                <w:kern w:val="0"/>
                <w:sz w:val="22"/>
                <w:vertAlign w:val="superscript"/>
              </w:rPr>
              <w:t>–1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measurement</w:t>
            </w:r>
          </w:p>
        </w:tc>
      </w:tr>
      <w:tr w:rsidR="00E63F09" w:rsidRPr="00AF5689" w:rsidTr="00946036">
        <w:trPr>
          <w:trHeight w:val="300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Vertical air pressure gradient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-0.067 hPa m</w:t>
            </w:r>
            <w:r w:rsidRPr="00AF5689">
              <w:rPr>
                <w:rFonts w:ascii="Times New Roman" w:eastAsia="DengXian" w:hAnsi="Times New Roman" w:cs="Times New Roman"/>
                <w:kern w:val="0"/>
                <w:sz w:val="22"/>
                <w:vertAlign w:val="superscript"/>
              </w:rPr>
              <w:t>–1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measurement</w:t>
            </w:r>
          </w:p>
        </w:tc>
      </w:tr>
      <w:tr w:rsidR="00E63F09" w:rsidRPr="00AF5689" w:rsidTr="00946036">
        <w:trPr>
          <w:trHeight w:val="600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Upper threshold for precipitation phase (all liquid above)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measurement; Jia et al. (2020)</w:t>
            </w:r>
          </w:p>
        </w:tc>
      </w:tr>
      <w:tr w:rsidR="00E63F09" w:rsidRPr="00AF5689" w:rsidTr="00946036">
        <w:trPr>
          <w:trHeight w:val="600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Lower threshold for precipitation phase (all solid below)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measurement; Jia et al. (2020)</w:t>
            </w:r>
          </w:p>
        </w:tc>
      </w:tr>
      <w:tr w:rsidR="00E63F09" w:rsidRPr="00AF5689" w:rsidTr="00946036">
        <w:trPr>
          <w:trHeight w:val="600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Initial vertical snow depth gradient over altitude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0.0015 m m</w:t>
            </w:r>
            <w:r w:rsidRPr="00AF5689">
              <w:rPr>
                <w:rFonts w:ascii="Times New Roman" w:eastAsia="DengXian" w:hAnsi="Times New Roman" w:cs="Times New Roman"/>
                <w:kern w:val="0"/>
                <w:sz w:val="22"/>
                <w:vertAlign w:val="superscript"/>
              </w:rPr>
              <w:t>–1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measurement</w:t>
            </w:r>
          </w:p>
        </w:tc>
      </w:tr>
      <w:tr w:rsidR="00E63F09" w:rsidRPr="00AF5689" w:rsidTr="00946036">
        <w:trPr>
          <w:trHeight w:val="600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Initial temperature profile for the total domain depth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linear from air to bottom temperature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assumption</w:t>
            </w:r>
          </w:p>
        </w:tc>
      </w:tr>
      <w:tr w:rsidR="00E63F09" w:rsidRPr="00AF5689" w:rsidTr="00946036">
        <w:trPr>
          <w:trHeight w:val="300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fixed bottom temperature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 w:hint="eastAsia"/>
                <w:kern w:val="0"/>
                <w:sz w:val="22"/>
              </w:rPr>
              <w:t>2</w:t>
            </w: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66.15 K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measurement</w:t>
            </w:r>
          </w:p>
        </w:tc>
      </w:tr>
      <w:tr w:rsidR="00E63F09" w:rsidRPr="00AF5689" w:rsidTr="00946036">
        <w:trPr>
          <w:trHeight w:val="300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Thermal conductivity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calculated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Anderson (1976)</w:t>
            </w:r>
          </w:p>
        </w:tc>
      </w:tr>
      <w:tr w:rsidR="00E63F09" w:rsidRPr="00AF5689" w:rsidTr="00946036">
        <w:trPr>
          <w:trHeight w:val="300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Densification of dry snow pack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calculated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Herron and Langway (1980)</w:t>
            </w:r>
          </w:p>
        </w:tc>
      </w:tr>
      <w:tr w:rsidR="00E63F09" w:rsidRPr="00AF5689" w:rsidTr="00946036">
        <w:trPr>
          <w:trHeight w:val="300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Thermal diffusivity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calculated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Sturm et al. (1997)</w:t>
            </w:r>
          </w:p>
        </w:tc>
      </w:tr>
      <w:tr w:rsidR="00E63F09" w:rsidRPr="00AF5689" w:rsidTr="00946036">
        <w:trPr>
          <w:trHeight w:val="300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Cold content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calculated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Cogley et al. (2011)</w:t>
            </w:r>
          </w:p>
        </w:tc>
      </w:tr>
      <w:tr w:rsidR="00E63F09" w:rsidRPr="00AF5689" w:rsidTr="00946036">
        <w:trPr>
          <w:trHeight w:val="600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bookmarkStart w:id="1" w:name="_Hlk75335641"/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Fraction of SW</w:t>
            </w:r>
            <w:r w:rsidRPr="00AF5689">
              <w:rPr>
                <w:rFonts w:ascii="Times New Roman" w:eastAsia="DengXian" w:hAnsi="Times New Roman" w:cs="Times New Roman"/>
                <w:kern w:val="0"/>
                <w:sz w:val="22"/>
                <w:vertAlign w:val="subscript"/>
              </w:rPr>
              <w:t>net</w:t>
            </w: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absorbed in surface layer</w:t>
            </w:r>
            <w:bookmarkEnd w:id="1"/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(ice)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0.8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Bintanja and van den Broeke (1995); Mölg et al. (2012)</w:t>
            </w:r>
          </w:p>
        </w:tc>
      </w:tr>
      <w:tr w:rsidR="00E63F09" w:rsidRPr="00AF5689" w:rsidTr="00946036">
        <w:trPr>
          <w:trHeight w:val="600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Fraction of SW</w:t>
            </w:r>
            <w:r w:rsidRPr="00AF5689">
              <w:rPr>
                <w:rFonts w:ascii="Times New Roman" w:eastAsia="DengXian" w:hAnsi="Times New Roman" w:cs="Times New Roman"/>
                <w:kern w:val="0"/>
                <w:sz w:val="22"/>
                <w:vertAlign w:val="subscript"/>
              </w:rPr>
              <w:t>net</w:t>
            </w: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 xml:space="preserve"> absorbed in surface layer (snow)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0.9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Bintanja and van den Broeke (1995); Mölg et al. (2012)</w:t>
            </w:r>
          </w:p>
        </w:tc>
      </w:tr>
      <w:tr w:rsidR="00E63F09" w:rsidRPr="00AF5689" w:rsidTr="00946036">
        <w:trPr>
          <w:trHeight w:val="600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Extinction coefficient of penetrating SW radiation (ice)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2.5 m</w:t>
            </w:r>
            <w:r w:rsidRPr="00AF5689">
              <w:rPr>
                <w:rFonts w:ascii="Times New Roman" w:eastAsia="DengXian" w:hAnsi="Times New Roman" w:cs="Times New Roman"/>
                <w:kern w:val="0"/>
                <w:sz w:val="22"/>
                <w:vertAlign w:val="superscript"/>
              </w:rPr>
              <w:t>-1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Bintanja and van den Broeke (1995); Mölg et al. (2012)</w:t>
            </w:r>
          </w:p>
        </w:tc>
      </w:tr>
      <w:tr w:rsidR="00E63F09" w:rsidRPr="00AF5689" w:rsidTr="00946036">
        <w:trPr>
          <w:trHeight w:val="600"/>
        </w:trPr>
        <w:tc>
          <w:tcPr>
            <w:tcW w:w="3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Extinction coefficient of penetrating SW radiation (snow)</w:t>
            </w:r>
          </w:p>
        </w:tc>
        <w:tc>
          <w:tcPr>
            <w:tcW w:w="2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17.1 m</w:t>
            </w:r>
            <w:r w:rsidRPr="00AF5689">
              <w:rPr>
                <w:rFonts w:ascii="Times New Roman" w:eastAsia="DengXian" w:hAnsi="Times New Roman" w:cs="Times New Roman"/>
                <w:kern w:val="0"/>
                <w:sz w:val="22"/>
                <w:vertAlign w:val="superscript"/>
              </w:rPr>
              <w:t>-1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Bintanja and van den Broeke (1995); Mölg et al. (2012)</w:t>
            </w:r>
          </w:p>
        </w:tc>
      </w:tr>
      <w:tr w:rsidR="00E63F09" w:rsidRPr="00AF5689" w:rsidTr="00946036">
        <w:trPr>
          <w:trHeight w:val="900"/>
        </w:trPr>
        <w:tc>
          <w:tcPr>
            <w:tcW w:w="33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Initial snow density profile for the total snow pack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linear increase with depth from 250 to 550 kg m</w:t>
            </w:r>
            <w:r w:rsidRPr="00AF5689">
              <w:rPr>
                <w:rFonts w:ascii="Times New Roman" w:eastAsia="DengXian" w:hAnsi="Times New Roman" w:cs="Times New Roman"/>
                <w:kern w:val="0"/>
                <w:sz w:val="22"/>
                <w:vertAlign w:val="superscript"/>
              </w:rPr>
              <w:t>–3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 w:val="22"/>
              </w:rPr>
              <w:t>assumption</w:t>
            </w:r>
          </w:p>
        </w:tc>
      </w:tr>
    </w:tbl>
    <w:p w:rsidR="00E63F09" w:rsidRPr="00AF5689" w:rsidRDefault="00E63F09" w:rsidP="00E63F09">
      <w:pPr>
        <w:spacing w:line="288" w:lineRule="auto"/>
        <w:rPr>
          <w:rFonts w:ascii="Times New Roman" w:eastAsia="SimHei" w:hAnsi="Times New Roman" w:cs="Times New Roman"/>
          <w:b/>
          <w:sz w:val="28"/>
          <w:szCs w:val="24"/>
        </w:rPr>
      </w:pPr>
    </w:p>
    <w:p w:rsidR="00E63F09" w:rsidRPr="00AF5689" w:rsidRDefault="00E63F09" w:rsidP="00E63F09">
      <w:pPr>
        <w:spacing w:line="288" w:lineRule="auto"/>
        <w:rPr>
          <w:rFonts w:ascii="Times New Roman" w:eastAsia="SimHei" w:hAnsi="Times New Roman" w:cs="Times New Roman"/>
          <w:b/>
          <w:sz w:val="28"/>
          <w:szCs w:val="24"/>
        </w:rPr>
      </w:pPr>
    </w:p>
    <w:p w:rsidR="00E63F09" w:rsidRPr="00AF5689" w:rsidRDefault="00E63F09" w:rsidP="00E63F09">
      <w:pPr>
        <w:spacing w:line="288" w:lineRule="auto"/>
        <w:rPr>
          <w:rFonts w:ascii="Times New Roman" w:eastAsia="SimHei" w:hAnsi="Times New Roman" w:cs="Times New Roman"/>
          <w:b/>
          <w:sz w:val="28"/>
          <w:szCs w:val="24"/>
        </w:rPr>
        <w:sectPr w:rsidR="00E63F09" w:rsidRPr="00AF5689" w:rsidSect="00A86C4C">
          <w:type w:val="continuous"/>
          <w:pgSz w:w="11906" w:h="16838"/>
          <w:pgMar w:top="1134" w:right="1134" w:bottom="1134" w:left="1134" w:header="851" w:footer="992" w:gutter="0"/>
          <w:lnNumType w:countBy="1" w:restart="continuous"/>
          <w:cols w:space="425"/>
          <w:docGrid w:type="lines" w:linePitch="312"/>
        </w:sectPr>
      </w:pPr>
    </w:p>
    <w:p w:rsidR="00E63F09" w:rsidRPr="00AF5689" w:rsidRDefault="00E63F09" w:rsidP="00E63F09">
      <w:pPr>
        <w:spacing w:line="288" w:lineRule="auto"/>
        <w:rPr>
          <w:rFonts w:ascii="Times New Roman" w:eastAsia="SimHei" w:hAnsi="Times New Roman" w:cs="Times New Roman"/>
          <w:b/>
          <w:sz w:val="28"/>
          <w:szCs w:val="24"/>
        </w:rPr>
      </w:pPr>
      <w:r w:rsidRPr="00AF5689">
        <w:rPr>
          <w:rFonts w:ascii="Times New Roman" w:eastAsia="SimHei" w:hAnsi="Times New Roman" w:cs="Times New Roman"/>
          <w:b/>
          <w:sz w:val="28"/>
          <w:szCs w:val="24"/>
        </w:rPr>
        <w:t xml:space="preserve">Appendix </w:t>
      </w:r>
      <w:r w:rsidRPr="00AF5689">
        <w:rPr>
          <w:rFonts w:ascii="Times New Roman" w:eastAsia="SimHei" w:hAnsi="Times New Roman" w:cs="Times New Roman" w:hint="eastAsia"/>
          <w:b/>
          <w:sz w:val="28"/>
          <w:szCs w:val="24"/>
        </w:rPr>
        <w:t>B</w:t>
      </w:r>
      <w:r w:rsidRPr="00AF5689">
        <w:rPr>
          <w:rFonts w:ascii="Times New Roman" w:eastAsia="SimHei" w:hAnsi="Times New Roman" w:cs="Times New Roman"/>
          <w:b/>
          <w:sz w:val="28"/>
          <w:szCs w:val="24"/>
        </w:rPr>
        <w:t xml:space="preserve">: </w:t>
      </w:r>
    </w:p>
    <w:p w:rsidR="00E63F09" w:rsidRPr="00AF5689" w:rsidRDefault="00E63F09" w:rsidP="00E63F09">
      <w:pPr>
        <w:spacing w:line="288" w:lineRule="auto"/>
        <w:rPr>
          <w:rFonts w:ascii="Times New Roman" w:eastAsia="SimHei" w:hAnsi="Times New Roman" w:cs="Times New Roman"/>
          <w:b/>
          <w:sz w:val="28"/>
          <w:szCs w:val="24"/>
        </w:rPr>
      </w:pPr>
    </w:p>
    <w:p w:rsidR="00E63F09" w:rsidRPr="00AF5689" w:rsidRDefault="00E63F09" w:rsidP="00E63F09">
      <w:pPr>
        <w:spacing w:after="120" w:line="288" w:lineRule="auto"/>
        <w:rPr>
          <w:rFonts w:ascii="Arial" w:eastAsia="SimSun" w:hAnsi="Arial" w:cs="Arial"/>
          <w:szCs w:val="21"/>
        </w:rPr>
      </w:pPr>
      <w:bookmarkStart w:id="2" w:name="_Hlk64284566"/>
      <w:r w:rsidRPr="00AF5689">
        <w:rPr>
          <w:rFonts w:ascii="Arial" w:eastAsia="SimSun" w:hAnsi="Arial" w:cs="Arial"/>
          <w:b/>
          <w:bCs/>
          <w:szCs w:val="21"/>
        </w:rPr>
        <w:t xml:space="preserve">Table 6. </w:t>
      </w:r>
      <w:r w:rsidRPr="00AF5689">
        <w:rPr>
          <w:rFonts w:ascii="Arial" w:eastAsia="SimSun" w:hAnsi="Arial" w:cs="Arial"/>
          <w:szCs w:val="21"/>
        </w:rPr>
        <w:t>The sensiti</w:t>
      </w:r>
      <w:bookmarkEnd w:id="2"/>
      <w:r w:rsidRPr="00AF5689">
        <w:rPr>
          <w:rFonts w:ascii="Arial" w:eastAsia="SimSun" w:hAnsi="Arial" w:cs="Arial"/>
          <w:szCs w:val="21"/>
        </w:rPr>
        <w:t>vity of input parameters. The base value (V) and range (R) were taken from the stated references.</w:t>
      </w:r>
      <w:r w:rsidRPr="00AF5689">
        <w:rPr>
          <w:rFonts w:ascii="Arial" w:hAnsi="Arial" w:cs="Arial"/>
          <w:szCs w:val="21"/>
        </w:rPr>
        <w:fldChar w:fldCharType="begin"/>
      </w:r>
      <w:r w:rsidRPr="00AF5689">
        <w:rPr>
          <w:rFonts w:ascii="Arial" w:hAnsi="Arial" w:cs="Arial"/>
          <w:szCs w:val="21"/>
        </w:rPr>
        <w:instrText xml:space="preserve"> LINK Excel.Sheet.12</w:instrText>
      </w:r>
      <w:r w:rsidRPr="00AF5689">
        <w:rPr>
          <w:rFonts w:ascii="Arial" w:hAnsi="Arial" w:cs="Arial" w:hint="eastAsia"/>
          <w:szCs w:val="21"/>
        </w:rPr>
        <w:instrText xml:space="preserve"> E:\\</w:instrText>
      </w:r>
      <w:r w:rsidRPr="00AF5689">
        <w:rPr>
          <w:rFonts w:ascii="Arial" w:hAnsi="Arial" w:cs="Arial" w:hint="eastAsia"/>
          <w:szCs w:val="21"/>
        </w:rPr>
        <w:instrText>工作</w:instrText>
      </w:r>
      <w:r w:rsidRPr="00AF5689">
        <w:rPr>
          <w:rFonts w:ascii="Arial" w:hAnsi="Arial" w:cs="Arial" w:hint="eastAsia"/>
          <w:szCs w:val="21"/>
        </w:rPr>
        <w:instrText>\\</w:instrText>
      </w:r>
      <w:r w:rsidRPr="00AF5689">
        <w:rPr>
          <w:rFonts w:ascii="Arial" w:hAnsi="Arial" w:cs="Arial" w:hint="eastAsia"/>
          <w:szCs w:val="21"/>
        </w:rPr>
        <w:instrText>迁移</w:instrText>
      </w:r>
      <w:r w:rsidRPr="00AF5689">
        <w:rPr>
          <w:rFonts w:ascii="Arial" w:hAnsi="Arial" w:cs="Arial" w:hint="eastAsia"/>
          <w:szCs w:val="21"/>
        </w:rPr>
        <w:instrText>\\</w:instrText>
      </w:r>
      <w:r w:rsidRPr="00AF5689">
        <w:rPr>
          <w:rFonts w:ascii="Arial" w:hAnsi="Arial" w:cs="Arial" w:hint="eastAsia"/>
          <w:szCs w:val="21"/>
        </w:rPr>
        <w:instrText>便捷方式</w:instrText>
      </w:r>
      <w:r w:rsidRPr="00AF5689">
        <w:rPr>
          <w:rFonts w:ascii="Arial" w:hAnsi="Arial" w:cs="Arial" w:hint="eastAsia"/>
          <w:szCs w:val="21"/>
        </w:rPr>
        <w:instrText>\\</w:instrText>
      </w:r>
      <w:r w:rsidRPr="00AF5689">
        <w:rPr>
          <w:rFonts w:ascii="Arial" w:hAnsi="Arial" w:cs="Arial" w:hint="eastAsia"/>
          <w:szCs w:val="21"/>
        </w:rPr>
        <w:instrText>能量通量平均值确认检查重复</w:instrText>
      </w:r>
      <w:r w:rsidRPr="00AF5689">
        <w:rPr>
          <w:rFonts w:ascii="Arial" w:hAnsi="Arial" w:cs="Arial" w:hint="eastAsia"/>
          <w:szCs w:val="21"/>
        </w:rPr>
        <w:instrText xml:space="preserve">1.xlsx </w:instrText>
      </w:r>
      <w:r w:rsidRPr="00AF5689">
        <w:rPr>
          <w:rFonts w:ascii="Arial" w:hAnsi="Arial" w:cs="Arial" w:hint="eastAsia"/>
          <w:szCs w:val="21"/>
        </w:rPr>
        <w:instrText>能量与物质表格</w:instrText>
      </w:r>
      <w:r w:rsidRPr="00AF5689">
        <w:rPr>
          <w:rFonts w:ascii="Arial" w:hAnsi="Arial" w:cs="Arial" w:hint="eastAsia"/>
          <w:szCs w:val="21"/>
        </w:rPr>
        <w:instrText xml:space="preserve">!R63C33:R86C35 </w:instrText>
      </w:r>
      <w:r w:rsidRPr="00AF5689">
        <w:rPr>
          <w:rFonts w:ascii="Arial" w:hAnsi="Arial" w:cs="Arial"/>
          <w:szCs w:val="21"/>
        </w:rPr>
        <w:instrText xml:space="preserve">\a \f 4 \h  \* MERGEFORMAT </w:instrText>
      </w:r>
      <w:r w:rsidRPr="00AF5689">
        <w:rPr>
          <w:rFonts w:ascii="Arial" w:hAnsi="Arial" w:cs="Arial"/>
          <w:szCs w:val="21"/>
        </w:rPr>
        <w:fldChar w:fldCharType="separate"/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658"/>
        <w:gridCol w:w="2644"/>
        <w:gridCol w:w="2616"/>
        <w:gridCol w:w="3720"/>
      </w:tblGrid>
      <w:tr w:rsidR="00E63F09" w:rsidRPr="00AF5689" w:rsidTr="00946036">
        <w:trPr>
          <w:trHeight w:val="315"/>
        </w:trPr>
        <w:tc>
          <w:tcPr>
            <w:tcW w:w="34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37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Parameter</w:t>
            </w:r>
          </w:p>
        </w:tc>
        <w:tc>
          <w:tcPr>
            <w:tcW w:w="135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Base Value and uncertainty</w:t>
            </w:r>
          </w:p>
        </w:tc>
        <w:tc>
          <w:tcPr>
            <w:tcW w:w="193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References</w:t>
            </w:r>
          </w:p>
        </w:tc>
      </w:tr>
      <w:tr w:rsidR="00E63F09" w:rsidRPr="00AF5689" w:rsidTr="00946036">
        <w:trPr>
          <w:trHeight w:val="300"/>
        </w:trPr>
        <w:tc>
          <w:tcPr>
            <w:tcW w:w="341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 w:hint="eastAsia"/>
                <w:kern w:val="0"/>
                <w:szCs w:val="21"/>
              </w:rPr>
              <w:t>1</w:t>
            </w:r>
          </w:p>
        </w:tc>
        <w:tc>
          <w:tcPr>
            <w:tcW w:w="137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Vertical temperature gradient</w:t>
            </w: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V: 1.175 ℃/100 m</w:t>
            </w:r>
          </w:p>
        </w:tc>
        <w:tc>
          <w:tcPr>
            <w:tcW w:w="19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assumed</w:t>
            </w:r>
          </w:p>
        </w:tc>
      </w:tr>
      <w:tr w:rsidR="00E63F09" w:rsidRPr="00AF5689" w:rsidTr="00946036">
        <w:trPr>
          <w:trHeight w:val="300"/>
        </w:trPr>
        <w:tc>
          <w:tcPr>
            <w:tcW w:w="341" w:type="pct"/>
            <w:vMerge/>
            <w:tcBorders>
              <w:left w:val="nil"/>
              <w:bottom w:val="nil"/>
              <w:right w:val="nil"/>
            </w:tcBorders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37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U: ±10%</w:t>
            </w:r>
          </w:p>
        </w:tc>
        <w:tc>
          <w:tcPr>
            <w:tcW w:w="19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E63F09" w:rsidRPr="00AF5689" w:rsidTr="00946036">
        <w:trPr>
          <w:trHeight w:val="300"/>
        </w:trPr>
        <w:tc>
          <w:tcPr>
            <w:tcW w:w="341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 w:hint="eastAsia"/>
                <w:kern w:val="0"/>
                <w:szCs w:val="21"/>
              </w:rPr>
              <w:t>2</w:t>
            </w:r>
          </w:p>
        </w:tc>
        <w:tc>
          <w:tcPr>
            <w:tcW w:w="137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Vertical precipitation gradient</w:t>
            </w: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V: 0.079366%/100 m</w:t>
            </w:r>
          </w:p>
        </w:tc>
        <w:tc>
          <w:tcPr>
            <w:tcW w:w="19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assumed</w:t>
            </w:r>
          </w:p>
        </w:tc>
      </w:tr>
      <w:tr w:rsidR="00E63F09" w:rsidRPr="00AF5689" w:rsidTr="00946036">
        <w:trPr>
          <w:trHeight w:val="315"/>
        </w:trPr>
        <w:tc>
          <w:tcPr>
            <w:tcW w:w="341" w:type="pct"/>
            <w:vMerge/>
            <w:tcBorders>
              <w:left w:val="nil"/>
              <w:bottom w:val="nil"/>
              <w:right w:val="nil"/>
            </w:tcBorders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37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U: ±10%</w:t>
            </w:r>
          </w:p>
        </w:tc>
        <w:tc>
          <w:tcPr>
            <w:tcW w:w="19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E63F09" w:rsidRPr="00AF5689" w:rsidTr="00946036">
        <w:trPr>
          <w:trHeight w:val="300"/>
        </w:trPr>
        <w:tc>
          <w:tcPr>
            <w:tcW w:w="341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 w:hint="eastAsia"/>
                <w:kern w:val="0"/>
                <w:szCs w:val="21"/>
              </w:rPr>
              <w:t>3</w:t>
            </w:r>
          </w:p>
        </w:tc>
        <w:tc>
          <w:tcPr>
            <w:tcW w:w="137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Fresh snow albedo</w:t>
            </w: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V:0.83</w:t>
            </w:r>
          </w:p>
        </w:tc>
        <w:tc>
          <w:tcPr>
            <w:tcW w:w="19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assumed; Mölg</w:t>
            </w:r>
            <w:r w:rsidRPr="00AF5689">
              <w:rPr>
                <w:rFonts w:ascii="Times New Roman" w:eastAsia="DengXian" w:hAnsi="Times New Roman" w:cs="Times New Roman" w:hint="eastAsia"/>
                <w:kern w:val="0"/>
                <w:szCs w:val="21"/>
              </w:rPr>
              <w:t xml:space="preserve"> </w:t>
            </w: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et al. (2012)</w:t>
            </w:r>
          </w:p>
        </w:tc>
      </w:tr>
      <w:tr w:rsidR="00E63F09" w:rsidRPr="00AF5689" w:rsidTr="00946036">
        <w:trPr>
          <w:trHeight w:val="300"/>
        </w:trPr>
        <w:tc>
          <w:tcPr>
            <w:tcW w:w="341" w:type="pct"/>
            <w:vMerge/>
            <w:tcBorders>
              <w:left w:val="nil"/>
              <w:bottom w:val="nil"/>
              <w:right w:val="nil"/>
            </w:tcBorders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37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U: ±10%</w:t>
            </w:r>
          </w:p>
        </w:tc>
        <w:tc>
          <w:tcPr>
            <w:tcW w:w="19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E63F09" w:rsidRPr="00AF5689" w:rsidTr="00946036">
        <w:trPr>
          <w:trHeight w:val="300"/>
        </w:trPr>
        <w:tc>
          <w:tcPr>
            <w:tcW w:w="341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 w:hint="eastAsia"/>
                <w:kern w:val="0"/>
                <w:szCs w:val="21"/>
              </w:rPr>
              <w:t>4</w:t>
            </w:r>
          </w:p>
        </w:tc>
        <w:tc>
          <w:tcPr>
            <w:tcW w:w="137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Firn snow albedo</w:t>
            </w: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V:0.68</w:t>
            </w:r>
          </w:p>
        </w:tc>
        <w:tc>
          <w:tcPr>
            <w:tcW w:w="19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assumed; Mölg et al. (2012)</w:t>
            </w:r>
          </w:p>
        </w:tc>
      </w:tr>
      <w:tr w:rsidR="00E63F09" w:rsidRPr="00AF5689" w:rsidTr="00946036">
        <w:trPr>
          <w:trHeight w:val="300"/>
        </w:trPr>
        <w:tc>
          <w:tcPr>
            <w:tcW w:w="341" w:type="pct"/>
            <w:vMerge/>
            <w:tcBorders>
              <w:left w:val="nil"/>
              <w:bottom w:val="nil"/>
              <w:right w:val="nil"/>
            </w:tcBorders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37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U: ±10%</w:t>
            </w:r>
          </w:p>
        </w:tc>
        <w:tc>
          <w:tcPr>
            <w:tcW w:w="19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E63F09" w:rsidRPr="00AF5689" w:rsidTr="00946036">
        <w:trPr>
          <w:trHeight w:val="300"/>
        </w:trPr>
        <w:tc>
          <w:tcPr>
            <w:tcW w:w="341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 w:hint="eastAsia"/>
                <w:kern w:val="0"/>
                <w:szCs w:val="21"/>
              </w:rPr>
              <w:t>5</w:t>
            </w:r>
          </w:p>
        </w:tc>
        <w:tc>
          <w:tcPr>
            <w:tcW w:w="137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Ice albedo</w:t>
            </w: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V:0.45</w:t>
            </w:r>
          </w:p>
        </w:tc>
        <w:tc>
          <w:tcPr>
            <w:tcW w:w="19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assumed; Mölg et al. (2012)</w:t>
            </w:r>
          </w:p>
        </w:tc>
      </w:tr>
      <w:tr w:rsidR="00E63F09" w:rsidRPr="00AF5689" w:rsidTr="00946036">
        <w:trPr>
          <w:trHeight w:val="300"/>
        </w:trPr>
        <w:tc>
          <w:tcPr>
            <w:tcW w:w="341" w:type="pct"/>
            <w:vMerge/>
            <w:tcBorders>
              <w:left w:val="nil"/>
              <w:bottom w:val="nil"/>
              <w:right w:val="nil"/>
            </w:tcBorders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37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U: ±10%</w:t>
            </w:r>
          </w:p>
        </w:tc>
        <w:tc>
          <w:tcPr>
            <w:tcW w:w="19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E63F09" w:rsidRPr="00AF5689" w:rsidTr="00946036">
        <w:trPr>
          <w:trHeight w:val="300"/>
        </w:trPr>
        <w:tc>
          <w:tcPr>
            <w:tcW w:w="341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 w:hint="eastAsia"/>
                <w:kern w:val="0"/>
                <w:szCs w:val="21"/>
              </w:rPr>
              <w:t>6</w:t>
            </w:r>
          </w:p>
        </w:tc>
        <w:tc>
          <w:tcPr>
            <w:tcW w:w="137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bookmarkStart w:id="3" w:name="_Hlk68548717"/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Albedo time scale</w:t>
            </w:r>
            <w:bookmarkEnd w:id="3"/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V:1.1 days</w:t>
            </w:r>
          </w:p>
        </w:tc>
        <w:tc>
          <w:tcPr>
            <w:tcW w:w="19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assumed; Mölg et al. (2012)</w:t>
            </w:r>
          </w:p>
        </w:tc>
      </w:tr>
      <w:tr w:rsidR="00E63F09" w:rsidRPr="00AF5689" w:rsidTr="00946036">
        <w:trPr>
          <w:trHeight w:val="315"/>
        </w:trPr>
        <w:tc>
          <w:tcPr>
            <w:tcW w:w="341" w:type="pct"/>
            <w:vMerge/>
            <w:tcBorders>
              <w:left w:val="nil"/>
              <w:bottom w:val="nil"/>
              <w:right w:val="nil"/>
            </w:tcBorders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37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U: ±10%</w:t>
            </w:r>
          </w:p>
        </w:tc>
        <w:tc>
          <w:tcPr>
            <w:tcW w:w="19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E63F09" w:rsidRPr="00AF5689" w:rsidTr="00946036">
        <w:trPr>
          <w:trHeight w:val="300"/>
        </w:trPr>
        <w:tc>
          <w:tcPr>
            <w:tcW w:w="341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 w:hint="eastAsia"/>
                <w:kern w:val="0"/>
                <w:szCs w:val="21"/>
              </w:rPr>
              <w:t>7</w:t>
            </w:r>
          </w:p>
        </w:tc>
        <w:tc>
          <w:tcPr>
            <w:tcW w:w="137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bookmarkStart w:id="4" w:name="_Hlk68547499"/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Albedo depth scale</w:t>
            </w:r>
            <w:bookmarkEnd w:id="4"/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V:3 cm</w:t>
            </w:r>
          </w:p>
        </w:tc>
        <w:tc>
          <w:tcPr>
            <w:tcW w:w="19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assumed; Mölg et al. (2012)</w:t>
            </w:r>
          </w:p>
        </w:tc>
      </w:tr>
      <w:tr w:rsidR="00E63F09" w:rsidRPr="00AF5689" w:rsidTr="00946036">
        <w:trPr>
          <w:trHeight w:val="300"/>
        </w:trPr>
        <w:tc>
          <w:tcPr>
            <w:tcW w:w="341" w:type="pct"/>
            <w:vMerge/>
            <w:tcBorders>
              <w:left w:val="nil"/>
              <w:bottom w:val="nil"/>
              <w:right w:val="nil"/>
            </w:tcBorders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37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U: ±10%</w:t>
            </w:r>
          </w:p>
        </w:tc>
        <w:tc>
          <w:tcPr>
            <w:tcW w:w="19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E63F09" w:rsidRPr="00AF5689" w:rsidTr="00946036">
        <w:trPr>
          <w:trHeight w:val="300"/>
        </w:trPr>
        <w:tc>
          <w:tcPr>
            <w:tcW w:w="341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137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Roughness length ice</w:t>
            </w: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V:1.7 mm</w:t>
            </w:r>
          </w:p>
        </w:tc>
        <w:tc>
          <w:tcPr>
            <w:tcW w:w="19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Cullen et al. (2007); Mölg et al. (2012)</w:t>
            </w:r>
          </w:p>
        </w:tc>
      </w:tr>
      <w:tr w:rsidR="00E63F09" w:rsidRPr="00AF5689" w:rsidTr="00946036">
        <w:trPr>
          <w:trHeight w:val="300"/>
        </w:trPr>
        <w:tc>
          <w:tcPr>
            <w:tcW w:w="341" w:type="pct"/>
            <w:vMerge/>
            <w:tcBorders>
              <w:left w:val="nil"/>
              <w:bottom w:val="nil"/>
              <w:right w:val="nil"/>
            </w:tcBorders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37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U: ±0.5 mm</w:t>
            </w:r>
          </w:p>
        </w:tc>
        <w:tc>
          <w:tcPr>
            <w:tcW w:w="19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E63F09" w:rsidRPr="00AF5689" w:rsidTr="00946036">
        <w:trPr>
          <w:trHeight w:val="300"/>
        </w:trPr>
        <w:tc>
          <w:tcPr>
            <w:tcW w:w="341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137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bookmarkStart w:id="5" w:name="_Hlk68531093"/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Roughness</w:t>
            </w:r>
            <w:bookmarkEnd w:id="5"/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 xml:space="preserve"> length fresh snow</w:t>
            </w: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V:0.24 mm</w:t>
            </w:r>
          </w:p>
        </w:tc>
        <w:tc>
          <w:tcPr>
            <w:tcW w:w="193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Gromke et al. (2011); Mölg et al. (2012)</w:t>
            </w:r>
          </w:p>
        </w:tc>
      </w:tr>
      <w:tr w:rsidR="00E63F09" w:rsidRPr="00AF5689" w:rsidTr="00946036">
        <w:trPr>
          <w:trHeight w:val="300"/>
        </w:trPr>
        <w:tc>
          <w:tcPr>
            <w:tcW w:w="341" w:type="pct"/>
            <w:vMerge/>
            <w:tcBorders>
              <w:left w:val="nil"/>
              <w:bottom w:val="nil"/>
              <w:right w:val="nil"/>
            </w:tcBorders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37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U: ±0.5 mm</w:t>
            </w:r>
          </w:p>
        </w:tc>
        <w:tc>
          <w:tcPr>
            <w:tcW w:w="193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  <w:tr w:rsidR="00E63F09" w:rsidRPr="00AF5689" w:rsidTr="00946036">
        <w:trPr>
          <w:trHeight w:val="300"/>
        </w:trPr>
        <w:tc>
          <w:tcPr>
            <w:tcW w:w="341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E63F09" w:rsidRPr="00AF5689" w:rsidRDefault="00E63F09" w:rsidP="00946036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1371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Roughness length firn snow</w:t>
            </w:r>
          </w:p>
        </w:tc>
        <w:tc>
          <w:tcPr>
            <w:tcW w:w="1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V:4 mm</w:t>
            </w:r>
          </w:p>
        </w:tc>
        <w:tc>
          <w:tcPr>
            <w:tcW w:w="1930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63F09" w:rsidRPr="00AF5689" w:rsidRDefault="00E63F09" w:rsidP="00946036">
            <w:pPr>
              <w:widowControl/>
              <w:spacing w:line="288" w:lineRule="auto"/>
              <w:jc w:val="left"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Brock et al. (2006); Mölg et al. (2012)</w:t>
            </w:r>
          </w:p>
        </w:tc>
      </w:tr>
      <w:tr w:rsidR="00E63F09" w:rsidRPr="00AF5689" w:rsidTr="00946036">
        <w:trPr>
          <w:trHeight w:val="315"/>
        </w:trPr>
        <w:tc>
          <w:tcPr>
            <w:tcW w:w="341" w:type="pct"/>
            <w:vMerge/>
            <w:tcBorders>
              <w:left w:val="nil"/>
              <w:bottom w:val="single" w:sz="12" w:space="0" w:color="auto"/>
              <w:right w:val="nil"/>
            </w:tcBorders>
          </w:tcPr>
          <w:p w:rsidR="00E63F09" w:rsidRPr="00AF5689" w:rsidRDefault="00E63F09" w:rsidP="00946036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371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63F09" w:rsidRPr="00AF5689" w:rsidRDefault="00E63F09" w:rsidP="00946036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  <w:tc>
          <w:tcPr>
            <w:tcW w:w="135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3F09" w:rsidRPr="00AF5689" w:rsidRDefault="00E63F09" w:rsidP="00946036">
            <w:pPr>
              <w:widowControl/>
              <w:rPr>
                <w:rFonts w:ascii="Times New Roman" w:eastAsia="DengXian" w:hAnsi="Times New Roman" w:cs="Times New Roman"/>
                <w:kern w:val="0"/>
                <w:szCs w:val="21"/>
              </w:rPr>
            </w:pPr>
            <w:r w:rsidRPr="00AF5689">
              <w:rPr>
                <w:rFonts w:ascii="Times New Roman" w:eastAsia="DengXian" w:hAnsi="Times New Roman" w:cs="Times New Roman"/>
                <w:kern w:val="0"/>
                <w:szCs w:val="21"/>
              </w:rPr>
              <w:t>U: ±0.5 mm</w:t>
            </w:r>
          </w:p>
        </w:tc>
        <w:tc>
          <w:tcPr>
            <w:tcW w:w="1930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63F09" w:rsidRPr="00AF5689" w:rsidRDefault="00E63F09" w:rsidP="00946036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Cs w:val="21"/>
              </w:rPr>
            </w:pPr>
          </w:p>
        </w:tc>
      </w:tr>
    </w:tbl>
    <w:p w:rsidR="00E63F09" w:rsidRPr="00AF5689" w:rsidRDefault="00E63F09" w:rsidP="00E63F09">
      <w:pPr>
        <w:spacing w:line="288" w:lineRule="auto"/>
        <w:rPr>
          <w:rFonts w:ascii="Times New Roman" w:eastAsia="SimSun" w:hAnsi="Times New Roman" w:cs="Times New Roman"/>
          <w:szCs w:val="21"/>
        </w:rPr>
      </w:pPr>
      <w:r w:rsidRPr="00AF5689">
        <w:rPr>
          <w:rFonts w:ascii="Times New Roman" w:eastAsia="SimSun" w:hAnsi="Times New Roman" w:cs="Times New Roman"/>
          <w:szCs w:val="21"/>
        </w:rPr>
        <w:fldChar w:fldCharType="end"/>
      </w:r>
    </w:p>
    <w:p w:rsidR="00E63F09" w:rsidRPr="00AF5689" w:rsidRDefault="00E63F09" w:rsidP="00E63F09">
      <w:pPr>
        <w:spacing w:line="288" w:lineRule="auto"/>
        <w:rPr>
          <w:rFonts w:ascii="Times New Roman" w:eastAsia="SimSun" w:hAnsi="Times New Roman" w:cs="Times New Roman"/>
          <w:szCs w:val="21"/>
        </w:rPr>
      </w:pPr>
    </w:p>
    <w:p w:rsidR="00E63F09" w:rsidRPr="00AF5689" w:rsidRDefault="00E63F09" w:rsidP="00E63F09">
      <w:pPr>
        <w:spacing w:line="288" w:lineRule="auto"/>
        <w:rPr>
          <w:rFonts w:ascii="Times New Roman" w:eastAsia="SimSun" w:hAnsi="Times New Roman" w:cs="Times New Roman"/>
          <w:szCs w:val="21"/>
        </w:rPr>
      </w:pPr>
    </w:p>
    <w:p w:rsidR="00E63F09" w:rsidRPr="00AF5689" w:rsidRDefault="00E63F09" w:rsidP="00E63F09">
      <w:pPr>
        <w:spacing w:line="288" w:lineRule="auto"/>
        <w:rPr>
          <w:rFonts w:ascii="Times New Roman" w:eastAsia="SimSun" w:hAnsi="Times New Roman" w:cs="Times New Roman"/>
          <w:szCs w:val="21"/>
        </w:rPr>
      </w:pPr>
    </w:p>
    <w:p w:rsidR="006A1F6C" w:rsidRDefault="00E63F09">
      <w:bookmarkStart w:id="6" w:name="_GoBack"/>
      <w:bookmarkEnd w:id="6"/>
    </w:p>
    <w:sectPr w:rsidR="006A1F6C" w:rsidSect="00A86C4C">
      <w:type w:val="continuous"/>
      <w:pgSz w:w="11906" w:h="16838"/>
      <w:pgMar w:top="1134" w:right="1134" w:bottom="1134" w:left="1134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Microsoft YaHei"/>
    <w:panose1 w:val="02010600030101010101"/>
    <w:charset w:val="86"/>
    <w:family w:val="modern"/>
    <w:pitch w:val="fixed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F09"/>
    <w:rsid w:val="00B36AF1"/>
    <w:rsid w:val="00C63080"/>
    <w:rsid w:val="00E63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8D00C1-3DB3-42AD-98F6-B2CC43688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3F0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E63F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445</Words>
  <Characters>2539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Bhambure, Vijay</dc:creator>
  <cp:keywords/>
  <dc:description/>
  <cp:lastModifiedBy>Bhambure, Vijay</cp:lastModifiedBy>
  <cp:revision>1</cp:revision>
  <dcterms:created xsi:type="dcterms:W3CDTF">2021-11-01T10:19:00Z</dcterms:created>
  <dcterms:modified xsi:type="dcterms:W3CDTF">2021-11-01T10:19:00Z</dcterms:modified>
</cp:coreProperties>
</file>