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0EB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Bidirectional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odifying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ffects of PM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2.5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ollution and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on-optimal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emperatures on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ardiovascular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iseases</w:t>
      </w:r>
    </w:p>
    <w:p w14:paraId="0C11C07D">
      <w:pPr>
        <w:spacing w:line="360" w:lineRule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</w:rPr>
        <w:t>Jiahui Zhou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 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Yueyue Zhu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a, 1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Yingru Gong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:vertAlign w:val="superscript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Meng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Cheng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ascii="Times New Roman" w:hAnsi="Times New Roman" w:cs="Times New Roman"/>
          <w:sz w:val="24"/>
          <w:szCs w:val="24"/>
        </w:rPr>
        <w:t>, Haisheng Wu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c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Yanlong Xu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*</w:t>
      </w:r>
      <w:r>
        <w:rPr>
          <w:rFonts w:ascii="Times New Roman" w:hAnsi="Times New Roman" w:cs="Times New Roman"/>
          <w:sz w:val="24"/>
          <w:szCs w:val="24"/>
        </w:rPr>
        <w:t>, Yuhui Wan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 *</w:t>
      </w:r>
      <w:r>
        <w:rPr>
          <w:rFonts w:ascii="Times New Roman" w:hAnsi="Times New Roman" w:cs="Times New Roman"/>
          <w:sz w:val="24"/>
          <w:szCs w:val="24"/>
        </w:rPr>
        <w:t>, Jinping Ou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 *</w:t>
      </w:r>
    </w:p>
    <w:p w14:paraId="36D94E1D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a </w:t>
      </w:r>
      <w:r>
        <w:rPr>
          <w:rFonts w:ascii="Times New Roman" w:hAnsi="Times New Roman" w:cs="Times New Roman"/>
          <w:iCs/>
          <w:sz w:val="18"/>
          <w:szCs w:val="18"/>
        </w:rPr>
        <w:t>The Department of Health Promotion and Behavioral Sciences, School of Public Health, Anhui Medical University, Hefei 230032, China</w:t>
      </w:r>
    </w:p>
    <w:p w14:paraId="7F04310B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b </w:t>
      </w:r>
      <w:r>
        <w:rPr>
          <w:rFonts w:hint="eastAsia" w:ascii="Times New Roman" w:hAnsi="Times New Roman" w:cs="Times New Roman"/>
          <w:iCs/>
          <w:sz w:val="18"/>
          <w:szCs w:val="18"/>
        </w:rPr>
        <w:t>Environmental Health, School of Public Health, Anhui Medical University</w:t>
      </w:r>
    </w:p>
    <w:p w14:paraId="11975652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>
        <w:rPr>
          <w:rFonts w:hint="eastAsia" w:ascii="Times New Roman" w:hAnsi="Times New Roman" w:cs="Times New Roman"/>
          <w:iCs/>
          <w:sz w:val="18"/>
          <w:szCs w:val="18"/>
          <w:vertAlign w:val="superscript"/>
          <w:lang w:val="en-US" w:eastAsia="zh-CN"/>
        </w:rPr>
        <w:t>c</w:t>
      </w:r>
      <w:r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iCs/>
          <w:sz w:val="18"/>
          <w:szCs w:val="18"/>
        </w:rPr>
        <w:t>School of Public Health, LKS Faculty of Medicine, The University of Hong Kong, Hong Kong Special Administrative Region, China.</w:t>
      </w:r>
    </w:p>
    <w:p w14:paraId="7626E42C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>
        <w:rPr>
          <w:rFonts w:hint="eastAsia" w:ascii="Times New Roman" w:hAnsi="Times New Roman" w:cs="Times New Roman"/>
          <w:iCs/>
          <w:sz w:val="18"/>
          <w:szCs w:val="18"/>
          <w:vertAlign w:val="superscript"/>
          <w:lang w:val="en-US" w:eastAsia="zh-CN"/>
        </w:rPr>
        <w:t>d</w:t>
      </w:r>
      <w:r>
        <w:rPr>
          <w:rFonts w:ascii="Times New Roman" w:hAnsi="Times New Roman" w:cs="Times New Roman"/>
          <w:iCs/>
          <w:sz w:val="18"/>
          <w:szCs w:val="18"/>
        </w:rPr>
        <w:t xml:space="preserve"> Anhui Provincial Center for Disease Control and Prevention, Hefei 230601, China</w:t>
      </w:r>
      <w:r>
        <w:rPr>
          <w:rFonts w:hint="eastAsia" w:ascii="Times New Roman" w:hAnsi="Times New Roman" w:cs="Times New Roman"/>
          <w:iCs/>
          <w:sz w:val="18"/>
          <w:szCs w:val="18"/>
        </w:rPr>
        <w:t>.</w:t>
      </w:r>
    </w:p>
    <w:p w14:paraId="01EE381C">
      <w:pPr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br w:type="page"/>
      </w:r>
    </w:p>
    <w:p w14:paraId="30014A14">
      <w:pPr>
        <w:spacing w:line="360" w:lineRule="auto"/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cs="Times New Roman Regular"/>
          <w:szCs w:val="21"/>
        </w:rPr>
        <w:t>Table S1 The modification effect of PM</w:t>
      </w:r>
      <w:r>
        <w:rPr>
          <w:rFonts w:hint="eastAsia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ascii="Times New Roman Regular" w:hAnsi="Times New Roman Regular" w:cs="Times New Roman Regular"/>
          <w:szCs w:val="21"/>
        </w:rPr>
        <w:t xml:space="preserve"> on the relationship between non-optimal temperature and CVD mortality risk under different definitions of extreme temperature (</w:t>
      </w:r>
      <w:r>
        <w:rPr>
          <w:rFonts w:hint="default" w:ascii="Times New Roman Italic" w:hAnsi="Times New Roman Italic" w:cs="Times New Roman Italic"/>
          <w:i/>
          <w:iCs/>
          <w:szCs w:val="21"/>
        </w:rPr>
        <w:t>P</w:t>
      </w:r>
      <w:r>
        <w:rPr>
          <w:rFonts w:hint="default" w:ascii="Times New Roman Italic" w:hAnsi="Times New Roman Italic" w:cs="Times New Roman Italic"/>
          <w:i/>
          <w:iCs/>
          <w:szCs w:val="21"/>
          <w:vertAlign w:val="subscript"/>
        </w:rPr>
        <w:t>2.5</w:t>
      </w:r>
      <w:r>
        <w:rPr>
          <w:rFonts w:hint="default" w:ascii="Times New Roman Italic" w:hAnsi="Times New Roman Italic" w:cs="Times New Roman Italic"/>
          <w:i/>
          <w:iCs/>
          <w:szCs w:val="21"/>
        </w:rPr>
        <w:t>, P</w:t>
      </w:r>
      <w:r>
        <w:rPr>
          <w:rFonts w:hint="default" w:ascii="Times New Roman Italic" w:hAnsi="Times New Roman Italic" w:cs="Times New Roman Italic"/>
          <w:i/>
          <w:iCs/>
          <w:szCs w:val="21"/>
          <w:vertAlign w:val="subscript"/>
        </w:rPr>
        <w:t>97.5</w:t>
      </w:r>
      <w:r>
        <w:rPr>
          <w:rFonts w:hint="default" w:ascii="Times New Roman Italic" w:hAnsi="Times New Roman Italic" w:cs="Times New Roman Italic"/>
          <w:i/>
          <w:iCs/>
          <w:szCs w:val="21"/>
        </w:rPr>
        <w:t>; P</w:t>
      </w:r>
      <w:r>
        <w:rPr>
          <w:rFonts w:hint="default" w:ascii="Times New Roman Italic" w:hAnsi="Times New Roman Italic" w:cs="Times New Roman Italic"/>
          <w:i/>
          <w:iCs/>
          <w:szCs w:val="21"/>
          <w:vertAlign w:val="subscript"/>
        </w:rPr>
        <w:t>10</w:t>
      </w:r>
      <w:r>
        <w:rPr>
          <w:rFonts w:hint="default" w:ascii="Times New Roman Italic" w:hAnsi="Times New Roman Italic" w:cs="Times New Roman Italic"/>
          <w:i/>
          <w:iCs/>
          <w:szCs w:val="21"/>
        </w:rPr>
        <w:t>, P</w:t>
      </w:r>
      <w:r>
        <w:rPr>
          <w:rFonts w:hint="default" w:ascii="Times New Roman Italic" w:hAnsi="Times New Roman Italic" w:cs="Times New Roman Italic"/>
          <w:i/>
          <w:iCs/>
          <w:szCs w:val="21"/>
          <w:vertAlign w:val="subscript"/>
        </w:rPr>
        <w:t>90</w:t>
      </w:r>
      <w:r>
        <w:rPr>
          <w:rFonts w:ascii="Times New Roman Regular" w:hAnsi="Times New Roman Regular" w:cs="Times New Roman Regular"/>
          <w:szCs w:val="21"/>
        </w:rPr>
        <w:t>).</w:t>
      </w:r>
    </w:p>
    <w:tbl>
      <w:tblPr>
        <w:tblStyle w:val="5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82"/>
        <w:gridCol w:w="1882"/>
        <w:gridCol w:w="1300"/>
        <w:gridCol w:w="1882"/>
        <w:gridCol w:w="1302"/>
      </w:tblGrid>
      <w:tr w14:paraId="2E762F81">
        <w:trPr>
          <w:trHeight w:val="281" w:hRule="atLeast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3C83BC4E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24DBCA6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1EF10253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F2FE6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B1562A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4254B05A">
        <w:trPr>
          <w:trHeight w:val="281" w:hRule="atLeast"/>
        </w:trPr>
        <w:tc>
          <w:tcPr>
            <w:tcW w:w="687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09408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8FC6A2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8068F3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74720E0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C4E8C0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21CA25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3A495F20">
        <w:trPr>
          <w:trHeight w:val="281" w:hRule="atLeast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5FE4E6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</w:rPr>
              <w:t>P</w:t>
            </w:r>
            <w:r>
              <w:rPr>
                <w:rFonts w:hint="default" w:ascii="Times New Roman Regular" w:hAnsi="Times New Roman Regular" w:cs="Times New Roman Regular"/>
                <w:i/>
                <w:iCs/>
                <w:vertAlign w:val="subscript"/>
              </w:rPr>
              <w:t>2.5</w:t>
            </w:r>
            <w:r>
              <w:rPr>
                <w:rFonts w:hint="default" w:ascii="Times New Roman Regular" w:hAnsi="Times New Roman Regular" w:cs="Times New Roman Regular"/>
                <w:i/>
                <w:iCs/>
              </w:rPr>
              <w:t>、P</w:t>
            </w:r>
            <w:r>
              <w:rPr>
                <w:rFonts w:hint="default" w:ascii="Times New Roman Regular" w:hAnsi="Times New Roman Regular" w:cs="Times New Roman Regular"/>
                <w:i/>
                <w:iCs/>
                <w:vertAlign w:val="subscript"/>
              </w:rPr>
              <w:t>97.5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812B0D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1017FA4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1.47 (0.98, 2.19)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2E8860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 xml:space="preserve">0.90 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2D69878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1.53 (0.97, 2.43)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481954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 xml:space="preserve">0.91 </w:t>
            </w:r>
          </w:p>
        </w:tc>
      </w:tr>
      <w:tr w14:paraId="0E277E27">
        <w:trPr>
          <w:trHeight w:val="281" w:hRule="atLeast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D3124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1552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DBDAC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1.06 (0.98, 1.14)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241E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733A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1.07 (0.99, 1.17)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472D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594847D3">
        <w:trPr>
          <w:trHeight w:val="281" w:hRule="atLeast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F46EF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1021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ACA5C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1.51 (1.30, 1.76)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EB5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E19C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1.58 (1.35, 1.84)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F075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4D2CEE">
        <w:trPr>
          <w:trHeight w:val="281" w:hRule="atLeast"/>
        </w:trPr>
        <w:tc>
          <w:tcPr>
            <w:tcW w:w="68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8599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/>
                <w:iCs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  <w:i/>
                <w:iCs/>
              </w:rPr>
              <w:t>P</w:t>
            </w:r>
            <w:r>
              <w:rPr>
                <w:rFonts w:hint="default" w:ascii="Times New Roman Regular" w:hAnsi="Times New Roman Regular" w:cs="Times New Roman Regular"/>
                <w:i/>
                <w:iCs/>
                <w:vertAlign w:val="subscript"/>
              </w:rPr>
              <w:t>10</w:t>
            </w:r>
            <w:r>
              <w:rPr>
                <w:rFonts w:hint="default" w:ascii="Times New Roman Regular" w:hAnsi="Times New Roman Regular" w:cs="Times New Roman Regular"/>
                <w:i/>
                <w:iCs/>
              </w:rPr>
              <w:t>、P</w:t>
            </w:r>
            <w:r>
              <w:rPr>
                <w:rFonts w:hint="default" w:ascii="Times New Roman Regular" w:hAnsi="Times New Roman Regular" w:cs="Times New Roman Regular"/>
                <w:i/>
                <w:iCs/>
                <w:vertAlign w:val="subscript"/>
              </w:rPr>
              <w:t>90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2044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B968D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0.96 (0.87, 1.06)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B68E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3486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1.41 (1.00, 2.01)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E1234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 xml:space="preserve">0.97 </w:t>
            </w:r>
          </w:p>
        </w:tc>
      </w:tr>
      <w:tr w14:paraId="65850767">
        <w:trPr>
          <w:trHeight w:val="281" w:hRule="atLeast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190B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95F7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0782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1.04 (0.98, 1.11)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D554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E6C7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1.04 (0.98, 1.12)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B338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5A56D961">
        <w:trPr>
          <w:trHeight w:val="281" w:hRule="atLeast"/>
        </w:trPr>
        <w:tc>
          <w:tcPr>
            <w:tcW w:w="6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79E531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E5A5C6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B9869FB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1.74 (1.36, 2.22)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26BEB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66F481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1.43 (1.23, 1.66)</w:t>
            </w:r>
          </w:p>
        </w:tc>
        <w:tc>
          <w:tcPr>
            <w:tcW w:w="76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2EBEB4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</w:tbl>
    <w:p w14:paraId="4C2A6552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t>Abbreviations: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PM</w:t>
      </w:r>
      <w:r>
        <w:rPr>
          <w:rFonts w:ascii="Times New Roman Regular" w:hAnsi="Times New Roman Regular" w:cs="Times New Roman Regular"/>
          <w:sz w:val="18"/>
          <w:szCs w:val="18"/>
          <w:vertAlign w:val="subscript"/>
        </w:rPr>
        <w:t>2.5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, particulate matter with aerodynamic diameter ≤ 2.5 μm; EHT, extreme high temperature (above the 95th percentile); ELT, extreme low temperature (below the 5th percentile). </w:t>
      </w:r>
      <w:bookmarkStart w:id="0" w:name="OLE_LINK5"/>
      <w:bookmarkStart w:id="1" w:name="OLE_LINK6"/>
      <w:r>
        <w:rPr>
          <w:rFonts w:ascii="Times New Roman Regular" w:hAnsi="Times New Roman Regular" w:cs="Times New Roman Regular"/>
          <w:sz w:val="18"/>
          <w:szCs w:val="18"/>
        </w:rPr>
        <w:t>*</w:t>
      </w:r>
      <w:r>
        <w:rPr>
          <w:rFonts w:hint="eastAsia" w:ascii="Times New Roman Regular" w:hAnsi="Times New Roman Regular" w:cs="Times New Roman Regular"/>
          <w:sz w:val="18"/>
          <w:szCs w:val="18"/>
        </w:rPr>
        <w:t>: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</w:t>
      </w:r>
      <w:r>
        <w:rPr>
          <w:rFonts w:ascii="Times New Roman Regular" w:hAnsi="Times New Roman Regular" w:cs="Times New Roman Regular"/>
          <w:i/>
          <w:iCs/>
          <w:sz w:val="18"/>
          <w:szCs w:val="18"/>
        </w:rPr>
        <w:t xml:space="preserve">P </w:t>
      </w:r>
      <w:r>
        <w:rPr>
          <w:rFonts w:ascii="Times New Roman Regular" w:hAnsi="Times New Roman Regular" w:cs="Times New Roman Regular"/>
          <w:sz w:val="18"/>
          <w:szCs w:val="18"/>
        </w:rPr>
        <w:t>&lt; 0.05.</w:t>
      </w:r>
    </w:p>
    <w:bookmarkEnd w:id="0"/>
    <w:bookmarkEnd w:id="1"/>
    <w:p w14:paraId="50DE3DD9">
      <w:pPr>
        <w:spacing w:line="360" w:lineRule="auto"/>
        <w:rPr>
          <w:rFonts w:ascii="Times New Roman Regular" w:hAnsi="Times New Roman Regular" w:cs="Times New Roman Regular"/>
          <w:sz w:val="18"/>
          <w:szCs w:val="18"/>
        </w:rPr>
      </w:pPr>
      <w:r>
        <w:rPr>
          <w:rFonts w:ascii="Times New Roman Regular" w:hAnsi="Times New Roman Regular" w:cs="Times New Roman Regular"/>
          <w:sz w:val="18"/>
          <w:szCs w:val="18"/>
        </w:rPr>
        <w:t>Notes: PM</w:t>
      </w:r>
      <w:r>
        <w:rPr>
          <w:rFonts w:ascii="Times New Roman Regular" w:hAnsi="Times New Roman Regular" w:cs="Times New Roman Regular"/>
          <w:sz w:val="18"/>
          <w:szCs w:val="18"/>
          <w:vertAlign w:val="subscript"/>
        </w:rPr>
        <w:t>2.5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levels were categorized as low (&lt; 25th percentile), medium (25th–75th percentile), and high (&gt; 75th percentile). Two-sample Z-tests were conducted to compare the effects of EHT and ELT across </w:t>
      </w:r>
      <w:r>
        <w:rPr>
          <w:rFonts w:ascii="Times New Roman Regular" w:hAnsi="Times New Roman Regular" w:eastAsia="宋体" w:cs="Times New Roman Regular"/>
          <w:sz w:val="18"/>
          <w:szCs w:val="18"/>
          <w:lang w:bidi="ar"/>
        </w:rPr>
        <w:t>PM</w:t>
      </w:r>
      <w:r>
        <w:rPr>
          <w:rFonts w:ascii="Times New Roman Regular" w:hAnsi="Times New Roman Regular" w:eastAsia="宋体" w:cs="Times New Roman Regular"/>
          <w:sz w:val="18"/>
          <w:szCs w:val="18"/>
          <w:vertAlign w:val="subscript"/>
          <w:lang w:bidi="ar"/>
        </w:rPr>
        <w:t>2.5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strata, with the high </w:t>
      </w:r>
      <w:r>
        <w:rPr>
          <w:rFonts w:ascii="Times New Roman Regular" w:hAnsi="Times New Roman Regular" w:eastAsia="宋体" w:cs="Times New Roman Regular"/>
          <w:sz w:val="18"/>
          <w:szCs w:val="18"/>
          <w:lang w:bidi="ar"/>
        </w:rPr>
        <w:t>PM</w:t>
      </w:r>
      <w:r>
        <w:rPr>
          <w:rFonts w:ascii="Times New Roman Regular" w:hAnsi="Times New Roman Regular" w:eastAsia="宋体" w:cs="Times New Roman Regular"/>
          <w:sz w:val="18"/>
          <w:szCs w:val="18"/>
          <w:vertAlign w:val="subscript"/>
          <w:lang w:bidi="ar"/>
        </w:rPr>
        <w:t>2.5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level serving as the reference. </w:t>
      </w:r>
      <w:r>
        <w:rPr>
          <w:rFonts w:hint="default" w:ascii="Times New Roman Italic" w:hAnsi="Times New Roman Italic" w:cs="Times New Roman Italic"/>
          <w:i/>
          <w:iCs/>
          <w:sz w:val="18"/>
          <w:szCs w:val="18"/>
        </w:rPr>
        <w:t>P-values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from </w:t>
      </w:r>
      <w:r>
        <w:rPr>
          <w:rFonts w:hint="default" w:ascii="Times New Roman Italic" w:hAnsi="Times New Roman Italic" w:cs="Times New Roman Italic"/>
          <w:i/>
          <w:iCs/>
          <w:sz w:val="18"/>
          <w:szCs w:val="18"/>
        </w:rPr>
        <w:t>Z-tests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indicate inter-stratum differences.</w:t>
      </w:r>
    </w:p>
    <w:p w14:paraId="78F77EFA">
      <w:pPr>
        <w:spacing w:line="360" w:lineRule="auto"/>
        <w:rPr>
          <w:rFonts w:ascii="Times New Roman Regular" w:hAnsi="Times New Roman Regular" w:cs="Times New Roman Regular"/>
          <w:szCs w:val="21"/>
        </w:rPr>
      </w:pPr>
    </w:p>
    <w:p w14:paraId="49CF3228">
      <w:pPr>
        <w:rPr>
          <w:rFonts w:ascii="Times New Roman" w:hAnsi="Times New Roman"/>
          <w:sz w:val="24"/>
        </w:rPr>
      </w:pPr>
    </w:p>
    <w:p w14:paraId="2CC413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7936AA2D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</w:t>
      </w:r>
      <w:r>
        <w:rPr>
          <w:rFonts w:hint="eastAsia" w:ascii="Times New Roman" w:hAnsi="Times New Roman"/>
          <w:szCs w:val="21"/>
        </w:rPr>
        <w:t xml:space="preserve">able </w:t>
      </w:r>
      <w:r>
        <w:rPr>
          <w:rFonts w:ascii="Times New Roman" w:hAnsi="Times New Roman"/>
          <w:szCs w:val="21"/>
        </w:rPr>
        <w:t>S</w:t>
      </w:r>
      <w:r>
        <w:rPr>
          <w:rFonts w:hint="eastAsia" w:ascii="Times New Roman" w:hAnsi="Times New Roman"/>
          <w:szCs w:val="21"/>
        </w:rPr>
        <w:t>2 The modification effect of PM</w:t>
      </w:r>
      <w:r>
        <w:rPr>
          <w:rFonts w:hint="eastAsia" w:ascii="Times New Roman" w:hAnsi="Times New Roman"/>
          <w:szCs w:val="21"/>
          <w:vertAlign w:val="subscript"/>
        </w:rPr>
        <w:t>2.5</w:t>
      </w:r>
      <w:r>
        <w:rPr>
          <w:rFonts w:hint="eastAsia" w:ascii="Times New Roman" w:hAnsi="Times New Roman"/>
          <w:szCs w:val="21"/>
        </w:rPr>
        <w:t xml:space="preserve"> on the relationship between non-optimal temperature and CVD mortality risk after adjusting for other pollutants (PM</w:t>
      </w:r>
      <w:r>
        <w:rPr>
          <w:rFonts w:hint="eastAsia" w:ascii="Times New Roman" w:hAnsi="Times New Roman"/>
          <w:szCs w:val="21"/>
          <w:vertAlign w:val="subscript"/>
        </w:rPr>
        <w:t>10</w:t>
      </w:r>
      <w:r>
        <w:rPr>
          <w:rFonts w:hint="eastAsia" w:ascii="Times New Roman" w:hAnsi="Times New Roman"/>
          <w:szCs w:val="21"/>
        </w:rPr>
        <w:t>, O</w:t>
      </w:r>
      <w:r>
        <w:rPr>
          <w:rFonts w:hint="eastAsia" w:ascii="Times New Roman" w:hAnsi="Times New Roman"/>
          <w:szCs w:val="21"/>
          <w:vertAlign w:val="subscript"/>
        </w:rPr>
        <w:t>3</w:t>
      </w:r>
      <w:r>
        <w:rPr>
          <w:rFonts w:hint="eastAsia" w:ascii="Times New Roman" w:hAnsi="Times New Roman"/>
          <w:szCs w:val="21"/>
        </w:rPr>
        <w:t>, SO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hint="eastAsia" w:ascii="Times New Roman" w:hAnsi="Times New Roman"/>
          <w:szCs w:val="21"/>
        </w:rPr>
        <w:t>, NO</w:t>
      </w:r>
      <w:r>
        <w:rPr>
          <w:rFonts w:hint="eastAsia" w:ascii="Times New Roman" w:hAnsi="Times New Roman"/>
          <w:szCs w:val="21"/>
          <w:vertAlign w:val="subscript"/>
        </w:rPr>
        <w:t>2</w:t>
      </w:r>
      <w:r>
        <w:rPr>
          <w:rFonts w:ascii="Times New Roman" w:hAnsi="Times New Roman"/>
          <w:szCs w:val="21"/>
          <w:vertAlign w:val="subscript"/>
        </w:rPr>
        <w:t>,</w:t>
      </w:r>
      <w:r>
        <w:rPr>
          <w:rFonts w:hint="eastAsia" w:ascii="Times New Roman" w:hAnsi="Times New Roman"/>
          <w:szCs w:val="21"/>
        </w:rPr>
        <w:t xml:space="preserve"> CO) in the model.</w:t>
      </w:r>
    </w:p>
    <w:tbl>
      <w:tblPr>
        <w:tblStyle w:val="5"/>
        <w:tblW w:w="499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021"/>
        <w:gridCol w:w="1820"/>
        <w:gridCol w:w="1280"/>
        <w:gridCol w:w="1859"/>
        <w:gridCol w:w="1230"/>
      </w:tblGrid>
      <w:tr w14:paraId="76181D98">
        <w:trPr>
          <w:trHeight w:val="281" w:hRule="atLeast"/>
          <w:jc w:val="center"/>
        </w:trPr>
        <w:tc>
          <w:tcPr>
            <w:tcW w:w="769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412B8319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99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3D512E9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6E7484BB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1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14F72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1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A59E7A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7153DF57">
        <w:trPr>
          <w:trHeight w:val="281" w:hRule="atLeast"/>
          <w:jc w:val="center"/>
        </w:trPr>
        <w:tc>
          <w:tcPr>
            <w:tcW w:w="769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34581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9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2343C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EC7E63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5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B98C48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09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478AC9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A418AF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2EDF40A6">
        <w:trPr>
          <w:trHeight w:val="281" w:hRule="atLeast"/>
          <w:jc w:val="center"/>
        </w:trPr>
        <w:tc>
          <w:tcPr>
            <w:tcW w:w="769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C10C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cs="Times New Roman Regular"/>
              </w:rPr>
              <w:t>Add PM</w:t>
            </w:r>
            <w:r>
              <w:rPr>
                <w:rFonts w:hint="default" w:ascii="Times New Roman Regular" w:hAnsi="Times New Roman Regular" w:cs="Times New Roman Regular"/>
                <w:vertAlign w:val="subscript"/>
              </w:rPr>
              <w:t>10</w:t>
            </w:r>
            <w:r>
              <w:rPr>
                <w:rFonts w:hint="default" w:ascii="Times New Roman Regular" w:hAnsi="Times New Roman Regular" w:cs="Times New Roman Regular"/>
                <w:vertAlign w:val="subscript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</w:rPr>
              <w:t>O</w:t>
            </w:r>
            <w:r>
              <w:rPr>
                <w:rFonts w:hint="default" w:ascii="Times New Roman Regular" w:hAnsi="Times New Roman Regular" w:cs="Times New Roman Regular"/>
                <w:vertAlign w:val="subscript"/>
              </w:rPr>
              <w:t>3</w:t>
            </w:r>
            <w:r>
              <w:rPr>
                <w:rFonts w:hint="default" w:ascii="Times New Roman Regular" w:hAnsi="Times New Roman Regular" w:cs="Times New Roman Regular"/>
                <w:vertAlign w:val="subscript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</w:rPr>
              <w:t>SO</w:t>
            </w:r>
            <w:r>
              <w:rPr>
                <w:rFonts w:hint="default" w:ascii="Times New Roman Regular" w:hAnsi="Times New Roman Regular" w:cs="Times New Roman Regular"/>
                <w:vertAlign w:val="subscript"/>
              </w:rPr>
              <w:t>2</w:t>
            </w:r>
            <w:r>
              <w:rPr>
                <w:rFonts w:hint="default" w:ascii="Times New Roman Regular" w:hAnsi="Times New Roman Regular" w:cs="Times New Roman Regular"/>
                <w:vertAlign w:val="subscript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</w:rPr>
              <w:t>NO</w:t>
            </w:r>
            <w:r>
              <w:rPr>
                <w:rFonts w:hint="default" w:ascii="Times New Roman Regular" w:hAnsi="Times New Roman Regular" w:cs="Times New Roman Regular"/>
                <w:vertAlign w:val="subscript"/>
              </w:rPr>
              <w:t>2</w:t>
            </w:r>
            <w:r>
              <w:rPr>
                <w:rFonts w:hint="default" w:ascii="Times New Roman Regular" w:hAnsi="Times New Roman Regular" w:cs="Times New Roman Regular"/>
                <w:vertAlign w:val="subscript"/>
                <w:lang w:val="en-US"/>
              </w:rPr>
              <w:t xml:space="preserve">, </w:t>
            </w:r>
            <w:r>
              <w:rPr>
                <w:rFonts w:hint="default" w:ascii="Times New Roman Regular" w:hAnsi="Times New Roman Regular" w:cs="Times New Roman Regular"/>
              </w:rPr>
              <w:t>CO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C8C0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45A9C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1.12 (1.00, 1.26) 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E64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EA340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1.02 (0.91, 1.15) 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9AEA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7E0B315F">
        <w:trPr>
          <w:trHeight w:val="281" w:hRule="atLeast"/>
          <w:jc w:val="center"/>
        </w:trPr>
        <w:tc>
          <w:tcPr>
            <w:tcW w:w="769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BFE85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00DE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0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1D2F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1.11 (1.00, 1.23) *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67625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0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F0FF4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1.09 (1.00, 1.19) *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3EB6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034B3CE8">
        <w:trPr>
          <w:trHeight w:val="281" w:hRule="atLeast"/>
          <w:jc w:val="center"/>
        </w:trPr>
        <w:tc>
          <w:tcPr>
            <w:tcW w:w="769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72110F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905368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067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80AB1B6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2.41 (1.67, 3.49)</w:t>
            </w:r>
          </w:p>
        </w:tc>
        <w:tc>
          <w:tcPr>
            <w:tcW w:w="75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D5081EF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495A07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2.13 (1.55, 2.94)</w:t>
            </w:r>
          </w:p>
        </w:tc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39CBC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</w:tbl>
    <w:p w14:paraId="5DE7B6DE">
      <w:pPr>
        <w:spacing w:line="360" w:lineRule="auto"/>
        <w:rPr>
          <w:rFonts w:hint="default" w:ascii="Times New Roman Regular" w:hAnsi="Times New Roman Regular" w:cs="Times New Roman Regular"/>
          <w:sz w:val="18"/>
          <w:szCs w:val="18"/>
        </w:rPr>
      </w:pPr>
      <w:r>
        <w:rPr>
          <w:rFonts w:hint="default" w:ascii="Times New Roman Regular" w:hAnsi="Times New Roman Regular" w:cs="Times New Roman Regular"/>
          <w:b/>
          <w:bCs/>
          <w:sz w:val="18"/>
          <w:szCs w:val="18"/>
        </w:rPr>
        <w:t xml:space="preserve">Abbreviations and notes: </w:t>
      </w:r>
      <w:r>
        <w:rPr>
          <w:rFonts w:hint="default" w:ascii="Times New Roman Regular" w:hAnsi="Times New Roman Regular" w:cs="Times New Roman Regular"/>
          <w:sz w:val="18"/>
          <w:szCs w:val="18"/>
        </w:rPr>
        <w:t>Same as Table S1. Models were additionally adjusted for co-pollutants including PM</w:t>
      </w:r>
      <w:r>
        <w:rPr>
          <w:rFonts w:hint="default" w:ascii="Times New Roman Regular" w:hAnsi="Times New Roman Regular" w:cs="Times New Roman Regular"/>
          <w:sz w:val="18"/>
          <w:szCs w:val="18"/>
          <w:vertAlign w:val="subscript"/>
        </w:rPr>
        <w:t>10</w:t>
      </w:r>
      <w:r>
        <w:rPr>
          <w:rFonts w:hint="default" w:ascii="Times New Roman Regular" w:hAnsi="Times New Roman Regular" w:cs="Times New Roman Regular"/>
          <w:sz w:val="18"/>
          <w:szCs w:val="18"/>
        </w:rPr>
        <w:t>, ozone (O</w:t>
      </w:r>
      <w:r>
        <w:rPr>
          <w:rFonts w:hint="default" w:ascii="Times New Roman Regular" w:hAnsi="Times New Roman Regular" w:cs="Times New Roman Regular"/>
          <w:sz w:val="18"/>
          <w:szCs w:val="18"/>
          <w:vertAlign w:val="subscript"/>
        </w:rPr>
        <w:t>3</w:t>
      </w:r>
      <w:r>
        <w:rPr>
          <w:rFonts w:hint="default" w:ascii="Times New Roman Regular" w:hAnsi="Times New Roman Regular" w:cs="Times New Roman Regular"/>
          <w:sz w:val="18"/>
          <w:szCs w:val="18"/>
        </w:rPr>
        <w:t>), sulfur dioxide (SO</w:t>
      </w:r>
      <w:r>
        <w:rPr>
          <w:rFonts w:hint="default" w:ascii="Times New Roman Regular" w:hAnsi="Times New Roman Regular" w:cs="Times New Roman Regular"/>
          <w:sz w:val="18"/>
          <w:szCs w:val="18"/>
          <w:vertAlign w:val="subscript"/>
        </w:rPr>
        <w:t>2</w:t>
      </w:r>
      <w:r>
        <w:rPr>
          <w:rFonts w:hint="default" w:ascii="Times New Roman Regular" w:hAnsi="Times New Roman Regular" w:cs="Times New Roman Regular"/>
          <w:sz w:val="18"/>
          <w:szCs w:val="18"/>
        </w:rPr>
        <w:t>), nitrogen dioxide (NO</w:t>
      </w:r>
      <w:r>
        <w:rPr>
          <w:rFonts w:hint="default" w:ascii="Times New Roman Regular" w:hAnsi="Times New Roman Regular" w:cs="Times New Roman Regular"/>
          <w:sz w:val="18"/>
          <w:szCs w:val="18"/>
          <w:vertAlign w:val="subscript"/>
        </w:rPr>
        <w:t>2</w:t>
      </w:r>
      <w:r>
        <w:rPr>
          <w:rFonts w:hint="default" w:ascii="Times New Roman Regular" w:hAnsi="Times New Roman Regular" w:cs="Times New Roman Regular"/>
          <w:sz w:val="18"/>
          <w:szCs w:val="18"/>
        </w:rPr>
        <w:t xml:space="preserve">), and carbon monoxide (CO). *: </w:t>
      </w:r>
      <w:r>
        <w:rPr>
          <w:rFonts w:hint="default" w:ascii="Times New Roman Regular" w:hAnsi="Times New Roman Regular" w:cs="Times New Roman Regular"/>
          <w:i/>
          <w:iCs/>
          <w:sz w:val="18"/>
          <w:szCs w:val="18"/>
        </w:rPr>
        <w:t xml:space="preserve">P </w:t>
      </w:r>
      <w:r>
        <w:rPr>
          <w:rFonts w:hint="default" w:ascii="Times New Roman Regular" w:hAnsi="Times New Roman Regular" w:cs="Times New Roman Regular"/>
          <w:sz w:val="18"/>
          <w:szCs w:val="18"/>
        </w:rPr>
        <w:t>&lt; 0.05.</w:t>
      </w:r>
    </w:p>
    <w:p w14:paraId="786C38D0">
      <w:pPr>
        <w:spacing w:line="360" w:lineRule="auto"/>
        <w:rPr>
          <w:rFonts w:ascii="Times New Roman" w:hAnsi="Times New Roman"/>
          <w:sz w:val="24"/>
        </w:rPr>
      </w:pPr>
    </w:p>
    <w:p w14:paraId="6ACC8E08">
      <w:pPr>
        <w:rPr>
          <w:rFonts w:ascii="Times New Roman" w:hAnsi="Times New Roman"/>
        </w:rPr>
      </w:pPr>
    </w:p>
    <w:p w14:paraId="4471AD3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80FB907">
      <w:pPr>
        <w:spacing w:line="360" w:lineRule="auto"/>
        <w:rPr>
          <w:rFonts w:hint="default" w:ascii="Times New Roman Regular" w:hAnsi="Times New Roman Regular" w:cs="Times New Roman Regular"/>
          <w:szCs w:val="21"/>
        </w:rPr>
      </w:pPr>
      <w:r>
        <w:rPr>
          <w:rFonts w:hint="default" w:ascii="Times New Roman Regular" w:hAnsi="Times New Roman Regular" w:cs="Times New Roman Regular"/>
          <w:szCs w:val="21"/>
        </w:rPr>
        <w:t>Table S3 The modification effect of PM</w:t>
      </w:r>
      <w:r>
        <w:rPr>
          <w:rFonts w:hint="default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Cs w:val="21"/>
        </w:rPr>
        <w:t xml:space="preserve"> on the relationship between non-optimal temperature and CVD mortality risk when the lag period of PM</w:t>
      </w:r>
      <w:r>
        <w:rPr>
          <w:rFonts w:hint="default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Cs w:val="21"/>
        </w:rPr>
        <w:t xml:space="preserve"> is adjusted to lag02–lag07.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963"/>
        <w:gridCol w:w="1864"/>
        <w:gridCol w:w="1282"/>
        <w:gridCol w:w="1864"/>
        <w:gridCol w:w="1284"/>
      </w:tblGrid>
      <w:tr w14:paraId="09EF19AB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6E3A2066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46F9E79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7C371D91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7631F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67DF5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4D8BAC60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B876A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ADEEF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B46572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A4B4B5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2B56BFA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FC4910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5F442B44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260B63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_lag02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33C3A6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89A092B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(1.01, 1.24) *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585E8F7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EB3723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1.03 (0.93, 1.14) *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0531B6F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6F47720B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CC93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0F47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F41C2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1.03 (0.93, 1.13)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AA91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58357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(0.94, 1.11)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C6BF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63B7BA33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F059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518A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F0F5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1.79 (1.30, 2.46)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7B51B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9E725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1.64 (1.24, 2.16)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522E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5F083A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F13A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2322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9FFD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1.15 (1.04, 1.28)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9C65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0.04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B81A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1.05 (0.95, 1.16)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AA3E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0.01</w:t>
            </w:r>
          </w:p>
        </w:tc>
      </w:tr>
      <w:tr w14:paraId="505FBEE0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CB3FBB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58DEA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24792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(0.96, 1.18)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0678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0AEC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1.05 (0.97, 1.14)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E41D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0.01</w:t>
            </w:r>
          </w:p>
        </w:tc>
      </w:tr>
      <w:tr w14:paraId="0DBFB7CB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A6A0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2291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E568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1.62 (1.19, 2.21)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2B563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71A2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1.51 (1.15, 1.98)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411E8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79548BAD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A974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B336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096E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1.15 (1.04, 1.28)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98EC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0.08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856E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(0.96, 1.17)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B464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0.03</w:t>
            </w:r>
          </w:p>
        </w:tc>
      </w:tr>
      <w:tr w14:paraId="5220D94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F634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0AFA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0569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(0.92, 1.13)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7ABE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AF28C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(0.93, 1.11)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7A3B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0.01</w:t>
            </w:r>
          </w:p>
        </w:tc>
      </w:tr>
      <w:tr w14:paraId="2FB4E3FC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B85C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8041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226F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1.56 (1.13, 2.15)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EDE7B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9BFF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1.46 (1.11, 1.92)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74CA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74BD38BE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B064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D83F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BE22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1.16 (1.05, 1.28)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0136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59F27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(0.97, 1.17)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76652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0C7D5D38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6D2E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4ACF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C9EE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(0.92, 1.13)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7F01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2475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(0.93, 1.10)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8D704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3A8A8DED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DD9A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2B660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B6642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1.98 (1.42, 2.76)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E9C3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C94B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1.79 (1.34, 2.39)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2386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5F770AAE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3940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22BE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B1DA6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1.13 (1.03, 1.25)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D563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B34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1.04 (0.95, 1.15)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4CFD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2F821B54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1944B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2EE5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E6B6D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1.09 (0.98, 1.20)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1D0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724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1.07 (0.98, 1.16)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73B7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0DC652FA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F351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4897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9CF4D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1.82 (1.33, 2.47)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2A49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1637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1.68 (1.28, 2.19)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0A21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7D728F47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9EA6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PM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vertAlign w:val="subscript"/>
                <w:lang w:bidi="ar"/>
              </w:rPr>
              <w:t>2.5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_lag07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26A5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6DEFB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1.14 (1.03, 1.25)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065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0480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1.04 (0.95, 1.14)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86FB7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02728B7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F81CB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30AE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64F0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1.05 (0.95, 1.16) *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2BD3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1875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1.04 (0.95, 1.13) *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40C8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5B7F889E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5C181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14DA0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9FC83B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1.70 (1.26, 2.31)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75639D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31F664B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1.59 (1.22, 2.07)</w:t>
            </w:r>
          </w:p>
        </w:tc>
        <w:tc>
          <w:tcPr>
            <w:tcW w:w="76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83B33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</w:tbl>
    <w:p w14:paraId="46A8F95A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Abbreviations and notes:</w:t>
      </w:r>
      <w:r>
        <w:rPr>
          <w:rFonts w:ascii="Times New Roman" w:hAnsi="Times New Roman"/>
          <w:sz w:val="18"/>
          <w:szCs w:val="18"/>
        </w:rPr>
        <w:t xml:space="preserve"> Same as Table S1. Lag periods refer to the days prior to the event (e.g., lag02 indicates a 2-day lag). Each panel represents a separate model with PM</w:t>
      </w:r>
      <w:r>
        <w:rPr>
          <w:rFonts w:hint="eastAsia" w:ascii="Times New Roman" w:hAnsi="Times New Roman"/>
          <w:sz w:val="18"/>
          <w:szCs w:val="18"/>
          <w:vertAlign w:val="subscript"/>
        </w:rPr>
        <w:t>2.5</w:t>
      </w:r>
      <w:r>
        <w:rPr>
          <w:rFonts w:ascii="Times New Roman" w:hAnsi="Times New Roman"/>
          <w:sz w:val="18"/>
          <w:szCs w:val="18"/>
        </w:rPr>
        <w:t xml:space="preserve"> exposure at different lag structures.</w:t>
      </w:r>
    </w:p>
    <w:p w14:paraId="5B72D75F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FBD4402">
      <w:pPr>
        <w:jc w:val="center"/>
        <w:rPr>
          <w:rFonts w:ascii="Times New Roman" w:hAnsi="Times New Roman"/>
          <w:sz w:val="24"/>
        </w:rPr>
      </w:pPr>
    </w:p>
    <w:p w14:paraId="7AE6DB29">
      <w:pPr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72BD51">
      <w:pPr>
        <w:spacing w:line="360" w:lineRule="auto"/>
        <w:rPr>
          <w:rFonts w:ascii="Times New Roman" w:hAnsi="Times New Roman"/>
          <w:szCs w:val="21"/>
        </w:rPr>
      </w:pPr>
      <w:r>
        <w:rPr>
          <w:rFonts w:hint="default" w:ascii="Times New Roman Regular" w:hAnsi="Times New Roman Regular" w:cs="Times New Roman Regular"/>
          <w:szCs w:val="21"/>
        </w:rPr>
        <w:t>Table S4 The modification effect of PM</w:t>
      </w:r>
      <w:r>
        <w:rPr>
          <w:rFonts w:hint="default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Cs w:val="21"/>
        </w:rPr>
        <w:t xml:space="preserve"> on the relationship between non-optimal temperature and CVD mortality risk when the lag period of temperature is adjusted to lag01, lag02, and lag04–lag07.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82"/>
        <w:gridCol w:w="1882"/>
        <w:gridCol w:w="1300"/>
        <w:gridCol w:w="1882"/>
        <w:gridCol w:w="1302"/>
      </w:tblGrid>
      <w:tr w14:paraId="171CC780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1DD58500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235C09C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1CF0A4D0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6EF80E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30E06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2A1C3483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1E404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95E32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E3726F4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DE40CB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68AA00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34E9E4F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1F11DE67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7174A2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_lag01</w:t>
            </w:r>
          </w:p>
        </w:tc>
        <w:tc>
          <w:tcPr>
            <w:tcW w:w="57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384755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B97374B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0.59 (0.19, 1.87) *</w:t>
            </w:r>
          </w:p>
        </w:tc>
        <w:tc>
          <w:tcPr>
            <w:tcW w:w="12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33310F3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 xml:space="preserve">0.02 </w:t>
            </w:r>
          </w:p>
        </w:tc>
        <w:tc>
          <w:tcPr>
            <w:tcW w:w="185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7C226C9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0.55 (0.18, 1.72) *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bottom"/>
          </w:tcPr>
          <w:p w14:paraId="4FAC464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 xml:space="preserve">0.03 </w:t>
            </w:r>
          </w:p>
        </w:tc>
      </w:tr>
      <w:tr w14:paraId="606F0E8C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DD483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E56D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576B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0.75 (0.50, 1.13)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89F8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BDADA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0.73 (0.49, 1.10)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79F82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 xml:space="preserve">0.01 </w:t>
            </w:r>
          </w:p>
        </w:tc>
      </w:tr>
      <w:tr w14:paraId="13A614F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E064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3771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D322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4.10 (1.22, 13.79)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AF3B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487A0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3.55 (1.09, 11.59)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3F54B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6C9270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7E1B1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E254B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9BB8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1.14 (1.03, 1.27)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B7D2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D6F4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1.05 (0.94, 1.16)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3BBE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1FBB1DF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AC6C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E79B8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6538D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1.11 (1.01, 1.22)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002F7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EBE2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1.09 (1.01, 1.18)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1EB42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7CE57B99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86DA8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3AE5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C6B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2.43 (1.73, 3.41)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B8AF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DE9F7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2.13 (1.59, 2.86)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554D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  <w:tr w14:paraId="5509C479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38A3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9BCD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E56AD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1.09 (0.97, 1.22)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00B2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7DA7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0.99 (0.89, 1.11)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5BDA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1CC63C79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34C44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1C5A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EA5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1.02 (0.92, 1.13)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5576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EC3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1.01 (0.93, 1.10)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F5C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2EF9BFD5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AAB9F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6DF6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5814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2.26 (1.63, 3.13)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E761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5014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2.01 (1.52, 2.67)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F187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  <w:tr w14:paraId="62E3ED68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410FD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0A880B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20A60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1.06 (0.95, 1.19)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4F2C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34192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0.97 (0.87, 1.08)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7401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27D06373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78A44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204A96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A4E4F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0.98 (0.88, 1.09)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B033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B8337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0.98 (0.90, 1.07)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C5E0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3F231B0C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4070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D44C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41521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2.10 (1.52, 2.91)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B76F1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8EE160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1.90 (1.43, 2.51)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91A4F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  <w:tr w14:paraId="6C5B0C6A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166B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F302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76405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1.05 (0.93, 1.18)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4E67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A241E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0.96 (0.86, 1.08)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87847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4C27B086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8296D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A429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8EC4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0.94 (0.85, 1.05)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6F56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1688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0.95 (0.87, 1.04)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3E36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78C0371F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BD0E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793D8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A2C3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1.90 (1.39, 2.62)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E774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35F20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1.75 (1.32, 2.30)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5112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  <w:tr w14:paraId="23E9E8FA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F895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_lag07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38F0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254D6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1.06 (0.94, 1.18)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D6684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2A873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0.98 (0.88, 1.09)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51D1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78136C34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B8EB1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E0E4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62B1C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0.91 (0.82, 1.02) 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093E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0B99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0.93 (0.85, 1.01) 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1A2E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Cs w:val="21"/>
                <w:lang w:bidi="ar"/>
              </w:rPr>
              <w:t>&lt;0.01</w:t>
            </w:r>
          </w:p>
        </w:tc>
      </w:tr>
      <w:tr w14:paraId="65C47514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C2B0380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931FBAD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D90DBD6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1.83 (1.34, 2.51)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94E7F3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373AFC8">
            <w:pPr>
              <w:widowControl/>
              <w:spacing w:line="360" w:lineRule="auto"/>
              <w:jc w:val="left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Cs w:val="21"/>
                <w:lang w:bidi="ar"/>
              </w:rPr>
              <w:t>1.69 (1.29, 2.23)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2B721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Cs w:val="21"/>
              </w:rPr>
            </w:pPr>
          </w:p>
        </w:tc>
      </w:tr>
    </w:tbl>
    <w:p w14:paraId="3CCC7E38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Abbreviations and notes:</w:t>
      </w:r>
      <w:r>
        <w:rPr>
          <w:rFonts w:ascii="Times New Roman" w:hAnsi="Times New Roman"/>
          <w:sz w:val="18"/>
          <w:szCs w:val="18"/>
        </w:rPr>
        <w:t xml:space="preserve"> Same as Table S1. Temperature exposure was modeled using different lag structures to assess sensitivity of the modification effect.</w:t>
      </w:r>
    </w:p>
    <w:p w14:paraId="0C13112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2859A5F">
      <w:pPr>
        <w:spacing w:line="360" w:lineRule="auto"/>
        <w:rPr>
          <w:rFonts w:hint="default" w:ascii="Times New Roman Regular" w:hAnsi="Times New Roman Regular" w:cs="Times New Roman Regular"/>
          <w:szCs w:val="21"/>
        </w:rPr>
      </w:pPr>
      <w:r>
        <w:rPr>
          <w:rFonts w:hint="default" w:ascii="Times New Roman Regular" w:hAnsi="Times New Roman Regular" w:cs="Times New Roman Regular"/>
          <w:szCs w:val="21"/>
        </w:rPr>
        <w:t>Table S5 The modification effect of PM</w:t>
      </w:r>
      <w:r>
        <w:rPr>
          <w:rFonts w:hint="default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Cs w:val="21"/>
        </w:rPr>
        <w:t xml:space="preserve"> on the relationship between non-optimal temperature and CVD mortality risk when the degrees of freedom for temperature are adjusted to 4–6.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82"/>
        <w:gridCol w:w="1882"/>
        <w:gridCol w:w="1300"/>
        <w:gridCol w:w="1882"/>
        <w:gridCol w:w="1302"/>
      </w:tblGrid>
      <w:tr w14:paraId="0DE1E1F6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6A8017DC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4F203B99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229B2CE8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168F5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857B8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62E2633E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A6590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1B175D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03C52C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B02F08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091E1A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5D476E8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08FDAA7B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62DD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A908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6DCE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(1.01, 1.25)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4CE8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0.72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2DCC5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(0.92, 1.13)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C23F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0.47 </w:t>
            </w:r>
          </w:p>
        </w:tc>
      </w:tr>
      <w:tr w14:paraId="359DC72C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1F70C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EF29F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A328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1.07 (0.96, 1.19)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0AB8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0.57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0142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(0.97, 1.15)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2276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0.57 </w:t>
            </w:r>
          </w:p>
        </w:tc>
      </w:tr>
      <w:tr w14:paraId="01F9A77B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EC46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10F4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35C8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1.22 (0.77, 1.93)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073A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22071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1.19 (0.80, 1.76)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3672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7D727CE6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B87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41344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3D43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1.11 (0.99, 1.24)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245B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0.70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A16C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1.01 (0.91, 1.13)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80C0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0.93 </w:t>
            </w:r>
          </w:p>
        </w:tc>
      </w:tr>
      <w:tr w14:paraId="7F4B172F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E764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C128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EA5B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1.09 (0.98, 1.22)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963C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0.73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5CFF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(0.97, 1.15)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713A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0.79 </w:t>
            </w:r>
          </w:p>
        </w:tc>
      </w:tr>
      <w:tr w14:paraId="4FA03DC6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55484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48424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2FD5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0.99 (0.56, 1.75)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E26A8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DE76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0.99 (0.61, 1.62)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240E4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16246F83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EB1B1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T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3A83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8584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1.11 (0.98, 1.25)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FC55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0.97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30FE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1.02 (0.91, 1.14)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69EB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0.79 </w:t>
            </w:r>
          </w:p>
        </w:tc>
      </w:tr>
      <w:tr w14:paraId="468D3ED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6A69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0E86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1C96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1.11 (0.99, 1.23)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887E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0.97 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1883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1.04 (0.95, 1.13)</w:t>
            </w:r>
          </w:p>
        </w:tc>
        <w:tc>
          <w:tcPr>
            <w:tcW w:w="76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2CE9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 xml:space="preserve">0.84 </w:t>
            </w:r>
          </w:p>
        </w:tc>
      </w:tr>
      <w:tr w14:paraId="228B080A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AFB35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67FDB2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207837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(0.55, 2.27)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4B68D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0901B635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1.10 (0.60, 2.02)</w:t>
            </w:r>
          </w:p>
        </w:tc>
        <w:tc>
          <w:tcPr>
            <w:tcW w:w="764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1B7C84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</w:tbl>
    <w:p w14:paraId="4AC01C9B">
      <w:pPr>
        <w:spacing w:line="36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Abbreviations and notes:</w:t>
      </w:r>
      <w:r>
        <w:rPr>
          <w:rFonts w:ascii="Times New Roman" w:hAnsi="Times New Roman"/>
          <w:sz w:val="18"/>
          <w:szCs w:val="18"/>
        </w:rPr>
        <w:t xml:space="preserve"> Same as Table S1. Degrees of freedom for the temperature spline were varied to assess the robustness of the modification effect.</w:t>
      </w:r>
    </w:p>
    <w:p w14:paraId="47165042">
      <w:pPr>
        <w:jc w:val="center"/>
        <w:rPr>
          <w:rFonts w:ascii="Times New Roman" w:hAnsi="Times New Roman"/>
          <w:sz w:val="24"/>
          <w:highlight w:val="yellow"/>
        </w:rPr>
      </w:pPr>
    </w:p>
    <w:p w14:paraId="3E11C7AC">
      <w:pPr>
        <w:rPr>
          <w:rFonts w:ascii="Times New Roman" w:hAnsi="Times New Roman"/>
        </w:rPr>
      </w:pPr>
    </w:p>
    <w:p w14:paraId="4B25E734">
      <w:pPr>
        <w:rPr>
          <w:rFonts w:ascii="Times New Roman" w:hAnsi="Times New Roman"/>
        </w:rPr>
      </w:pPr>
    </w:p>
    <w:p w14:paraId="082387F1">
      <w:pPr>
        <w:rPr>
          <w:rFonts w:ascii="Times New Roman" w:hAnsi="Times New Roman"/>
        </w:rPr>
      </w:pPr>
    </w:p>
    <w:p w14:paraId="5622D80E">
      <w:pPr>
        <w:rPr>
          <w:rFonts w:ascii="Times New Roman" w:hAnsi="Times New Roman"/>
        </w:rPr>
      </w:pPr>
    </w:p>
    <w:p w14:paraId="11C77112">
      <w:pPr>
        <w:rPr>
          <w:rFonts w:ascii="Times New Roman" w:hAnsi="Times New Roman"/>
        </w:rPr>
      </w:pPr>
    </w:p>
    <w:p w14:paraId="2B498D2B">
      <w:pPr>
        <w:rPr>
          <w:rFonts w:ascii="Times New Roman" w:hAnsi="Times New Roman"/>
        </w:rPr>
      </w:pPr>
    </w:p>
    <w:p w14:paraId="3FB964FE">
      <w:pPr>
        <w:rPr>
          <w:rFonts w:ascii="Times New Roman" w:hAnsi="Times New Roman"/>
        </w:rPr>
      </w:pPr>
    </w:p>
    <w:p w14:paraId="46642AD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BCCF172">
      <w:pPr>
        <w:spacing w:line="360" w:lineRule="auto"/>
        <w:rPr>
          <w:rFonts w:hint="default" w:ascii="Times New Roman Regular" w:hAnsi="Times New Roman Regular" w:cs="Times New Roman Regular"/>
          <w:szCs w:val="21"/>
        </w:rPr>
      </w:pPr>
      <w:r>
        <w:rPr>
          <w:rFonts w:hint="default" w:ascii="Times New Roman Regular" w:hAnsi="Times New Roman Regular" w:cs="Times New Roman Regular"/>
          <w:szCs w:val="21"/>
        </w:rPr>
        <w:t>Table S6 The modification effect of PM</w:t>
      </w:r>
      <w:r>
        <w:rPr>
          <w:rFonts w:hint="default" w:ascii="Times New Roman Regular" w:hAnsi="Times New Roman Regular" w:cs="Times New Roman Regular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Cs w:val="21"/>
        </w:rPr>
        <w:t xml:space="preserve"> on the relationship between non-optimal temperature and CVD mortality risk when the degrees of freedom for humidity are adjusted to 4–6.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982"/>
        <w:gridCol w:w="1882"/>
        <w:gridCol w:w="1300"/>
        <w:gridCol w:w="1882"/>
        <w:gridCol w:w="1302"/>
      </w:tblGrid>
      <w:tr w14:paraId="68179F8C">
        <w:trPr>
          <w:trHeight w:val="281" w:hRule="atLeast"/>
          <w:jc w:val="center"/>
        </w:trPr>
        <w:tc>
          <w:tcPr>
            <w:tcW w:w="687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50576CBE">
            <w:pPr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Subgroup</w:t>
            </w:r>
          </w:p>
        </w:tc>
        <w:tc>
          <w:tcPr>
            <w:tcW w:w="576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44F3960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PM</w:t>
            </w: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:vertAlign w:val="subscript"/>
                <w14:textFill>
                  <w14:solidFill>
                    <w14:schemeClr w14:val="tx1"/>
                  </w14:solidFill>
                </w14:textFill>
              </w:rPr>
              <w:t>2.5</w:t>
            </w:r>
          </w:p>
          <w:p w14:paraId="4FD0798B">
            <w:pPr>
              <w:spacing w:line="360" w:lineRule="auto"/>
              <w:jc w:val="center"/>
              <w:textAlignment w:val="bottom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level</w:t>
            </w:r>
          </w:p>
        </w:tc>
        <w:tc>
          <w:tcPr>
            <w:tcW w:w="186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D396E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EHT</w:t>
            </w:r>
          </w:p>
        </w:tc>
        <w:tc>
          <w:tcPr>
            <w:tcW w:w="186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50C16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ELT</w:t>
            </w:r>
          </w:p>
        </w:tc>
      </w:tr>
      <w:tr w14:paraId="0EBC661F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509A9E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6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8489AA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Bold" w:hAnsi="Times New Roman Bold" w:eastAsia="Times New Roman Regular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61F13B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7021E0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  <w:tc>
          <w:tcPr>
            <w:tcW w:w="11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D0661D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OR (95% CI)</w:t>
            </w:r>
          </w:p>
        </w:tc>
        <w:tc>
          <w:tcPr>
            <w:tcW w:w="7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EA5B46">
            <w:pPr>
              <w:widowControl/>
              <w:spacing w:line="360" w:lineRule="auto"/>
              <w:textAlignment w:val="center"/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i/>
                <w:i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 for Z test</w:t>
            </w:r>
          </w:p>
        </w:tc>
      </w:tr>
      <w:tr w14:paraId="52F55997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676F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RH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FF645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7829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(1.01, 1.25)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AC12A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32F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1.03 (0.92, 1.14)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CE4E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769E1AD9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AC52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96392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DB70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(0.96, 1.17)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42D7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1DDF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1.05 (0.97, 1.14)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E1AF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01CAA3F8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8E6DA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D01F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0AF6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2.16 (1.53, 3.05)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6D505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6F45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1.93 (1.43, 2.61)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95B9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5BB20CEB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10FDA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RH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9F5D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9B8B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(1.01, 1.25)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F018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A240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1.03 (0.92, 1.14)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52325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66B93E13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68257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31DD3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BCF70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(0.96, 1.17)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1E6D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16FD8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1.05 (0.97, 1.14)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C6B9D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424D7C46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F492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6265F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AF62E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2.26 (1.60, 3.20)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343A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79B62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2.01 (1.49, 2.71)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0FB82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  <w:tr w14:paraId="67756BB0">
        <w:trPr>
          <w:trHeight w:val="281" w:hRule="atLeast"/>
          <w:jc w:val="center"/>
        </w:trPr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55F4C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val="en-US" w:bidi="ar"/>
              </w:rPr>
              <w:t>RH</w:t>
            </w: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_df 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5C69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082D7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1.12 (1.01, 1.25)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087933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E868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1.03 (0.92, 1.14)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8DB6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11D2F348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12059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2AEE8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Medium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CB315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1.07 (0.97, 1.18) 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ED3F7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6926F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1.06 (0.98, 1.15) *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C6EC9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宋体" w:cs="Times New Roman Regular"/>
                <w:color w:val="000000"/>
                <w:kern w:val="0"/>
                <w:sz w:val="21"/>
                <w:szCs w:val="21"/>
                <w:lang w:bidi="ar"/>
              </w:rPr>
              <w:t>&lt;0.01</w:t>
            </w:r>
          </w:p>
        </w:tc>
      </w:tr>
      <w:tr w14:paraId="50261DE1">
        <w:trPr>
          <w:trHeight w:val="281" w:hRule="atLeast"/>
          <w:jc w:val="center"/>
        </w:trPr>
        <w:tc>
          <w:tcPr>
            <w:tcW w:w="687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CBD7F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B28EB27">
            <w:pPr>
              <w:widowControl/>
              <w:spacing w:line="360" w:lineRule="auto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  <w:highlight w:val="yellow"/>
              </w:rPr>
            </w:pPr>
            <w:r>
              <w:rPr>
                <w:rFonts w:hint="default" w:ascii="Times New Roman Regular" w:hAnsi="Times New Roman Regular" w:cs="Times New Roman Regular"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BD241DC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2.28 (1.61, 3.22)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7C357726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2A28F21B">
            <w:pPr>
              <w:widowControl/>
              <w:spacing w:line="360" w:lineRule="auto"/>
              <w:jc w:val="center"/>
              <w:textAlignment w:val="bottom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color w:val="000000"/>
                <w:kern w:val="0"/>
                <w:sz w:val="21"/>
                <w:szCs w:val="21"/>
                <w:lang w:bidi="ar"/>
              </w:rPr>
              <w:t>2.02 (1.50, 2.73)</w:t>
            </w:r>
          </w:p>
        </w:tc>
        <w:tc>
          <w:tcPr>
            <w:tcW w:w="130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FDCAEAD">
            <w:pPr>
              <w:spacing w:line="360" w:lineRule="auto"/>
              <w:jc w:val="center"/>
              <w:rPr>
                <w:rFonts w:hint="default" w:ascii="Times New Roman Regular" w:hAnsi="Times New Roman Regular" w:eastAsia="Times New Roman Regular" w:cs="Times New Roman Regular"/>
                <w:color w:val="000000"/>
                <w:sz w:val="21"/>
                <w:szCs w:val="21"/>
              </w:rPr>
            </w:pPr>
          </w:p>
        </w:tc>
      </w:tr>
    </w:tbl>
    <w:p w14:paraId="2B0048A5">
      <w:pPr>
        <w:spacing w:line="360" w:lineRule="auto"/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b/>
          <w:bCs/>
          <w:sz w:val="18"/>
          <w:szCs w:val="18"/>
        </w:rPr>
        <w:t>Abbreviations and notes:</w:t>
      </w:r>
      <w:r>
        <w:rPr>
          <w:rFonts w:ascii="Times New Roman" w:hAnsi="Times New Roman"/>
          <w:sz w:val="18"/>
          <w:szCs w:val="18"/>
        </w:rPr>
        <w:t xml:space="preserve"> Same as Table S1. Degrees of freedom for the humidity spline were varied to assess sensitivity.</w:t>
      </w:r>
    </w:p>
    <w:p w14:paraId="6BDF2BFD">
      <w:pPr>
        <w:widowControl/>
        <w:jc w:val="center"/>
        <w:rPr>
          <w:rFonts w:hint="eastAsia" w:ascii="Times New Roman" w:hAnsi="Times New Roman" w:eastAsiaTheme="minorEastAsia"/>
          <w:lang w:eastAsia="zh-CN"/>
        </w:rPr>
      </w:pPr>
      <w:r>
        <w:rPr>
          <w:rFonts w:hint="eastAsia" w:ascii="Times New Roman" w:hAnsi="Times New Roman" w:eastAsiaTheme="minorEastAsia"/>
          <w:lang w:eastAsia="zh-CN"/>
        </w:rPr>
        <w:drawing>
          <wp:inline distT="0" distB="0" distL="114300" distR="114300">
            <wp:extent cx="4351655" cy="4552950"/>
            <wp:effectExtent l="0" t="0" r="17145" b="19050"/>
            <wp:docPr id="2" name="图片 2" descr="Fig_加污染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_加污染物"/>
                    <pic:cNvPicPr>
                      <a:picLocks noChangeAspect="1"/>
                    </pic:cNvPicPr>
                  </pic:nvPicPr>
                  <pic:blipFill>
                    <a:blip r:embed="rId4"/>
                    <a:srcRect l="4107" t="1650" r="6070" b="4372"/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770E9">
      <w:pPr>
        <w:spacing w:line="360" w:lineRule="auto"/>
        <w:rPr>
          <w:rFonts w:hint="default" w:ascii="Times New Roman Regular" w:hAnsi="Times New Roman Regular" w:cs="Times New Roman Regular"/>
          <w:sz w:val="24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Figure S</w:t>
      </w:r>
      <w:r>
        <w:rPr>
          <w:rFonts w:hint="eastAsia" w:ascii="Times New Roman Regular" w:hAnsi="Times New Roman Regular" w:cs="Times New Roman Regular"/>
          <w:sz w:val="21"/>
          <w:szCs w:val="21"/>
          <w:lang w:val="en-US" w:eastAsia="zh-CN"/>
        </w:rPr>
        <w:t>1</w:t>
      </w:r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The modification effect of non-optimal temperature on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>-related CVD mortality risk after adjusting for other pollutants (PM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10</w:t>
      </w:r>
      <w:r>
        <w:rPr>
          <w:rFonts w:hint="default" w:ascii="Times New Roman Regular" w:hAnsi="Times New Roman Regular" w:cs="Times New Roman Regular"/>
          <w:sz w:val="21"/>
          <w:szCs w:val="21"/>
        </w:rPr>
        <w:t>、O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3</w:t>
      </w:r>
      <w:r>
        <w:rPr>
          <w:rFonts w:hint="default" w:ascii="Times New Roman Regular" w:hAnsi="Times New Roman Regular" w:cs="Times New Roman Regular"/>
          <w:sz w:val="21"/>
          <w:szCs w:val="21"/>
        </w:rPr>
        <w:t>、SO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</w:t>
      </w:r>
      <w:r>
        <w:rPr>
          <w:rFonts w:hint="default" w:ascii="Times New Roman Regular" w:hAnsi="Times New Roman Regular" w:cs="Times New Roman Regular"/>
          <w:sz w:val="21"/>
          <w:szCs w:val="21"/>
        </w:rPr>
        <w:t>、NO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</w:t>
      </w:r>
      <w:r>
        <w:rPr>
          <w:rFonts w:hint="default" w:ascii="Times New Roman Regular" w:hAnsi="Times New Roman Regular" w:cs="Times New Roman Regular"/>
          <w:sz w:val="21"/>
          <w:szCs w:val="21"/>
        </w:rPr>
        <w:t>、CO) in the model</w:t>
      </w:r>
      <w:r>
        <w:rPr>
          <w:rFonts w:hint="default" w:ascii="Times New Roman Regular" w:hAnsi="Times New Roman Regular" w:cs="Times New Roman Regular"/>
          <w:sz w:val="24"/>
        </w:rPr>
        <w:t>.</w:t>
      </w:r>
    </w:p>
    <w:p w14:paraId="47650309">
      <w:pPr>
        <w:spacing w:line="360" w:lineRule="auto"/>
        <w:rPr>
          <w:rFonts w:ascii="Times New Roman Regular" w:hAnsi="Times New Roman Regular" w:cs="Times New Roman Regular"/>
          <w:sz w:val="24"/>
        </w:rPr>
      </w:pPr>
    </w:p>
    <w:p w14:paraId="09323F8C">
      <w:pPr>
        <w:autoSpaceDE w:val="0"/>
        <w:spacing w:line="360" w:lineRule="auto"/>
        <w:jc w:val="left"/>
        <w:rPr>
          <w:rFonts w:ascii="Times New Roman Regular" w:hAnsi="Times New Roman Regular" w:cs="Times New Roman Regular"/>
          <w:szCs w:val="21"/>
        </w:rPr>
      </w:pPr>
      <w:r>
        <w:rPr>
          <w:rFonts w:ascii="Times New Roman Regular" w:hAnsi="Times New Roman Regular" w:eastAsia="等线" w:cs="Times New Roman Regular"/>
          <w:szCs w:val="21"/>
          <w:lang w:bidi="ar"/>
          <w14:ligatures w14:val="standardContextual"/>
        </w:rPr>
        <w:t xml:space="preserve"> </w:t>
      </w:r>
    </w:p>
    <w:p w14:paraId="67BC9814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br w:type="page"/>
      </w:r>
    </w:p>
    <w:p w14:paraId="6B7433AB">
      <w:pPr>
        <w:jc w:val="left"/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Times New Roman" w:hAnsi="Times New Roman" w:eastAsiaTheme="minorEastAsia"/>
          <w:sz w:val="24"/>
          <w:lang w:eastAsia="zh-CN"/>
        </w:rPr>
        <w:drawing>
          <wp:inline distT="0" distB="0" distL="114300" distR="114300">
            <wp:extent cx="5278755" cy="3863975"/>
            <wp:effectExtent l="0" t="0" r="4445" b="22225"/>
            <wp:docPr id="12" name="图片 12" descr="Fig_CVD_pm25_lag02_07_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_CVD_pm25_lag02_07_nature"/>
                    <pic:cNvPicPr>
                      <a:picLocks noChangeAspect="1"/>
                    </pic:cNvPicPr>
                  </pic:nvPicPr>
                  <pic:blipFill>
                    <a:blip r:embed="rId5"/>
                    <a:srcRect l="8693" t="5696" r="8440" b="3327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A618E">
      <w:pPr>
        <w:spacing w:line="360" w:lineRule="auto"/>
        <w:rPr>
          <w:rFonts w:ascii="Times New Roman" w:hAnsi="Times New Roman"/>
          <w:sz w:val="21"/>
          <w:szCs w:val="21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Figure S</w:t>
      </w:r>
      <w:r>
        <w:rPr>
          <w:rFonts w:hint="eastAsia" w:ascii="Times New Roman Regular" w:hAnsi="Times New Roman Regular" w:cs="Times New Roman Regular"/>
          <w:sz w:val="21"/>
          <w:szCs w:val="21"/>
          <w:lang w:val="en-US" w:eastAsia="zh-CN"/>
        </w:rPr>
        <w:t>2</w:t>
      </w:r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The modification effect of non-optimal temperature on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>-related CVD mortality risk when the lag period of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is adjusted to lag02–lag07.</w:t>
      </w:r>
    </w:p>
    <w:p w14:paraId="6A0C471E">
      <w:pPr>
        <w:rPr>
          <w:rFonts w:ascii="Times New Roman" w:hAnsi="Times New Roman"/>
          <w:sz w:val="24"/>
        </w:rPr>
      </w:pPr>
    </w:p>
    <w:p w14:paraId="74112F33"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br w:type="page"/>
      </w:r>
    </w:p>
    <w:p w14:paraId="61C46E9D">
      <w:pPr>
        <w:jc w:val="left"/>
        <w:rPr>
          <w:rFonts w:ascii="Times New Roman" w:hAnsi="Times New Roman"/>
        </w:rPr>
      </w:pPr>
      <w:r>
        <w:rPr>
          <w:rFonts w:hint="eastAsia" w:ascii="Times New Roman" w:hAnsi="Times New Roman" w:eastAsiaTheme="minorEastAsia"/>
          <w:lang w:eastAsia="zh-CN"/>
        </w:rPr>
        <w:drawing>
          <wp:inline distT="0" distB="0" distL="114300" distR="114300">
            <wp:extent cx="5320030" cy="3891915"/>
            <wp:effectExtent l="0" t="0" r="13970" b="19685"/>
            <wp:docPr id="14" name="图片 14" descr="Fig_T2M_lag_modify_PM25lag01_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ig_T2M_lag_modify_PM25lag01_nature"/>
                    <pic:cNvPicPr>
                      <a:picLocks noChangeAspect="1"/>
                    </pic:cNvPicPr>
                  </pic:nvPicPr>
                  <pic:blipFill>
                    <a:blip r:embed="rId6"/>
                    <a:srcRect l="8693" t="6130" r="8006" b="2477"/>
                    <a:stretch>
                      <a:fillRect/>
                    </a:stretch>
                  </pic:blipFill>
                  <pic:spPr>
                    <a:xfrm>
                      <a:off x="0" y="0"/>
                      <a:ext cx="532003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AA859">
      <w:pPr>
        <w:spacing w:line="360" w:lineRule="auto"/>
        <w:rPr>
          <w:rFonts w:ascii="Times New Roman" w:hAnsi="Times New Roman"/>
          <w:sz w:val="24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Figure S</w:t>
      </w:r>
      <w:r>
        <w:rPr>
          <w:rFonts w:hint="eastAsia" w:ascii="Times New Roman Regular" w:hAnsi="Times New Roman Regular" w:cs="Times New Roman Regular"/>
          <w:sz w:val="21"/>
          <w:szCs w:val="21"/>
          <w:lang w:val="en-US" w:eastAsia="zh-CN"/>
        </w:rPr>
        <w:t>3</w:t>
      </w:r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The modification effect of non-optimal temperature on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>-related CVD mortality risk when the lag period of temperature is adjusted to lag01, lag02, and lag04–lag07.</w:t>
      </w:r>
    </w:p>
    <w:p w14:paraId="775923DD">
      <w:pPr>
        <w:rPr>
          <w:rFonts w:ascii="Times New Roman" w:hAnsi="Times New Roman"/>
          <w:sz w:val="24"/>
        </w:rPr>
      </w:pPr>
    </w:p>
    <w:p w14:paraId="34781436">
      <w:pPr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Times New Roman" w:hAnsi="Times New Roman"/>
          <w:sz w:val="24"/>
        </w:rPr>
        <w:br w:type="page"/>
      </w:r>
      <w:r>
        <w:rPr>
          <w:rFonts w:hint="eastAsia" w:ascii="Times New Roman" w:hAnsi="Times New Roman" w:eastAsiaTheme="minorEastAsia"/>
          <w:sz w:val="24"/>
          <w:lang w:eastAsia="zh-CN"/>
        </w:rPr>
        <w:drawing>
          <wp:inline distT="0" distB="0" distL="114300" distR="114300">
            <wp:extent cx="5278120" cy="2285365"/>
            <wp:effectExtent l="0" t="0" r="5080" b="635"/>
            <wp:docPr id="10" name="图片 10" descr="Fig_CVD_PM25_temp_mod_combined_df456_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_CVD_PM25_temp_mod_combined_df456_nature"/>
                    <pic:cNvPicPr>
                      <a:picLocks noChangeAspect="1"/>
                    </pic:cNvPicPr>
                  </pic:nvPicPr>
                  <pic:blipFill>
                    <a:blip r:embed="rId7"/>
                    <a:srcRect l="3207" t="8785" r="4799" b="43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BAD62">
      <w:pPr>
        <w:spacing w:line="360" w:lineRule="auto"/>
        <w:rPr>
          <w:rFonts w:ascii="Times New Roman" w:hAnsi="Times New Roman"/>
          <w:sz w:val="24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Figure S</w:t>
      </w:r>
      <w:r>
        <w:rPr>
          <w:rFonts w:hint="eastAsia" w:ascii="Times New Roman Regular" w:hAnsi="Times New Roman Regular" w:cs="Times New Roman Regular"/>
          <w:sz w:val="21"/>
          <w:szCs w:val="21"/>
          <w:lang w:val="en-US" w:eastAsia="zh-CN"/>
        </w:rPr>
        <w:t>4</w:t>
      </w:r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The modification effect of non-optimal temperature on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>-related CVD mortality risk when the degrees of freedom for temperature are adjusted to 4–6.</w:t>
      </w:r>
    </w:p>
    <w:p w14:paraId="192E820A">
      <w:pPr>
        <w:jc w:val="center"/>
        <w:rPr>
          <w:rFonts w:ascii="Times New Roman" w:hAnsi="Times New Roman"/>
          <w:sz w:val="24"/>
        </w:rPr>
      </w:pPr>
    </w:p>
    <w:p w14:paraId="283F85D6">
      <w:pPr>
        <w:autoSpaceDE w:val="0"/>
        <w:spacing w:line="360" w:lineRule="auto"/>
        <w:jc w:val="left"/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等线" w:cs="Times New Roman Regular"/>
          <w:szCs w:val="21"/>
          <w:lang w:bidi="ar"/>
        </w:rPr>
        <w:t xml:space="preserve"> </w:t>
      </w:r>
    </w:p>
    <w:p w14:paraId="27FE322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DD763C7">
      <w:pPr>
        <w:jc w:val="center"/>
        <w:rPr>
          <w:rFonts w:ascii="Times New Roman" w:hAnsi="Times New Roman"/>
        </w:rPr>
      </w:pPr>
    </w:p>
    <w:p w14:paraId="7AC09DB1">
      <w:pPr>
        <w:spacing w:line="360" w:lineRule="auto"/>
        <w:rPr>
          <w:rFonts w:hint="eastAsia" w:ascii="Times New Roman" w:hAnsi="Times New Roman" w:eastAsiaTheme="minorEastAsia"/>
          <w:sz w:val="24"/>
          <w:lang w:eastAsia="zh-CN"/>
        </w:rPr>
      </w:pPr>
      <w:r>
        <w:rPr>
          <w:rFonts w:hint="eastAsia" w:ascii="Times New Roman" w:hAnsi="Times New Roman" w:eastAsiaTheme="minorEastAsia"/>
          <w:sz w:val="24"/>
          <w:lang w:eastAsia="zh-CN"/>
        </w:rPr>
        <w:drawing>
          <wp:inline distT="0" distB="0" distL="114300" distR="114300">
            <wp:extent cx="5354320" cy="2316480"/>
            <wp:effectExtent l="0" t="0" r="5080" b="20320"/>
            <wp:docPr id="8" name="图片 8" descr="Fig_humidity_df456_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_humidity_df456_nature"/>
                    <pic:cNvPicPr>
                      <a:picLocks noChangeAspect="1"/>
                    </pic:cNvPicPr>
                  </pic:nvPicPr>
                  <pic:blipFill>
                    <a:blip r:embed="rId8"/>
                    <a:srcRect l="3400" t="8259" r="4244" b="4577"/>
                    <a:stretch>
                      <a:fillRect/>
                    </a:stretch>
                  </pic:blipFill>
                  <pic:spPr>
                    <a:xfrm>
                      <a:off x="0" y="0"/>
                      <a:ext cx="535432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84653">
      <w:pPr>
        <w:spacing w:line="360" w:lineRule="auto"/>
        <w:rPr>
          <w:rFonts w:hint="default" w:ascii="Times New Roman Regular" w:hAnsi="Times New Roman Regular" w:cs="Times New Roman Regular"/>
          <w:sz w:val="21"/>
          <w:szCs w:val="21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Figure S</w:t>
      </w:r>
      <w:r>
        <w:rPr>
          <w:rFonts w:hint="eastAsia" w:ascii="Times New Roman Regular" w:hAnsi="Times New Roman Regular" w:cs="Times New Roman Regular"/>
          <w:sz w:val="21"/>
          <w:szCs w:val="21"/>
          <w:lang w:val="en-US" w:eastAsia="zh-CN"/>
        </w:rPr>
        <w:t>5</w:t>
      </w:r>
      <w:bookmarkStart w:id="2" w:name="_GoBack"/>
      <w:bookmarkEnd w:id="2"/>
      <w:r>
        <w:rPr>
          <w:rFonts w:hint="default" w:ascii="Times New Roman Regular" w:hAnsi="Times New Roman Regular" w:cs="Times New Roman Regular"/>
          <w:sz w:val="21"/>
          <w:szCs w:val="21"/>
        </w:rPr>
        <w:t xml:space="preserve"> The modification effect of non-optimal temperature on PM</w:t>
      </w:r>
      <w:r>
        <w:rPr>
          <w:rFonts w:hint="default" w:ascii="Times New Roman Regular" w:hAnsi="Times New Roman Regular" w:cs="Times New Roman Regular"/>
          <w:sz w:val="21"/>
          <w:szCs w:val="21"/>
          <w:vertAlign w:val="subscript"/>
        </w:rPr>
        <w:t>2.5</w:t>
      </w:r>
      <w:r>
        <w:rPr>
          <w:rFonts w:hint="default" w:ascii="Times New Roman Regular" w:hAnsi="Times New Roman Regular" w:cs="Times New Roman Regular"/>
          <w:sz w:val="21"/>
          <w:szCs w:val="21"/>
        </w:rPr>
        <w:t>-related CVD mortality risk when the degrees of freedom for humidity are adjusted to 4–6.</w:t>
      </w:r>
    </w:p>
    <w:p w14:paraId="4AF722F3">
      <w:pPr>
        <w:rPr>
          <w:rFonts w:ascii="Times New Roman" w:hAnsi="Times New Roman"/>
        </w:rPr>
      </w:pPr>
    </w:p>
    <w:p w14:paraId="0604AD55">
      <w:pPr>
        <w:autoSpaceDE w:val="0"/>
        <w:spacing w:line="360" w:lineRule="auto"/>
        <w:jc w:val="left"/>
        <w:rPr>
          <w:rFonts w:ascii="Times New Roman Regular" w:hAnsi="Times New Roman Regular" w:eastAsia="宋体" w:cs="Times New Roman Regular"/>
          <w:szCs w:val="21"/>
        </w:rPr>
      </w:pPr>
      <w:r>
        <w:rPr>
          <w:rFonts w:ascii="Times New Roman Regular" w:hAnsi="Times New Roman Regular" w:eastAsia="等线" w:cs="Times New Roman Regular"/>
          <w:szCs w:val="21"/>
          <w:lang w:bidi="ar"/>
        </w:rPr>
        <w:t xml:space="preserve"> </w:t>
      </w:r>
    </w:p>
    <w:p w14:paraId="7C7A3C50">
      <w:pPr>
        <w:rPr>
          <w:rFonts w:ascii="Times New Roman" w:hAnsi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F14DEA"/>
    <w:rsid w:val="00015E32"/>
    <w:rsid w:val="00112A2B"/>
    <w:rsid w:val="003A7BC7"/>
    <w:rsid w:val="00416E29"/>
    <w:rsid w:val="004519CD"/>
    <w:rsid w:val="005020D9"/>
    <w:rsid w:val="00594C35"/>
    <w:rsid w:val="005A3A7C"/>
    <w:rsid w:val="00AE72B6"/>
    <w:rsid w:val="00B73195"/>
    <w:rsid w:val="00C738C3"/>
    <w:rsid w:val="00D5385C"/>
    <w:rsid w:val="00E93A5B"/>
    <w:rsid w:val="00F67751"/>
    <w:rsid w:val="3B716C97"/>
    <w:rsid w:val="52F71F13"/>
    <w:rsid w:val="60BFCA06"/>
    <w:rsid w:val="66AEF73B"/>
    <w:rsid w:val="6DFF2533"/>
    <w:rsid w:val="6EFF8A4E"/>
    <w:rsid w:val="7D5AE31B"/>
    <w:rsid w:val="7DF14DEA"/>
    <w:rsid w:val="8FFB1C4B"/>
    <w:rsid w:val="F23C2826"/>
    <w:rsid w:val="FDD98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styleId="8">
    <w:name w:val="annotation reference"/>
    <w:basedOn w:val="6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1367</Words>
  <Characters>6537</Characters>
  <Lines>594</Lines>
  <Paragraphs>464</Paragraphs>
  <TotalTime>1</TotalTime>
  <ScaleCrop>false</ScaleCrop>
  <LinksUpToDate>false</LinksUpToDate>
  <CharactersWithSpaces>7440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2026-03-13T23:03:00Z</dcterms:created>
  <dc:creator>Data</dc:creator>
  <cp:lastModifiedBy>j缮搜钾估陡</cp:lastModifiedBy>
  <dcterms:modified xsi:type="dcterms:W3CDTF">2026-05-30T17:23:39Z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16B4BFEA888AAEFC5712B769B46653D4_43</vt:lpwstr>
  </property>
</Properties>
</file>