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086F0">
      <w:pPr>
        <w:spacing w:line="360" w:lineRule="auto"/>
        <w:jc w:val="center"/>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 xml:space="preserve">Table </w:t>
      </w:r>
      <w:r>
        <w:rPr>
          <w:rFonts w:hint="eastAsia" w:ascii="Times New Roman" w:hAnsi="Times New Roman" w:eastAsia="宋体" w:cs="Times New Roman"/>
          <w:b w:val="0"/>
          <w:bCs w:val="0"/>
          <w:i w:val="0"/>
          <w:iCs w:val="0"/>
          <w:color w:val="000000"/>
          <w:kern w:val="0"/>
          <w:sz w:val="18"/>
          <w:szCs w:val="18"/>
          <w:u w:val="none"/>
          <w:lang w:val="en-US" w:eastAsia="zh-CN" w:bidi="ar"/>
        </w:rPr>
        <w:t>S</w:t>
      </w:r>
      <w:bookmarkStart w:id="0" w:name="_GoBack"/>
      <w:bookmarkEnd w:id="0"/>
      <w:r>
        <w:rPr>
          <w:rFonts w:hint="default" w:ascii="Times New Roman" w:hAnsi="Times New Roman" w:eastAsia="宋体" w:cs="Times New Roman"/>
          <w:b w:val="0"/>
          <w:bCs w:val="0"/>
          <w:i w:val="0"/>
          <w:iCs w:val="0"/>
          <w:color w:val="000000"/>
          <w:kern w:val="0"/>
          <w:sz w:val="18"/>
          <w:szCs w:val="18"/>
          <w:u w:val="none"/>
          <w:lang w:val="en-US" w:eastAsia="zh-CN" w:bidi="ar"/>
        </w:rPr>
        <w:t>1 SBAR Handover Checklist for the ICU</w:t>
      </w:r>
    </w:p>
    <w:p w14:paraId="1563F394">
      <w:pPr>
        <w:spacing w:line="360" w:lineRule="auto"/>
        <w:rPr>
          <w:rFonts w:hint="default" w:ascii="Times New Roman" w:hAnsi="Times New Roman" w:eastAsia="宋体" w:cs="Times New Roman"/>
          <w:b w:val="0"/>
          <w:bCs w:val="0"/>
          <w:i w:val="0"/>
          <w:iCs w:val="0"/>
          <w:caps w:val="0"/>
          <w:color w:val="auto"/>
          <w:spacing w:val="0"/>
          <w:kern w:val="2"/>
          <w:sz w:val="21"/>
          <w:szCs w:val="21"/>
          <w:highlight w:val="none"/>
          <w:shd w:val="clear" w:fill="FFFFFF"/>
          <w:lang w:val="en-US" w:eastAsia="zh-CN" w:bidi="ar-SA"/>
        </w:rPr>
      </w:pPr>
      <w:r>
        <w:rPr>
          <w:rFonts w:hint="default" w:ascii="Times New Roman" w:hAnsi="Times New Roman" w:eastAsia="宋体" w:cs="Times New Roman"/>
          <w:b w:val="0"/>
          <w:bCs w:val="0"/>
          <w:i w:val="0"/>
          <w:iCs w:val="0"/>
          <w:color w:val="000000"/>
          <w:kern w:val="0"/>
          <w:sz w:val="18"/>
          <w:szCs w:val="18"/>
          <w:u w:val="none"/>
          <w:lang w:val="en-US" w:eastAsia="zh-CN" w:bidi="ar"/>
        </w:rPr>
        <w:t>Instructions: This form shall be completed by the checking nurse, including the patient's basic information in the header section. When filling out the form, verify the contents that have and have not been completed by the handing-over nurses during the shift handover process according to the four sections above. Mark "Yes" if completed, "No" if not completed. No check is required if the item does not apply to the patient.</w:t>
      </w:r>
    </w:p>
    <w:tbl>
      <w:tblPr>
        <w:tblStyle w:val="2"/>
        <w:tblW w:w="11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39"/>
        <w:gridCol w:w="1100"/>
        <w:gridCol w:w="9408"/>
      </w:tblGrid>
      <w:tr w14:paraId="046A0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11647" w:type="dxa"/>
            <w:gridSpan w:val="3"/>
            <w:shd w:val="clear" w:color="auto" w:fill="auto"/>
            <w:vAlign w:val="top"/>
          </w:tcPr>
          <w:p w14:paraId="3DE590B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4"/>
                <w:rFonts w:hint="default" w:ascii="Times New Roman" w:hAnsi="Times New Roman" w:eastAsia="Segoe UI" w:cs="Times New Roman"/>
                <w:b/>
                <w:bCs/>
                <w:i w:val="0"/>
                <w:iCs w:val="0"/>
                <w:caps w:val="0"/>
                <w:spacing w:val="0"/>
                <w:sz w:val="18"/>
                <w:szCs w:val="18"/>
                <w:shd w:val="clear" w:fill="FFFFFF"/>
                <w:vertAlign w:val="baseline"/>
              </w:rPr>
              <w:t>Date</w:t>
            </w:r>
            <w:r>
              <w:rPr>
                <w:rStyle w:val="5"/>
                <w:rFonts w:hint="default" w:ascii="Times New Roman" w:hAnsi="Times New Roman" w:cs="Times New Roman"/>
                <w:b/>
                <w:bCs/>
                <w:sz w:val="18"/>
                <w:szCs w:val="18"/>
                <w:lang w:val="en-US" w:eastAsia="zh-CN" w:bidi="ar"/>
              </w:rPr>
              <w:t>：</w:t>
            </w:r>
            <w:r>
              <w:rPr>
                <w:rStyle w:val="6"/>
                <w:rFonts w:hint="default" w:ascii="Times New Roman" w:hAnsi="Times New Roman" w:eastAsia="宋体" w:cs="Times New Roman"/>
                <w:b/>
                <w:bCs/>
                <w:sz w:val="18"/>
                <w:szCs w:val="18"/>
                <w:lang w:val="en-US" w:eastAsia="zh-CN" w:bidi="ar"/>
              </w:rPr>
              <w:t xml:space="preserve">     </w:t>
            </w:r>
            <w:r>
              <w:rPr>
                <w:rStyle w:val="4"/>
                <w:rFonts w:hint="default" w:ascii="Times New Roman" w:hAnsi="Times New Roman" w:eastAsia="Segoe UI" w:cs="Times New Roman"/>
                <w:b/>
                <w:bCs/>
                <w:i w:val="0"/>
                <w:iCs w:val="0"/>
                <w:caps w:val="0"/>
                <w:spacing w:val="0"/>
                <w:sz w:val="18"/>
                <w:szCs w:val="18"/>
                <w:shd w:val="clear" w:fill="FFFFFF"/>
                <w:vertAlign w:val="baseline"/>
              </w:rPr>
              <w:t>Shift</w:t>
            </w:r>
            <w:r>
              <w:rPr>
                <w:rStyle w:val="5"/>
                <w:rFonts w:hint="default" w:ascii="Times New Roman" w:hAnsi="Times New Roman" w:cs="Times New Roman"/>
                <w:b/>
                <w:bCs/>
                <w:sz w:val="18"/>
                <w:szCs w:val="18"/>
                <w:lang w:val="en-US" w:eastAsia="zh-CN" w:bidi="ar"/>
              </w:rPr>
              <w:t>：</w:t>
            </w:r>
            <w:r>
              <w:rPr>
                <w:rStyle w:val="6"/>
                <w:rFonts w:hint="default" w:ascii="Times New Roman" w:hAnsi="Times New Roman" w:eastAsia="宋体" w:cs="Times New Roman"/>
                <w:b/>
                <w:bCs/>
                <w:sz w:val="18"/>
                <w:szCs w:val="18"/>
                <w:lang w:val="en-US" w:eastAsia="zh-CN" w:bidi="ar"/>
              </w:rPr>
              <w:t xml:space="preserve">     </w:t>
            </w:r>
            <w:r>
              <w:rPr>
                <w:rStyle w:val="4"/>
                <w:rFonts w:hint="default" w:ascii="Times New Roman" w:hAnsi="Times New Roman" w:eastAsia="Segoe UI" w:cs="Times New Roman"/>
                <w:b/>
                <w:bCs/>
                <w:i w:val="0"/>
                <w:iCs w:val="0"/>
                <w:caps w:val="0"/>
                <w:spacing w:val="0"/>
                <w:sz w:val="18"/>
                <w:szCs w:val="18"/>
                <w:shd w:val="clear" w:fill="FFFFFF"/>
                <w:vertAlign w:val="baseline"/>
              </w:rPr>
              <w:t>Bed No</w:t>
            </w:r>
            <w:r>
              <w:rPr>
                <w:rStyle w:val="5"/>
                <w:rFonts w:hint="default" w:ascii="Times New Roman" w:hAnsi="Times New Roman" w:cs="Times New Roman"/>
                <w:b/>
                <w:bCs/>
                <w:sz w:val="18"/>
                <w:szCs w:val="18"/>
                <w:lang w:val="en-US" w:eastAsia="zh-CN" w:bidi="ar"/>
              </w:rPr>
              <w:t>：</w:t>
            </w:r>
            <w:r>
              <w:rPr>
                <w:rStyle w:val="6"/>
                <w:rFonts w:hint="default" w:ascii="Times New Roman" w:hAnsi="Times New Roman" w:eastAsia="宋体" w:cs="Times New Roman"/>
                <w:b/>
                <w:bCs/>
                <w:sz w:val="18"/>
                <w:szCs w:val="18"/>
                <w:lang w:val="en-US" w:eastAsia="zh-CN" w:bidi="ar"/>
              </w:rPr>
              <w:t xml:space="preserve">     </w:t>
            </w:r>
            <w:r>
              <w:rPr>
                <w:rStyle w:val="4"/>
                <w:rFonts w:hint="default" w:ascii="Times New Roman" w:hAnsi="Times New Roman" w:eastAsia="Segoe UI" w:cs="Times New Roman"/>
                <w:b/>
                <w:bCs/>
                <w:i w:val="0"/>
                <w:iCs w:val="0"/>
                <w:caps w:val="0"/>
                <w:spacing w:val="0"/>
                <w:sz w:val="18"/>
                <w:szCs w:val="18"/>
                <w:shd w:val="clear" w:fill="FFFFFF"/>
                <w:vertAlign w:val="baseline"/>
              </w:rPr>
              <w:t>Name</w:t>
            </w:r>
            <w:r>
              <w:rPr>
                <w:rStyle w:val="5"/>
                <w:rFonts w:hint="default" w:ascii="Times New Roman" w:hAnsi="Times New Roman" w:cs="Times New Roman"/>
                <w:b/>
                <w:bCs/>
                <w:sz w:val="18"/>
                <w:szCs w:val="18"/>
                <w:lang w:val="en-US" w:eastAsia="zh-CN" w:bidi="ar"/>
              </w:rPr>
              <w:t>：</w:t>
            </w:r>
            <w:r>
              <w:rPr>
                <w:rStyle w:val="6"/>
                <w:rFonts w:hint="default" w:ascii="Times New Roman" w:hAnsi="Times New Roman" w:eastAsia="宋体" w:cs="Times New Roman"/>
                <w:b/>
                <w:bCs/>
                <w:sz w:val="18"/>
                <w:szCs w:val="18"/>
                <w:lang w:val="en-US" w:eastAsia="zh-CN" w:bidi="ar"/>
              </w:rPr>
              <w:t xml:space="preserve">       </w:t>
            </w:r>
            <w:r>
              <w:rPr>
                <w:rStyle w:val="4"/>
                <w:rFonts w:hint="default" w:ascii="Times New Roman" w:hAnsi="Times New Roman" w:eastAsia="Segoe UI" w:cs="Times New Roman"/>
                <w:b/>
                <w:bCs/>
                <w:i w:val="0"/>
                <w:iCs w:val="0"/>
                <w:caps w:val="0"/>
                <w:spacing w:val="0"/>
                <w:sz w:val="18"/>
                <w:szCs w:val="18"/>
                <w:shd w:val="clear" w:fill="FFFFFF"/>
                <w:vertAlign w:val="baseline"/>
              </w:rPr>
              <w:t>Receiver/Handover Nurse</w:t>
            </w:r>
            <w:r>
              <w:rPr>
                <w:rStyle w:val="5"/>
                <w:rFonts w:hint="default" w:ascii="Times New Roman" w:hAnsi="Times New Roman" w:cs="Times New Roman"/>
                <w:b/>
                <w:bCs/>
                <w:sz w:val="18"/>
                <w:szCs w:val="18"/>
                <w:lang w:val="en-US" w:eastAsia="zh-CN" w:bidi="ar"/>
              </w:rPr>
              <w:t>：</w:t>
            </w:r>
            <w:r>
              <w:rPr>
                <w:rStyle w:val="6"/>
                <w:rFonts w:hint="default" w:ascii="Times New Roman" w:hAnsi="Times New Roman" w:eastAsia="宋体" w:cs="Times New Roman"/>
                <w:b/>
                <w:bCs/>
                <w:sz w:val="18"/>
                <w:szCs w:val="18"/>
                <w:lang w:val="en-US" w:eastAsia="zh-CN" w:bidi="ar"/>
              </w:rPr>
              <w:t xml:space="preserve">            </w:t>
            </w:r>
            <w:r>
              <w:rPr>
                <w:rStyle w:val="4"/>
                <w:rFonts w:hint="default" w:ascii="Times New Roman" w:hAnsi="Times New Roman" w:eastAsia="Segoe UI" w:cs="Times New Roman"/>
                <w:b/>
                <w:bCs/>
                <w:i w:val="0"/>
                <w:iCs w:val="0"/>
                <w:caps w:val="0"/>
                <w:spacing w:val="0"/>
                <w:sz w:val="18"/>
                <w:szCs w:val="18"/>
                <w:shd w:val="clear" w:fill="FFFFFF"/>
                <w:vertAlign w:val="baseline"/>
              </w:rPr>
              <w:t>Checker</w:t>
            </w:r>
            <w:r>
              <w:rPr>
                <w:rStyle w:val="5"/>
                <w:rFonts w:hint="default" w:ascii="Times New Roman" w:hAnsi="Times New Roman" w:cs="Times New Roman"/>
                <w:b/>
                <w:bCs/>
                <w:sz w:val="18"/>
                <w:szCs w:val="18"/>
                <w:lang w:val="en-US" w:eastAsia="zh-CN" w:bidi="ar"/>
              </w:rPr>
              <w:t>：</w:t>
            </w:r>
            <w:r>
              <w:rPr>
                <w:rStyle w:val="6"/>
                <w:rFonts w:hint="default" w:ascii="Times New Roman" w:hAnsi="Times New Roman" w:eastAsia="宋体" w:cs="Times New Roman"/>
                <w:b/>
                <w:bCs/>
                <w:sz w:val="18"/>
                <w:szCs w:val="18"/>
                <w:lang w:val="en-US" w:eastAsia="zh-CN" w:bidi="ar"/>
              </w:rPr>
              <w:t xml:space="preserve">  </w:t>
            </w:r>
            <w:r>
              <w:rPr>
                <w:rStyle w:val="6"/>
                <w:rFonts w:eastAsia="宋体"/>
                <w:b/>
                <w:bCs/>
                <w:sz w:val="18"/>
                <w:szCs w:val="18"/>
                <w:lang w:val="en-US" w:eastAsia="zh-CN" w:bidi="ar"/>
              </w:rPr>
              <w:t xml:space="preserve">   </w:t>
            </w:r>
          </w:p>
        </w:tc>
      </w:tr>
      <w:tr w14:paraId="39B0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39" w:type="dxa"/>
            <w:shd w:val="clear" w:color="auto" w:fill="auto"/>
            <w:vAlign w:val="center"/>
          </w:tcPr>
          <w:p w14:paraId="4247C5E6">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Situation</w:t>
            </w:r>
          </w:p>
        </w:tc>
        <w:tc>
          <w:tcPr>
            <w:tcW w:w="10508" w:type="dxa"/>
            <w:gridSpan w:val="2"/>
            <w:shd w:val="clear" w:color="auto" w:fill="auto"/>
            <w:vAlign w:val="center"/>
          </w:tcPr>
          <w:p w14:paraId="52B78A40">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Dual verification of patient identification (bed card and wristband: name, gender, age, bed number)</w:t>
            </w:r>
          </w:p>
          <w:p w14:paraId="69E75ACD">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Current diagnosis</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Admission date</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Clinical symptoms</w:t>
            </w:r>
          </w:p>
        </w:tc>
      </w:tr>
      <w:tr w14:paraId="1DE5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139" w:type="dxa"/>
            <w:shd w:val="clear" w:color="auto" w:fill="auto"/>
            <w:vAlign w:val="center"/>
          </w:tcPr>
          <w:p w14:paraId="406D4156">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Background</w:t>
            </w:r>
          </w:p>
        </w:tc>
        <w:tc>
          <w:tcPr>
            <w:tcW w:w="10508" w:type="dxa"/>
            <w:gridSpan w:val="2"/>
            <w:shd w:val="clear" w:color="auto" w:fill="auto"/>
            <w:vAlign w:val="center"/>
          </w:tcPr>
          <w:p w14:paraId="41D85517">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Past medical history</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Drug allergy history</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Positive findings/results</w:t>
            </w:r>
          </w:p>
          <w:p w14:paraId="5C207E41">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Diagnosis and treatment plan</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Admission risk assessment scores (pressure injury, nutrition, fall risk, etc.)</w:t>
            </w:r>
          </w:p>
        </w:tc>
      </w:tr>
      <w:tr w14:paraId="0532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39" w:type="dxa"/>
            <w:vMerge w:val="restart"/>
            <w:shd w:val="clear" w:color="auto" w:fill="auto"/>
            <w:vAlign w:val="center"/>
          </w:tcPr>
          <w:p w14:paraId="2A6FC7C9">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Assessment</w:t>
            </w:r>
          </w:p>
        </w:tc>
        <w:tc>
          <w:tcPr>
            <w:tcW w:w="10508" w:type="dxa"/>
            <w:gridSpan w:val="2"/>
            <w:shd w:val="clear" w:color="auto" w:fill="auto"/>
            <w:vAlign w:val="center"/>
          </w:tcPr>
          <w:p w14:paraId="6309DD3F">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Condition Assessment:</w:t>
            </w:r>
          </w:p>
          <w:p w14:paraId="287D5A7B">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Verify vital signs</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Assess level of consciousness (call/verbal stimulation to patient)</w:t>
            </w:r>
          </w:p>
          <w:p w14:paraId="6FA674B8">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Observe pupils and light reflex</w:t>
            </w:r>
          </w:p>
        </w:tc>
      </w:tr>
      <w:tr w14:paraId="251A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39" w:type="dxa"/>
            <w:vMerge w:val="continue"/>
            <w:shd w:val="clear" w:color="auto" w:fill="auto"/>
            <w:vAlign w:val="center"/>
          </w:tcPr>
          <w:p w14:paraId="090E1C3F">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1100" w:type="dxa"/>
            <w:vMerge w:val="restart"/>
            <w:shd w:val="clear" w:color="auto" w:fill="auto"/>
            <w:vAlign w:val="center"/>
          </w:tcPr>
          <w:p w14:paraId="0B878825">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Oxygen Therapy Assessment</w:t>
            </w:r>
          </w:p>
        </w:tc>
        <w:tc>
          <w:tcPr>
            <w:tcW w:w="9408" w:type="dxa"/>
            <w:shd w:val="clear" w:color="auto" w:fill="auto"/>
            <w:vAlign w:val="center"/>
          </w:tcPr>
          <w:p w14:paraId="092AFBA2">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Invasive Ventilator:</w:t>
            </w:r>
          </w:p>
          <w:p w14:paraId="33E588A7">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Check ventilator parameters</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Circuit and humidifier activation time</w:t>
            </w:r>
          </w:p>
          <w:p w14:paraId="6593B145">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Humidification effectiveness and condensate management</w:t>
            </w:r>
          </w:p>
        </w:tc>
      </w:tr>
      <w:tr w14:paraId="79E6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39" w:type="dxa"/>
            <w:vMerge w:val="continue"/>
            <w:shd w:val="clear" w:color="auto" w:fill="auto"/>
            <w:vAlign w:val="center"/>
          </w:tcPr>
          <w:p w14:paraId="2D2F902E">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1100" w:type="dxa"/>
            <w:vMerge w:val="continue"/>
            <w:shd w:val="clear" w:color="auto" w:fill="auto"/>
            <w:vAlign w:val="center"/>
          </w:tcPr>
          <w:p w14:paraId="55FE3CB7">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9408" w:type="dxa"/>
            <w:shd w:val="clear" w:color="auto" w:fill="auto"/>
            <w:vAlign w:val="center"/>
          </w:tcPr>
          <w:p w14:paraId="697E756F">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Non-invasive Ventilator (NIV):</w:t>
            </w:r>
          </w:p>
          <w:p w14:paraId="44EC6048">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Check ventilator parameters</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Circuit and humidifier activation time</w:t>
            </w:r>
          </w:p>
          <w:p w14:paraId="017967FF">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Humidification effectiveness and condensate management</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Leak check and facial skin protection</w:t>
            </w:r>
          </w:p>
        </w:tc>
      </w:tr>
      <w:tr w14:paraId="50A2C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39" w:type="dxa"/>
            <w:vMerge w:val="continue"/>
            <w:shd w:val="clear" w:color="auto" w:fill="auto"/>
            <w:vAlign w:val="center"/>
          </w:tcPr>
          <w:p w14:paraId="0BE7335E">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1100" w:type="dxa"/>
            <w:vMerge w:val="continue"/>
            <w:shd w:val="clear" w:color="auto" w:fill="auto"/>
            <w:vAlign w:val="center"/>
          </w:tcPr>
          <w:p w14:paraId="2679E065">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9408" w:type="dxa"/>
            <w:shd w:val="clear" w:color="auto" w:fill="auto"/>
            <w:vAlign w:val="center"/>
          </w:tcPr>
          <w:p w14:paraId="1BA4E124">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Nasal Cannula/Oxygen Mask:</w:t>
            </w:r>
          </w:p>
          <w:p w14:paraId="7B20F44E">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Oxygen concentration (FiO₂)</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Oxygen flow rate</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Oxygen source check</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p>
          <w:p w14:paraId="191EF8D8">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Humidification water check and nasal cannula replacement</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p>
          <w:p w14:paraId="68B1CA80">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Humidification effectiveness and condensate management</w:t>
            </w:r>
          </w:p>
        </w:tc>
      </w:tr>
      <w:tr w14:paraId="7289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jc w:val="center"/>
        </w:trPr>
        <w:tc>
          <w:tcPr>
            <w:tcW w:w="1139" w:type="dxa"/>
            <w:vMerge w:val="continue"/>
            <w:shd w:val="clear" w:color="auto" w:fill="auto"/>
            <w:vAlign w:val="center"/>
          </w:tcPr>
          <w:p w14:paraId="46FC5BB2">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1100" w:type="dxa"/>
            <w:vMerge w:val="restart"/>
            <w:shd w:val="clear" w:color="auto" w:fill="auto"/>
            <w:vAlign w:val="center"/>
          </w:tcPr>
          <w:p w14:paraId="49D25FC6">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Tubing Assessment</w:t>
            </w:r>
          </w:p>
        </w:tc>
        <w:tc>
          <w:tcPr>
            <w:tcW w:w="9408" w:type="dxa"/>
            <w:shd w:val="clear" w:color="auto" w:fill="auto"/>
            <w:vAlign w:val="center"/>
          </w:tcPr>
          <w:p w14:paraId="538FD276">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Nasogastric Tube/Enteral Tube/ERCP:</w:t>
            </w:r>
          </w:p>
          <w:p w14:paraId="0F53B9FC">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Labeling and insertion date</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Depth verification</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Position confirmation</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p>
          <w:p w14:paraId="5294F727">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Gastric residual volume (GRV)</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Enteral nutrition/GI decompression/ERCP drainage observation</w:t>
            </w:r>
          </w:p>
        </w:tc>
      </w:tr>
      <w:tr w14:paraId="633B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139" w:type="dxa"/>
            <w:vMerge w:val="continue"/>
            <w:shd w:val="clear" w:color="auto" w:fill="auto"/>
            <w:vAlign w:val="center"/>
          </w:tcPr>
          <w:p w14:paraId="546B4633">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1100" w:type="dxa"/>
            <w:vMerge w:val="continue"/>
            <w:shd w:val="clear" w:color="auto" w:fill="auto"/>
            <w:vAlign w:val="center"/>
          </w:tcPr>
          <w:p w14:paraId="4F142F9E">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9408" w:type="dxa"/>
            <w:shd w:val="clear" w:color="auto" w:fill="auto"/>
            <w:vAlign w:val="center"/>
          </w:tcPr>
          <w:p w14:paraId="3D289066">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Tracheostomy/Endotracheal Tube:</w:t>
            </w:r>
          </w:p>
          <w:p w14:paraId="7597D434">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Insertion date</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Tube insertion depth</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Cuff pressure monitoring</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p>
          <w:p w14:paraId="49F2533A">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Auscultation of lungs</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Sputum characteristics</w:t>
            </w:r>
          </w:p>
        </w:tc>
      </w:tr>
      <w:tr w14:paraId="3DDAE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39" w:type="dxa"/>
            <w:vMerge w:val="continue"/>
            <w:shd w:val="clear" w:color="auto" w:fill="auto"/>
            <w:vAlign w:val="center"/>
          </w:tcPr>
          <w:p w14:paraId="481C6DF0">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1100" w:type="dxa"/>
            <w:vMerge w:val="continue"/>
            <w:shd w:val="clear" w:color="auto" w:fill="auto"/>
            <w:vAlign w:val="center"/>
          </w:tcPr>
          <w:p w14:paraId="2D0B25C7">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9408" w:type="dxa"/>
            <w:shd w:val="clear" w:color="auto" w:fill="auto"/>
            <w:vAlign w:val="center"/>
          </w:tcPr>
          <w:p w14:paraId="4EA89E91">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Venous Catheter:</w:t>
            </w:r>
          </w:p>
          <w:p w14:paraId="4DD0DA72">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Labeling (catheter type, insertion date, depth)</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Insertion site observation and dressing condition</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Secondary securement</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Blood return/backflow</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Infusion rate</w:t>
            </w:r>
          </w:p>
          <w:p w14:paraId="6B904C2B">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CVP transducer kit expiration date, waveform display, and zeroing</w:t>
            </w:r>
          </w:p>
        </w:tc>
      </w:tr>
      <w:tr w14:paraId="2C65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0" w:hRule="atLeast"/>
          <w:jc w:val="center"/>
        </w:trPr>
        <w:tc>
          <w:tcPr>
            <w:tcW w:w="1139" w:type="dxa"/>
            <w:vMerge w:val="continue"/>
            <w:shd w:val="clear" w:color="auto" w:fill="auto"/>
            <w:vAlign w:val="center"/>
          </w:tcPr>
          <w:p w14:paraId="0D35D55E">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1100" w:type="dxa"/>
            <w:vMerge w:val="continue"/>
            <w:shd w:val="clear" w:color="auto" w:fill="auto"/>
            <w:vAlign w:val="center"/>
          </w:tcPr>
          <w:p w14:paraId="3424E8B0">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9408" w:type="dxa"/>
            <w:shd w:val="clear" w:color="auto" w:fill="auto"/>
            <w:vAlign w:val="center"/>
          </w:tcPr>
          <w:p w14:paraId="37AA7498">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Arterial Line:</w:t>
            </w:r>
          </w:p>
          <w:p w14:paraId="265287C3">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Insertion date</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Insertion site observation and dressing condition</w:t>
            </w:r>
          </w:p>
          <w:p w14:paraId="0FC4787F">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Secondary securement</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Check pressure transducer kit expiration date</w:t>
            </w:r>
          </w:p>
          <w:p w14:paraId="4A78EF24">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Pressure transducer waveform display and zeroing</w:t>
            </w:r>
          </w:p>
        </w:tc>
      </w:tr>
      <w:tr w14:paraId="0EB9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0" w:hRule="atLeast"/>
          <w:jc w:val="center"/>
        </w:trPr>
        <w:tc>
          <w:tcPr>
            <w:tcW w:w="1139" w:type="dxa"/>
            <w:vMerge w:val="continue"/>
            <w:shd w:val="clear" w:color="auto" w:fill="auto"/>
            <w:vAlign w:val="center"/>
          </w:tcPr>
          <w:p w14:paraId="08B38F87">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1100" w:type="dxa"/>
            <w:vMerge w:val="continue"/>
            <w:shd w:val="clear" w:color="auto" w:fill="auto"/>
            <w:vAlign w:val="center"/>
          </w:tcPr>
          <w:p w14:paraId="07D8F219">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9408" w:type="dxa"/>
            <w:shd w:val="clear" w:color="auto" w:fill="auto"/>
            <w:vAlign w:val="center"/>
          </w:tcPr>
          <w:p w14:paraId="3677692E">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ECMO Cannulation:</w:t>
            </w:r>
          </w:p>
          <w:p w14:paraId="41681C3A">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Labeling (cannula type, insertion date, insertion depth, external length)</w:t>
            </w:r>
          </w:p>
          <w:p w14:paraId="74117A82">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Insertion site and dressing condition</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Secondary and tertiary securement</w:t>
            </w:r>
          </w:p>
          <w:p w14:paraId="29427521">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SpO₂ clip position</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Check rotational speed, flow rate, and water bath (temperature, fluid level)</w:t>
            </w:r>
          </w:p>
          <w:p w14:paraId="5182C147">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Oxygenator condition and sweep gas (adjust oxygen flow back)</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ECMO monitoring sheet</w:t>
            </w:r>
          </w:p>
          <w:p w14:paraId="1FFA54A6">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Oxygen source, oxygen flow rate/air-oxygen blender parameters</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p>
        </w:tc>
      </w:tr>
      <w:tr w14:paraId="4039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0" w:hRule="atLeast"/>
          <w:jc w:val="center"/>
        </w:trPr>
        <w:tc>
          <w:tcPr>
            <w:tcW w:w="1139" w:type="dxa"/>
            <w:vMerge w:val="continue"/>
            <w:shd w:val="clear" w:color="auto" w:fill="auto"/>
            <w:vAlign w:val="center"/>
          </w:tcPr>
          <w:p w14:paraId="51F96F91">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1100" w:type="dxa"/>
            <w:vMerge w:val="continue"/>
            <w:shd w:val="clear" w:color="auto" w:fill="auto"/>
            <w:vAlign w:val="center"/>
          </w:tcPr>
          <w:p w14:paraId="0ED66A39">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9408" w:type="dxa"/>
            <w:shd w:val="clear" w:color="auto" w:fill="auto"/>
            <w:vAlign w:val="center"/>
          </w:tcPr>
          <w:p w14:paraId="58929D27">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CRRT Catheter:</w:t>
            </w:r>
          </w:p>
          <w:p w14:paraId="13537B9A">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Labeling (catheter type, insertion date, insertion depth/external length)</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Puncture site observation and dressing condition</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Secondary and tertiary securement</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Check parameters, prescription, and operational status</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Calcium, sodium bicarbonate, and citrate infusion sites</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CRRT flow sheet/record</w:t>
            </w:r>
          </w:p>
        </w:tc>
      </w:tr>
      <w:tr w14:paraId="4B3B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jc w:val="center"/>
        </w:trPr>
        <w:tc>
          <w:tcPr>
            <w:tcW w:w="1139" w:type="dxa"/>
            <w:vMerge w:val="continue"/>
            <w:shd w:val="clear" w:color="auto" w:fill="auto"/>
            <w:vAlign w:val="center"/>
          </w:tcPr>
          <w:p w14:paraId="7FA92EC3">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1100" w:type="dxa"/>
            <w:vMerge w:val="continue"/>
            <w:shd w:val="clear" w:color="auto" w:fill="auto"/>
            <w:vAlign w:val="center"/>
          </w:tcPr>
          <w:p w14:paraId="5AB9E80E">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9408" w:type="dxa"/>
            <w:shd w:val="clear" w:color="auto" w:fill="auto"/>
            <w:vAlign w:val="center"/>
          </w:tcPr>
          <w:p w14:paraId="6588F42F">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Drainage Tube:</w:t>
            </w:r>
          </w:p>
          <w:p w14:paraId="3A35C477">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Labeling (catheter type, insertion date, insertion depth)</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Patency (color, character, volume)</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p>
          <w:p w14:paraId="7A5AAC6B">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Puncture site observation and dressing condition</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Yes</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Secondary securement</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p>
          <w:p w14:paraId="650F9D59">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No Special handover </w:t>
            </w:r>
          </w:p>
        </w:tc>
      </w:tr>
      <w:tr w14:paraId="0D01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jc w:val="center"/>
        </w:trPr>
        <w:tc>
          <w:tcPr>
            <w:tcW w:w="1139" w:type="dxa"/>
            <w:vMerge w:val="continue"/>
            <w:shd w:val="clear" w:color="auto" w:fill="auto"/>
            <w:vAlign w:val="center"/>
          </w:tcPr>
          <w:p w14:paraId="6D6414CF">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1100" w:type="dxa"/>
            <w:vMerge w:val="continue"/>
            <w:shd w:val="clear" w:color="auto" w:fill="auto"/>
            <w:vAlign w:val="center"/>
          </w:tcPr>
          <w:p w14:paraId="7108F4B3">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9408" w:type="dxa"/>
            <w:shd w:val="clear" w:color="auto" w:fill="auto"/>
            <w:vAlign w:val="center"/>
          </w:tcPr>
          <w:p w14:paraId="73E692BA">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Closed Thoracic Drainage:</w:t>
            </w:r>
          </w:p>
          <w:p w14:paraId="06BE12E7">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Labeling (catheter type, insertion date, insertion depth)</w:t>
            </w:r>
          </w:p>
          <w:p w14:paraId="624914C6">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Patency (color, character, volume, water column fluctuation)</w:t>
            </w:r>
          </w:p>
          <w:p w14:paraId="163B88A1">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Puncture site observation and dressing condition</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p>
          <w:p w14:paraId="5BB4E390">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Secondary securement</w:t>
            </w:r>
          </w:p>
          <w:p w14:paraId="7EC37593">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Drainage bottle expiration date, fluid change, and scale marking</w:t>
            </w:r>
          </w:p>
        </w:tc>
      </w:tr>
      <w:tr w14:paraId="733C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39" w:type="dxa"/>
            <w:vMerge w:val="continue"/>
            <w:shd w:val="clear" w:color="auto" w:fill="auto"/>
            <w:vAlign w:val="center"/>
          </w:tcPr>
          <w:p w14:paraId="41DFFFF9">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1100" w:type="dxa"/>
            <w:vMerge w:val="continue"/>
            <w:shd w:val="clear" w:color="auto" w:fill="auto"/>
            <w:vAlign w:val="center"/>
          </w:tcPr>
          <w:p w14:paraId="4B6C1801">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9408" w:type="dxa"/>
            <w:shd w:val="clear" w:color="auto" w:fill="auto"/>
            <w:vAlign w:val="center"/>
          </w:tcPr>
          <w:p w14:paraId="32E00D3D">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Urinary Catheter:</w:t>
            </w:r>
          </w:p>
          <w:p w14:paraId="45B14064">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Insertion date</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Labeling/Identification</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Patency (color, character, volume)</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p>
          <w:p w14:paraId="1C856E6C">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Secondary securement</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Urine bag expiration date and position</w:t>
            </w:r>
          </w:p>
        </w:tc>
      </w:tr>
      <w:tr w14:paraId="5FCC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39" w:type="dxa"/>
            <w:vMerge w:val="continue"/>
            <w:shd w:val="clear" w:color="auto" w:fill="auto"/>
            <w:vAlign w:val="center"/>
          </w:tcPr>
          <w:p w14:paraId="744195F4">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10508" w:type="dxa"/>
            <w:gridSpan w:val="2"/>
            <w:shd w:val="clear" w:color="auto" w:fill="auto"/>
            <w:vAlign w:val="center"/>
          </w:tcPr>
          <w:p w14:paraId="3079F6E6">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Medication Assessment:</w:t>
            </w:r>
          </w:p>
          <w:p w14:paraId="55475D17">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2" w:char="00A3"/>
            </w:r>
            <w:r>
              <w:rPr>
                <w:rFonts w:hint="default" w:ascii="Times New Roman" w:hAnsi="Times New Roman" w:eastAsia="宋体" w:cs="Times New Roman"/>
                <w:b w:val="0"/>
                <w:bCs w:val="0"/>
                <w:i w:val="0"/>
                <w:iCs w:val="0"/>
                <w:color w:val="000000"/>
                <w:kern w:val="0"/>
                <w:sz w:val="18"/>
                <w:szCs w:val="18"/>
                <w:u w:val="none"/>
                <w:lang w:val="en-US" w:eastAsia="zh-CN" w:bidi="ar"/>
              </w:rPr>
              <w:t>No Drug name and preparation time</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Special medication labeling</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2" w:char="00A3"/>
            </w:r>
            <w:r>
              <w:rPr>
                <w:rFonts w:hint="default" w:ascii="Times New Roman" w:hAnsi="Times New Roman" w:eastAsia="宋体" w:cs="Times New Roman"/>
                <w:b w:val="0"/>
                <w:bCs w:val="0"/>
                <w:i w:val="0"/>
                <w:iCs w:val="0"/>
                <w:color w:val="000000"/>
                <w:kern w:val="0"/>
                <w:sz w:val="18"/>
                <w:szCs w:val="18"/>
                <w:u w:val="none"/>
                <w:lang w:val="en-US" w:eastAsia="zh-CN" w:bidi="ar"/>
              </w:rPr>
              <w:t>No Check infusion/pump rate</w:t>
            </w:r>
          </w:p>
          <w:p w14:paraId="0C677D32">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Check remaining volume</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Check add-on devices</w:t>
            </w:r>
          </w:p>
        </w:tc>
      </w:tr>
      <w:tr w14:paraId="56D0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39" w:type="dxa"/>
            <w:vMerge w:val="continue"/>
            <w:shd w:val="clear" w:color="auto" w:fill="auto"/>
            <w:vAlign w:val="center"/>
          </w:tcPr>
          <w:p w14:paraId="1C49BECC">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10508" w:type="dxa"/>
            <w:gridSpan w:val="2"/>
            <w:shd w:val="clear" w:color="auto" w:fill="auto"/>
            <w:vAlign w:val="center"/>
          </w:tcPr>
          <w:p w14:paraId="46CC71CE">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Skin Assessment</w:t>
            </w:r>
            <w:r>
              <w:rPr>
                <w:rFonts w:hint="eastAsia" w:ascii="Times New Roman" w:hAnsi="Times New Roman" w:eastAsia="宋体" w:cs="Times New Roman"/>
                <w:b w:val="0"/>
                <w:bCs w:val="0"/>
                <w:i w:val="0"/>
                <w:iCs w:val="0"/>
                <w:color w:val="000000"/>
                <w:kern w:val="0"/>
                <w:sz w:val="18"/>
                <w:szCs w:val="18"/>
                <w:u w:val="none"/>
                <w:lang w:val="en-US" w:eastAsia="zh-CN" w:bidi="ar"/>
              </w:rPr>
              <w:t>：</w:t>
            </w:r>
          </w:p>
          <w:p w14:paraId="15B75132">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Pressure injury (site, size, management)</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Incontinence-associated dermatitis (extent, grade, management)</w:t>
            </w:r>
          </w:p>
          <w:p w14:paraId="3992A02F">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No Others (edema </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and </w:t>
            </w:r>
            <w:r>
              <w:rPr>
                <w:rFonts w:hint="default" w:ascii="Times New Roman" w:hAnsi="Times New Roman" w:eastAsia="宋体" w:cs="Times New Roman"/>
                <w:b w:val="0"/>
                <w:bCs w:val="0"/>
                <w:i w:val="0"/>
                <w:iCs w:val="0"/>
                <w:color w:val="000000"/>
                <w:kern w:val="0"/>
                <w:sz w:val="18"/>
                <w:szCs w:val="18"/>
                <w:u w:val="none"/>
                <w:lang w:val="en-US" w:eastAsia="zh-CN" w:bidi="ar"/>
              </w:rPr>
              <w:t xml:space="preserve">management, breakdown </w:t>
            </w:r>
            <w:r>
              <w:rPr>
                <w:rFonts w:hint="eastAsia" w:ascii="Times New Roman" w:hAnsi="Times New Roman" w:eastAsia="宋体" w:cs="Times New Roman"/>
                <w:b w:val="0"/>
                <w:bCs w:val="0"/>
                <w:i w:val="0"/>
                <w:iCs w:val="0"/>
                <w:color w:val="000000"/>
                <w:kern w:val="0"/>
                <w:sz w:val="18"/>
                <w:szCs w:val="18"/>
                <w:u w:val="none"/>
                <w:lang w:val="en-US" w:eastAsia="zh-CN" w:bidi="ar"/>
              </w:rPr>
              <w:t>and</w:t>
            </w:r>
            <w:r>
              <w:rPr>
                <w:rFonts w:hint="default" w:ascii="Times New Roman" w:hAnsi="Times New Roman" w:eastAsia="宋体" w:cs="Times New Roman"/>
                <w:b w:val="0"/>
                <w:bCs w:val="0"/>
                <w:i w:val="0"/>
                <w:iCs w:val="0"/>
                <w:color w:val="000000"/>
                <w:kern w:val="0"/>
                <w:sz w:val="18"/>
                <w:szCs w:val="18"/>
                <w:u w:val="none"/>
                <w:lang w:val="en-US" w:eastAsia="zh-CN" w:bidi="ar"/>
              </w:rPr>
              <w:t xml:space="preserve"> management, rash </w:t>
            </w:r>
            <w:r>
              <w:rPr>
                <w:rFonts w:hint="eastAsia" w:ascii="Times New Roman" w:hAnsi="Times New Roman" w:eastAsia="宋体" w:cs="Times New Roman"/>
                <w:b w:val="0"/>
                <w:bCs w:val="0"/>
                <w:i w:val="0"/>
                <w:iCs w:val="0"/>
                <w:color w:val="000000"/>
                <w:kern w:val="0"/>
                <w:sz w:val="18"/>
                <w:szCs w:val="18"/>
                <w:u w:val="none"/>
                <w:lang w:val="en-US" w:eastAsia="zh-CN" w:bidi="ar"/>
              </w:rPr>
              <w:t>and</w:t>
            </w:r>
            <w:r>
              <w:rPr>
                <w:rFonts w:hint="default" w:ascii="Times New Roman" w:hAnsi="Times New Roman" w:eastAsia="宋体" w:cs="Times New Roman"/>
                <w:b w:val="0"/>
                <w:bCs w:val="0"/>
                <w:i w:val="0"/>
                <w:iCs w:val="0"/>
                <w:color w:val="000000"/>
                <w:kern w:val="0"/>
                <w:sz w:val="18"/>
                <w:szCs w:val="18"/>
                <w:u w:val="none"/>
                <w:lang w:val="en-US" w:eastAsia="zh-CN" w:bidi="ar"/>
              </w:rPr>
              <w:t xml:space="preserve"> management, etc.)</w:t>
            </w:r>
          </w:p>
        </w:tc>
      </w:tr>
      <w:tr w14:paraId="2741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139" w:type="dxa"/>
            <w:vMerge w:val="continue"/>
            <w:shd w:val="clear" w:color="auto" w:fill="auto"/>
            <w:vAlign w:val="center"/>
          </w:tcPr>
          <w:p w14:paraId="7ED2D462">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10508" w:type="dxa"/>
            <w:gridSpan w:val="2"/>
            <w:shd w:val="clear" w:color="auto" w:fill="auto"/>
            <w:vAlign w:val="center"/>
          </w:tcPr>
          <w:p w14:paraId="7379F44D">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Restraint</w:t>
            </w:r>
            <w:r>
              <w:rPr>
                <w:rFonts w:hint="eastAsia" w:ascii="Times New Roman" w:hAnsi="Times New Roman" w:eastAsia="宋体" w:cs="Times New Roman"/>
                <w:b w:val="0"/>
                <w:bCs w:val="0"/>
                <w:i w:val="0"/>
                <w:iCs w:val="0"/>
                <w:color w:val="000000"/>
                <w:kern w:val="0"/>
                <w:sz w:val="18"/>
                <w:szCs w:val="18"/>
                <w:u w:val="none"/>
                <w:lang w:val="en-US" w:eastAsia="zh-CN" w:bidi="ar"/>
              </w:rPr>
              <w:t>：</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t xml:space="preserve">Restraint Order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w:t>
            </w:r>
            <w:r>
              <w:rPr>
                <w:rFonts w:hint="eastAsia" w:ascii="Times New Roman" w:hAnsi="Times New Roman" w:eastAsia="宋体" w:cs="Times New Roman"/>
                <w:b w:val="0"/>
                <w:bCs w:val="0"/>
                <w:i w:val="0"/>
                <w:iCs w:val="0"/>
                <w:color w:val="000000"/>
                <w:kern w:val="0"/>
                <w:sz w:val="18"/>
                <w:szCs w:val="18"/>
                <w:u w:val="none"/>
                <w:lang w:val="en-US" w:eastAsia="zh-CN" w:bidi="ar"/>
              </w:rPr>
              <w:t xml:space="preserve"> </w:t>
            </w:r>
            <w:r>
              <w:rPr>
                <w:rFonts w:hint="default" w:ascii="Times New Roman" w:hAnsi="Times New Roman" w:eastAsia="宋体" w:cs="Times New Roman"/>
                <w:b w:val="0"/>
                <w:bCs w:val="0"/>
                <w:i w:val="0"/>
                <w:iCs w:val="0"/>
                <w:color w:val="000000"/>
                <w:kern w:val="0"/>
                <w:sz w:val="18"/>
                <w:szCs w:val="18"/>
                <w:u w:val="none"/>
                <w:lang w:val="en-US" w:eastAsia="zh-CN" w:bidi="ar"/>
              </w:rPr>
              <w:t>Skin condition of restrained areas and necessary protection</w:t>
            </w:r>
          </w:p>
        </w:tc>
      </w:tr>
      <w:tr w14:paraId="3A0A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39" w:type="dxa"/>
            <w:vMerge w:val="continue"/>
            <w:shd w:val="clear" w:color="auto" w:fill="auto"/>
            <w:vAlign w:val="center"/>
          </w:tcPr>
          <w:p w14:paraId="62A58C03">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p>
        </w:tc>
        <w:tc>
          <w:tcPr>
            <w:tcW w:w="10508" w:type="dxa"/>
            <w:gridSpan w:val="2"/>
            <w:shd w:val="clear" w:color="auto" w:fill="auto"/>
            <w:vAlign w:val="center"/>
          </w:tcPr>
          <w:p w14:paraId="69C4FDCD">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Other</w:t>
            </w:r>
            <w:r>
              <w:rPr>
                <w:rFonts w:hint="eastAsia" w:ascii="Times New Roman" w:hAnsi="Times New Roman" w:eastAsia="宋体" w:cs="Times New Roman"/>
                <w:b w:val="0"/>
                <w:bCs w:val="0"/>
                <w:i w:val="0"/>
                <w:iCs w:val="0"/>
                <w:color w:val="000000"/>
                <w:kern w:val="0"/>
                <w:sz w:val="18"/>
                <w:szCs w:val="18"/>
                <w:u w:val="none"/>
                <w:lang w:val="en-US" w:eastAsia="zh-CN" w:bidi="ar"/>
              </w:rPr>
              <w:t>：</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No Special Handover (limb mobility, diet, sleep, mood changes, special medications, albumin, counting of patient's own medications)    </w:t>
            </w:r>
          </w:p>
        </w:tc>
      </w:tr>
      <w:tr w14:paraId="3277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139" w:type="dxa"/>
            <w:shd w:val="clear" w:color="auto" w:fill="auto"/>
            <w:vAlign w:val="top"/>
          </w:tcPr>
          <w:p w14:paraId="5A8E865B">
            <w:pPr>
              <w:spacing w:line="360" w:lineRule="auto"/>
              <w:rPr>
                <w:rFonts w:hint="eastAsia" w:ascii="Times New Roman" w:hAnsi="Times New Roman" w:eastAsia="宋体" w:cs="Times New Roman"/>
                <w:b w:val="0"/>
                <w:bCs w:val="0"/>
                <w:i w:val="0"/>
                <w:iCs w:val="0"/>
                <w:color w:val="000000"/>
                <w:kern w:val="0"/>
                <w:sz w:val="18"/>
                <w:szCs w:val="18"/>
                <w:u w:val="none"/>
                <w:lang w:val="en-US" w:eastAsia="zh-CN" w:bidi="ar"/>
              </w:rPr>
            </w:pPr>
            <w:r>
              <w:rPr>
                <w:rFonts w:hint="eastAsia" w:ascii="Times New Roman" w:hAnsi="Times New Roman" w:eastAsia="宋体" w:cs="Times New Roman"/>
                <w:b w:val="0"/>
                <w:bCs w:val="0"/>
                <w:i w:val="0"/>
                <w:iCs w:val="0"/>
                <w:color w:val="000000"/>
                <w:kern w:val="0"/>
                <w:sz w:val="18"/>
                <w:szCs w:val="18"/>
                <w:u w:val="none"/>
                <w:lang w:val="en-US" w:eastAsia="zh-CN" w:bidi="ar"/>
              </w:rPr>
              <w:t>Recommendation</w:t>
            </w:r>
          </w:p>
        </w:tc>
        <w:tc>
          <w:tcPr>
            <w:tcW w:w="10508" w:type="dxa"/>
            <w:gridSpan w:val="2"/>
            <w:shd w:val="clear" w:color="auto" w:fill="auto"/>
            <w:vAlign w:val="center"/>
          </w:tcPr>
          <w:p w14:paraId="25BEE455">
            <w:pPr>
              <w:spacing w:line="360" w:lineRule="auto"/>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 xml:space="preserve">Yes </w:t>
            </w:r>
            <w:r>
              <w:rPr>
                <w:rFonts w:hint="default" w:ascii="Times New Roman" w:hAnsi="Times New Roman" w:eastAsia="宋体" w:cs="Times New Roman"/>
                <w:b w:val="0"/>
                <w:bCs w:val="0"/>
                <w:i w:val="0"/>
                <w:iCs w:val="0"/>
                <w:color w:val="000000"/>
                <w:kern w:val="0"/>
                <w:sz w:val="18"/>
                <w:szCs w:val="18"/>
                <w:u w:val="none"/>
                <w:lang w:val="en-US" w:eastAsia="zh-CN" w:bidi="ar"/>
              </w:rPr>
              <w:sym w:font="Wingdings" w:char="00A8"/>
            </w:r>
            <w:r>
              <w:rPr>
                <w:rFonts w:hint="default" w:ascii="Times New Roman" w:hAnsi="Times New Roman" w:eastAsia="宋体" w:cs="Times New Roman"/>
                <w:b w:val="0"/>
                <w:bCs w:val="0"/>
                <w:i w:val="0"/>
                <w:iCs w:val="0"/>
                <w:color w:val="000000"/>
                <w:kern w:val="0"/>
                <w:sz w:val="18"/>
                <w:szCs w:val="18"/>
                <w:u w:val="none"/>
                <w:lang w:val="en-US" w:eastAsia="zh-CN" w:bidi="ar"/>
              </w:rPr>
              <w:t>No Nursing priorities and preventive measures requiring attention from the next shift</w:t>
            </w:r>
          </w:p>
        </w:tc>
      </w:tr>
    </w:tbl>
    <w:p w14:paraId="0AE3527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D77116"/>
    <w:rsid w:val="0007653E"/>
    <w:rsid w:val="00681C05"/>
    <w:rsid w:val="010B646E"/>
    <w:rsid w:val="010C7F6D"/>
    <w:rsid w:val="019021FF"/>
    <w:rsid w:val="01CF304A"/>
    <w:rsid w:val="023A2734"/>
    <w:rsid w:val="02A222E4"/>
    <w:rsid w:val="02F62120"/>
    <w:rsid w:val="035543C0"/>
    <w:rsid w:val="03F74449"/>
    <w:rsid w:val="04097748"/>
    <w:rsid w:val="050C4CDD"/>
    <w:rsid w:val="051C5934"/>
    <w:rsid w:val="054E4C24"/>
    <w:rsid w:val="05D87C58"/>
    <w:rsid w:val="05F068D3"/>
    <w:rsid w:val="06446A7C"/>
    <w:rsid w:val="06896EC8"/>
    <w:rsid w:val="06A402D4"/>
    <w:rsid w:val="070A47C8"/>
    <w:rsid w:val="07414075"/>
    <w:rsid w:val="07EC57E8"/>
    <w:rsid w:val="08043F4D"/>
    <w:rsid w:val="083D0B4B"/>
    <w:rsid w:val="087F1407"/>
    <w:rsid w:val="08AA2876"/>
    <w:rsid w:val="092E087A"/>
    <w:rsid w:val="093B06C0"/>
    <w:rsid w:val="094261A8"/>
    <w:rsid w:val="0968593D"/>
    <w:rsid w:val="09F9776B"/>
    <w:rsid w:val="0A201488"/>
    <w:rsid w:val="0B59505E"/>
    <w:rsid w:val="0B7C12B3"/>
    <w:rsid w:val="0B7F439D"/>
    <w:rsid w:val="0D1E2D3B"/>
    <w:rsid w:val="0D301477"/>
    <w:rsid w:val="0DD22D04"/>
    <w:rsid w:val="0DE9455D"/>
    <w:rsid w:val="0E227C14"/>
    <w:rsid w:val="0EA159C3"/>
    <w:rsid w:val="0EE03951"/>
    <w:rsid w:val="0F072E64"/>
    <w:rsid w:val="0F900AD7"/>
    <w:rsid w:val="101A4B0B"/>
    <w:rsid w:val="102637D3"/>
    <w:rsid w:val="104D15A9"/>
    <w:rsid w:val="1069674E"/>
    <w:rsid w:val="112951DC"/>
    <w:rsid w:val="112F2A80"/>
    <w:rsid w:val="11415975"/>
    <w:rsid w:val="11D46D45"/>
    <w:rsid w:val="120657CB"/>
    <w:rsid w:val="12CD69F9"/>
    <w:rsid w:val="12D77116"/>
    <w:rsid w:val="12D96BE4"/>
    <w:rsid w:val="13240F52"/>
    <w:rsid w:val="13374D78"/>
    <w:rsid w:val="13542624"/>
    <w:rsid w:val="14630758"/>
    <w:rsid w:val="14FA7E68"/>
    <w:rsid w:val="164B2461"/>
    <w:rsid w:val="167E5A6F"/>
    <w:rsid w:val="177C2D0C"/>
    <w:rsid w:val="17BB3B70"/>
    <w:rsid w:val="181D7D4B"/>
    <w:rsid w:val="188F5AEC"/>
    <w:rsid w:val="18960049"/>
    <w:rsid w:val="18CC7D71"/>
    <w:rsid w:val="18FD1A04"/>
    <w:rsid w:val="19223D2C"/>
    <w:rsid w:val="196B3A5B"/>
    <w:rsid w:val="199A09B1"/>
    <w:rsid w:val="1A555AA4"/>
    <w:rsid w:val="1A5B296C"/>
    <w:rsid w:val="1A980013"/>
    <w:rsid w:val="1AEF286C"/>
    <w:rsid w:val="1AFF0DEC"/>
    <w:rsid w:val="1B18448D"/>
    <w:rsid w:val="1B8067FC"/>
    <w:rsid w:val="1BE11B53"/>
    <w:rsid w:val="1C127B95"/>
    <w:rsid w:val="1D3534E9"/>
    <w:rsid w:val="1D8D729F"/>
    <w:rsid w:val="1DB23200"/>
    <w:rsid w:val="1E9E7F86"/>
    <w:rsid w:val="1F663517"/>
    <w:rsid w:val="1FE041FD"/>
    <w:rsid w:val="1FED21E6"/>
    <w:rsid w:val="206F0F31"/>
    <w:rsid w:val="22C50A02"/>
    <w:rsid w:val="22FD7F00"/>
    <w:rsid w:val="2314576A"/>
    <w:rsid w:val="2380431D"/>
    <w:rsid w:val="2386574F"/>
    <w:rsid w:val="23C47184"/>
    <w:rsid w:val="23F919A9"/>
    <w:rsid w:val="2407493F"/>
    <w:rsid w:val="24290764"/>
    <w:rsid w:val="243D1E2C"/>
    <w:rsid w:val="243E0059"/>
    <w:rsid w:val="2489654C"/>
    <w:rsid w:val="25383D52"/>
    <w:rsid w:val="255E6BCF"/>
    <w:rsid w:val="2563759B"/>
    <w:rsid w:val="259573F0"/>
    <w:rsid w:val="25A06EA1"/>
    <w:rsid w:val="260442A9"/>
    <w:rsid w:val="264C029E"/>
    <w:rsid w:val="265910D7"/>
    <w:rsid w:val="266F46D3"/>
    <w:rsid w:val="26B27370"/>
    <w:rsid w:val="26D82BF1"/>
    <w:rsid w:val="274C4DA7"/>
    <w:rsid w:val="2754710F"/>
    <w:rsid w:val="27E32F6F"/>
    <w:rsid w:val="2899248E"/>
    <w:rsid w:val="28F722EB"/>
    <w:rsid w:val="29017ED3"/>
    <w:rsid w:val="291A3892"/>
    <w:rsid w:val="2992134D"/>
    <w:rsid w:val="29A522BB"/>
    <w:rsid w:val="29DB1F26"/>
    <w:rsid w:val="29E20A41"/>
    <w:rsid w:val="29ED26DF"/>
    <w:rsid w:val="2A6817DD"/>
    <w:rsid w:val="2AC61E92"/>
    <w:rsid w:val="2AD2774B"/>
    <w:rsid w:val="2B4142E7"/>
    <w:rsid w:val="2B8E61C2"/>
    <w:rsid w:val="2BD82882"/>
    <w:rsid w:val="2C8D6D15"/>
    <w:rsid w:val="2C9D01E0"/>
    <w:rsid w:val="2D3E2BCC"/>
    <w:rsid w:val="2E0B496E"/>
    <w:rsid w:val="2E223082"/>
    <w:rsid w:val="2E734AF3"/>
    <w:rsid w:val="2EC82250"/>
    <w:rsid w:val="2EEC4A56"/>
    <w:rsid w:val="2EF93095"/>
    <w:rsid w:val="2F311D6E"/>
    <w:rsid w:val="2F596155"/>
    <w:rsid w:val="2F6C729C"/>
    <w:rsid w:val="3099520C"/>
    <w:rsid w:val="318B4078"/>
    <w:rsid w:val="31D04A36"/>
    <w:rsid w:val="32833417"/>
    <w:rsid w:val="3286223E"/>
    <w:rsid w:val="32FB02FA"/>
    <w:rsid w:val="331B7FA6"/>
    <w:rsid w:val="332315A1"/>
    <w:rsid w:val="338162D3"/>
    <w:rsid w:val="33BE6117"/>
    <w:rsid w:val="33C41DBB"/>
    <w:rsid w:val="346343C4"/>
    <w:rsid w:val="349F759E"/>
    <w:rsid w:val="34A317B9"/>
    <w:rsid w:val="34CE5436"/>
    <w:rsid w:val="34FC02C0"/>
    <w:rsid w:val="352D60FA"/>
    <w:rsid w:val="352E20A5"/>
    <w:rsid w:val="354F022C"/>
    <w:rsid w:val="355E2EED"/>
    <w:rsid w:val="35AF7D91"/>
    <w:rsid w:val="369D31AB"/>
    <w:rsid w:val="369E753B"/>
    <w:rsid w:val="36BA0C58"/>
    <w:rsid w:val="36D015A0"/>
    <w:rsid w:val="37130C63"/>
    <w:rsid w:val="372946B0"/>
    <w:rsid w:val="379B6D30"/>
    <w:rsid w:val="38182F9D"/>
    <w:rsid w:val="382F4DE7"/>
    <w:rsid w:val="38664AD8"/>
    <w:rsid w:val="38871BDA"/>
    <w:rsid w:val="389400E3"/>
    <w:rsid w:val="38D21738"/>
    <w:rsid w:val="38D27E0B"/>
    <w:rsid w:val="390A2215"/>
    <w:rsid w:val="39321102"/>
    <w:rsid w:val="3A631D07"/>
    <w:rsid w:val="3A664A06"/>
    <w:rsid w:val="3A8F5673"/>
    <w:rsid w:val="3B820666"/>
    <w:rsid w:val="3BE54D0A"/>
    <w:rsid w:val="3BED7760"/>
    <w:rsid w:val="3C0E6B13"/>
    <w:rsid w:val="3C3E32E8"/>
    <w:rsid w:val="3CE2742D"/>
    <w:rsid w:val="3DF01D17"/>
    <w:rsid w:val="3E2C1760"/>
    <w:rsid w:val="3E312F15"/>
    <w:rsid w:val="3ECD5D84"/>
    <w:rsid w:val="3EF93ED2"/>
    <w:rsid w:val="3F0B64D1"/>
    <w:rsid w:val="3F1B0B2B"/>
    <w:rsid w:val="3F637753"/>
    <w:rsid w:val="3FB656E9"/>
    <w:rsid w:val="406D6D14"/>
    <w:rsid w:val="40E0467C"/>
    <w:rsid w:val="413A577A"/>
    <w:rsid w:val="417C440B"/>
    <w:rsid w:val="417C7E16"/>
    <w:rsid w:val="41D561A9"/>
    <w:rsid w:val="420D741F"/>
    <w:rsid w:val="421221A0"/>
    <w:rsid w:val="421F2A2D"/>
    <w:rsid w:val="4230596E"/>
    <w:rsid w:val="42311B65"/>
    <w:rsid w:val="42A479FF"/>
    <w:rsid w:val="42BD67CA"/>
    <w:rsid w:val="4318053D"/>
    <w:rsid w:val="432963A7"/>
    <w:rsid w:val="434F443F"/>
    <w:rsid w:val="43617D82"/>
    <w:rsid w:val="43906510"/>
    <w:rsid w:val="43AB2C7D"/>
    <w:rsid w:val="43AC56FF"/>
    <w:rsid w:val="43CA23E6"/>
    <w:rsid w:val="440C20C7"/>
    <w:rsid w:val="443C10AE"/>
    <w:rsid w:val="444A6A1C"/>
    <w:rsid w:val="447401D0"/>
    <w:rsid w:val="447B0D26"/>
    <w:rsid w:val="455559AE"/>
    <w:rsid w:val="45903B99"/>
    <w:rsid w:val="45C2248F"/>
    <w:rsid w:val="45CB05A7"/>
    <w:rsid w:val="46557F8F"/>
    <w:rsid w:val="46E52811"/>
    <w:rsid w:val="470247F7"/>
    <w:rsid w:val="470F6351"/>
    <w:rsid w:val="472824D7"/>
    <w:rsid w:val="472901AD"/>
    <w:rsid w:val="47292F41"/>
    <w:rsid w:val="476E4D4D"/>
    <w:rsid w:val="47882009"/>
    <w:rsid w:val="4791587C"/>
    <w:rsid w:val="48343F34"/>
    <w:rsid w:val="4872777D"/>
    <w:rsid w:val="48F31820"/>
    <w:rsid w:val="49925775"/>
    <w:rsid w:val="4A361980"/>
    <w:rsid w:val="4AC51912"/>
    <w:rsid w:val="4B072895"/>
    <w:rsid w:val="4B7C523A"/>
    <w:rsid w:val="4B941259"/>
    <w:rsid w:val="4BE35EC0"/>
    <w:rsid w:val="4C2E0FBF"/>
    <w:rsid w:val="4C5D5041"/>
    <w:rsid w:val="4D2C056C"/>
    <w:rsid w:val="4D60006C"/>
    <w:rsid w:val="4D974D78"/>
    <w:rsid w:val="4DB26EDD"/>
    <w:rsid w:val="4E4B5705"/>
    <w:rsid w:val="4E726B54"/>
    <w:rsid w:val="4EAA5656"/>
    <w:rsid w:val="4EAB65CB"/>
    <w:rsid w:val="4EE85CF8"/>
    <w:rsid w:val="4F014DB1"/>
    <w:rsid w:val="4F946C68"/>
    <w:rsid w:val="500754D2"/>
    <w:rsid w:val="503D73BB"/>
    <w:rsid w:val="509E54DE"/>
    <w:rsid w:val="50C15E67"/>
    <w:rsid w:val="51165FA2"/>
    <w:rsid w:val="51386FA0"/>
    <w:rsid w:val="51390023"/>
    <w:rsid w:val="516A54A7"/>
    <w:rsid w:val="51707D8E"/>
    <w:rsid w:val="51865AE7"/>
    <w:rsid w:val="51AA0A29"/>
    <w:rsid w:val="520E05F2"/>
    <w:rsid w:val="524535E7"/>
    <w:rsid w:val="52E3038A"/>
    <w:rsid w:val="53147BF5"/>
    <w:rsid w:val="53396547"/>
    <w:rsid w:val="537F2B18"/>
    <w:rsid w:val="54140908"/>
    <w:rsid w:val="54CA2704"/>
    <w:rsid w:val="54DA0822"/>
    <w:rsid w:val="54E07CC7"/>
    <w:rsid w:val="54FA1EEE"/>
    <w:rsid w:val="554D47F3"/>
    <w:rsid w:val="55AC1755"/>
    <w:rsid w:val="56145453"/>
    <w:rsid w:val="569D4332"/>
    <w:rsid w:val="56A13FA1"/>
    <w:rsid w:val="56E65D6D"/>
    <w:rsid w:val="56F7414F"/>
    <w:rsid w:val="57272FCC"/>
    <w:rsid w:val="57B35201"/>
    <w:rsid w:val="57BF154D"/>
    <w:rsid w:val="57C86084"/>
    <w:rsid w:val="583D5757"/>
    <w:rsid w:val="58AD7F8C"/>
    <w:rsid w:val="58C84288"/>
    <w:rsid w:val="59336AC7"/>
    <w:rsid w:val="59CE3B9F"/>
    <w:rsid w:val="5A0D45D7"/>
    <w:rsid w:val="5A4A4C90"/>
    <w:rsid w:val="5B432A9A"/>
    <w:rsid w:val="5B775682"/>
    <w:rsid w:val="5CC96387"/>
    <w:rsid w:val="5CCB7105"/>
    <w:rsid w:val="5D922E69"/>
    <w:rsid w:val="5F2A7127"/>
    <w:rsid w:val="5FFB6BA4"/>
    <w:rsid w:val="60000A7A"/>
    <w:rsid w:val="609D2E7C"/>
    <w:rsid w:val="6105245D"/>
    <w:rsid w:val="614878A9"/>
    <w:rsid w:val="61D82D41"/>
    <w:rsid w:val="621734E4"/>
    <w:rsid w:val="621F4707"/>
    <w:rsid w:val="62827319"/>
    <w:rsid w:val="637D2E24"/>
    <w:rsid w:val="63B70B93"/>
    <w:rsid w:val="63DA681D"/>
    <w:rsid w:val="643C408B"/>
    <w:rsid w:val="645C5F89"/>
    <w:rsid w:val="649A31F6"/>
    <w:rsid w:val="65632286"/>
    <w:rsid w:val="65806604"/>
    <w:rsid w:val="65F97428"/>
    <w:rsid w:val="662A3DAB"/>
    <w:rsid w:val="6655509E"/>
    <w:rsid w:val="6710622A"/>
    <w:rsid w:val="67326072"/>
    <w:rsid w:val="67DD2340"/>
    <w:rsid w:val="67F63A14"/>
    <w:rsid w:val="686C371A"/>
    <w:rsid w:val="687A17A2"/>
    <w:rsid w:val="698270FD"/>
    <w:rsid w:val="69906503"/>
    <w:rsid w:val="69AF6D40"/>
    <w:rsid w:val="69C45841"/>
    <w:rsid w:val="69D25952"/>
    <w:rsid w:val="69D35D27"/>
    <w:rsid w:val="69D93152"/>
    <w:rsid w:val="69E63C32"/>
    <w:rsid w:val="6A441C50"/>
    <w:rsid w:val="6A470994"/>
    <w:rsid w:val="6A7017AE"/>
    <w:rsid w:val="6A8A6518"/>
    <w:rsid w:val="6B3E0B0D"/>
    <w:rsid w:val="6BE001B8"/>
    <w:rsid w:val="6C3E084B"/>
    <w:rsid w:val="6CF91286"/>
    <w:rsid w:val="6CF97200"/>
    <w:rsid w:val="6D2B20EF"/>
    <w:rsid w:val="6D4B112A"/>
    <w:rsid w:val="6D6B3360"/>
    <w:rsid w:val="6EBF38D6"/>
    <w:rsid w:val="6ECC29A1"/>
    <w:rsid w:val="6EDB574F"/>
    <w:rsid w:val="6F3736C1"/>
    <w:rsid w:val="6FCF0609"/>
    <w:rsid w:val="702319FC"/>
    <w:rsid w:val="70434402"/>
    <w:rsid w:val="707C303C"/>
    <w:rsid w:val="70C27937"/>
    <w:rsid w:val="7124323B"/>
    <w:rsid w:val="71A73B77"/>
    <w:rsid w:val="71D144FD"/>
    <w:rsid w:val="72362B11"/>
    <w:rsid w:val="72CB0D79"/>
    <w:rsid w:val="72EB5340"/>
    <w:rsid w:val="73584CF0"/>
    <w:rsid w:val="736A4478"/>
    <w:rsid w:val="73C20AF3"/>
    <w:rsid w:val="742A21F5"/>
    <w:rsid w:val="7468201B"/>
    <w:rsid w:val="746F759E"/>
    <w:rsid w:val="749B06F6"/>
    <w:rsid w:val="74D67DE5"/>
    <w:rsid w:val="75007F5C"/>
    <w:rsid w:val="753D3FD7"/>
    <w:rsid w:val="75D86C86"/>
    <w:rsid w:val="761D1F61"/>
    <w:rsid w:val="763329D8"/>
    <w:rsid w:val="771F7555"/>
    <w:rsid w:val="772F1A06"/>
    <w:rsid w:val="77A95962"/>
    <w:rsid w:val="77E57538"/>
    <w:rsid w:val="789F7AA6"/>
    <w:rsid w:val="78AD01E1"/>
    <w:rsid w:val="795A50FD"/>
    <w:rsid w:val="79C74980"/>
    <w:rsid w:val="79D33649"/>
    <w:rsid w:val="79F85F68"/>
    <w:rsid w:val="7A3612BC"/>
    <w:rsid w:val="7B17390D"/>
    <w:rsid w:val="7B675304"/>
    <w:rsid w:val="7BAA0F7D"/>
    <w:rsid w:val="7C0835E8"/>
    <w:rsid w:val="7C0E420C"/>
    <w:rsid w:val="7C401AF1"/>
    <w:rsid w:val="7CB40724"/>
    <w:rsid w:val="7D0B7B32"/>
    <w:rsid w:val="7D331A93"/>
    <w:rsid w:val="7D3A4A89"/>
    <w:rsid w:val="7DFC364C"/>
    <w:rsid w:val="7E080CA4"/>
    <w:rsid w:val="7F3C58C4"/>
    <w:rsid w:val="7F912FD0"/>
    <w:rsid w:val="7FBB7B55"/>
    <w:rsid w:val="7FCF2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customStyle="1" w:styleId="5">
    <w:name w:val="font31"/>
    <w:basedOn w:val="3"/>
    <w:qFormat/>
    <w:uiPriority w:val="0"/>
    <w:rPr>
      <w:rFonts w:hint="eastAsia" w:ascii="宋体" w:hAnsi="宋体" w:eastAsia="宋体" w:cs="宋体"/>
      <w:b/>
      <w:bCs/>
      <w:color w:val="000000"/>
      <w:sz w:val="22"/>
      <w:szCs w:val="22"/>
      <w:u w:val="none"/>
    </w:rPr>
  </w:style>
  <w:style w:type="character" w:customStyle="1" w:styleId="6">
    <w:name w:val="font41"/>
    <w:basedOn w:val="3"/>
    <w:qFormat/>
    <w:uiPriority w:val="0"/>
    <w:rPr>
      <w:rFonts w:hint="default" w:ascii="Wingdings" w:hAnsi="Wingdings" w:cs="Wingdings"/>
      <w:b/>
      <w:bCs/>
      <w:color w:val="000000"/>
      <w:sz w:val="22"/>
      <w:szCs w:val="22"/>
      <w:u w:val="none"/>
    </w:rPr>
  </w:style>
  <w:style w:type="character" w:customStyle="1" w:styleId="7">
    <w:name w:val="font81"/>
    <w:basedOn w:val="3"/>
    <w:qFormat/>
    <w:uiPriority w:val="0"/>
    <w:rPr>
      <w:rFonts w:hint="eastAsia" w:ascii="宋体" w:hAnsi="宋体" w:eastAsia="宋体" w:cs="宋体"/>
      <w:color w:val="000000"/>
      <w:sz w:val="22"/>
      <w:szCs w:val="22"/>
      <w:u w:val="none"/>
    </w:rPr>
  </w:style>
  <w:style w:type="character" w:customStyle="1" w:styleId="8">
    <w:name w:val="font71"/>
    <w:basedOn w:val="3"/>
    <w:qFormat/>
    <w:uiPriority w:val="0"/>
    <w:rPr>
      <w:rFonts w:hint="default" w:ascii="Wingdings" w:hAnsi="Wingdings" w:cs="Wingdings"/>
      <w:color w:val="000000"/>
      <w:sz w:val="22"/>
      <w:szCs w:val="22"/>
      <w:u w:val="none"/>
    </w:rPr>
  </w:style>
  <w:style w:type="character" w:customStyle="1" w:styleId="9">
    <w:name w:val="font61"/>
    <w:basedOn w:val="3"/>
    <w:qFormat/>
    <w:uiPriority w:val="0"/>
    <w:rPr>
      <w:rFonts w:hint="default" w:ascii="Wingdings 2" w:hAnsi="Wingdings 2" w:eastAsia="Wingdings 2" w:cs="Wingdings 2"/>
      <w:color w:val="000000"/>
      <w:sz w:val="22"/>
      <w:szCs w:val="22"/>
      <w:u w:val="none"/>
    </w:rPr>
  </w:style>
  <w:style w:type="character" w:customStyle="1" w:styleId="10">
    <w:name w:val="font51"/>
    <w:basedOn w:val="3"/>
    <w:qFormat/>
    <w:uiPriority w:val="0"/>
    <w:rPr>
      <w:rFonts w:hint="eastAsia" w:ascii="宋体" w:hAnsi="宋体" w:eastAsia="宋体" w:cs="宋体"/>
      <w:color w:val="000000"/>
      <w:sz w:val="22"/>
      <w:szCs w:val="22"/>
      <w:u w:val="none"/>
    </w:rPr>
  </w:style>
  <w:style w:type="character" w:customStyle="1" w:styleId="11">
    <w:name w:val="font11"/>
    <w:basedOn w:val="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730</Words>
  <Characters>4454</Characters>
  <Lines>0</Lines>
  <Paragraphs>0</Paragraphs>
  <TotalTime>3497</TotalTime>
  <ScaleCrop>false</ScaleCrop>
  <LinksUpToDate>false</LinksUpToDate>
  <CharactersWithSpaces>5194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2026-03-06T09:34:00Z</dcterms:created>
  <dc:creator>花开半夏</dc:creator>
  <cp:lastModifiedBy>JACK</cp:lastModifiedBy>
  <dcterms:modified xsi:type="dcterms:W3CDTF">2026-06-21T11:03:00Z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24C0453441634CDE93F177EC72E88E3C_13</vt:lpwstr>
  </property>
  <property fmtid="{D5CDD505-2E9C-101B-9397-08002B2CF9AE}" pid="4" name="KSOTemplateDocerSaveRecord">
    <vt:lpwstr>eyJoZGlkIjoiNzE5NDFjNTQwZGJhODcxMzIwNWExZWIxNGUwZDI3ZDEiLCJ1c2VySWQiOiI0MzIxMzMyMjcifQ==</vt:lpwstr>
  </property>
</Properties>
</file>