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E0BC8" w14:textId="345DDC81" w:rsidR="00177B42" w:rsidRDefault="00742136" w:rsidP="00177B42">
      <w:pPr>
        <w:spacing w:after="0" w:line="360" w:lineRule="auto"/>
        <w:rPr>
          <w:rFonts w:ascii="Times New Roman" w:hAnsi="Times New Roman" w:cs="Times New Roman"/>
          <w:b/>
          <w:bCs/>
          <w:sz w:val="24"/>
        </w:rPr>
      </w:pPr>
      <w:r w:rsidRPr="00742136">
        <w:rPr>
          <w:rFonts w:ascii="Times New Roman" w:hAnsi="Times New Roman" w:cs="Times New Roman"/>
          <w:b/>
          <w:bCs/>
          <w:sz w:val="24"/>
        </w:rPr>
        <w:t xml:space="preserve">Table S1. Log-rank test results for </w:t>
      </w:r>
      <w:r w:rsidR="00F01149">
        <w:rPr>
          <w:rFonts w:ascii="Times New Roman" w:hAnsi="Times New Roman" w:cs="Times New Roman" w:hint="eastAsia"/>
          <w:b/>
          <w:bCs/>
          <w:sz w:val="24"/>
        </w:rPr>
        <w:t>MACE</w:t>
      </w:r>
      <w:r w:rsidRPr="00742136">
        <w:rPr>
          <w:rFonts w:ascii="Times New Roman" w:hAnsi="Times New Roman" w:cs="Times New Roman"/>
          <w:b/>
          <w:bCs/>
          <w:sz w:val="24"/>
        </w:rPr>
        <w:t>-free survival stratified by preoperative clinical characteristics</w:t>
      </w:r>
    </w:p>
    <w:tbl>
      <w:tblPr>
        <w:tblW w:w="1396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732"/>
        <w:gridCol w:w="1391"/>
        <w:gridCol w:w="1672"/>
        <w:gridCol w:w="2994"/>
        <w:gridCol w:w="2628"/>
        <w:gridCol w:w="756"/>
        <w:gridCol w:w="734"/>
        <w:gridCol w:w="851"/>
        <w:gridCol w:w="1202"/>
      </w:tblGrid>
      <w:tr w:rsidR="00FE7B48" w:rsidRPr="00742136" w14:paraId="01BF952D" w14:textId="77777777" w:rsidTr="00096C2A">
        <w:trPr>
          <w:trHeight w:val="326"/>
        </w:trPr>
        <w:tc>
          <w:tcPr>
            <w:tcW w:w="173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8211C5E" w14:textId="77777777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Preoperative characteristic</w:t>
            </w:r>
          </w:p>
        </w:tc>
        <w:tc>
          <w:tcPr>
            <w:tcW w:w="139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4A05F5" w14:textId="77777777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Subgroup</w:t>
            </w:r>
          </w:p>
        </w:tc>
        <w:tc>
          <w:tcPr>
            <w:tcW w:w="167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7D3709B" w14:textId="77777777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Events/Total</w:t>
            </w:r>
          </w:p>
        </w:tc>
        <w:tc>
          <w:tcPr>
            <w:tcW w:w="299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93B3A9" w14:textId="4A9AB895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 xml:space="preserve">5-year </w:t>
            </w:r>
            <w:r w:rsidR="00F0114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14:ligatures w14:val="none"/>
              </w:rPr>
              <w:t>MACE</w:t>
            </w: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-Free Survival (95% CI)</w:t>
            </w:r>
          </w:p>
        </w:tc>
        <w:tc>
          <w:tcPr>
            <w:tcW w:w="2628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6053EE" w14:textId="572E6B71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 xml:space="preserve">10-year </w:t>
            </w:r>
            <w:r w:rsidR="00F01149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14:ligatures w14:val="none"/>
              </w:rPr>
              <w:t>MACE</w:t>
            </w: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-Free Survival (95% CI)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0809CEB" w14:textId="77777777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Log-rank χ²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110937A" w14:textId="77777777" w:rsidR="00FE7B48" w:rsidRPr="00742136" w:rsidRDefault="00FE7B48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df</w:t>
            </w:r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F67A52" w14:textId="2E03D8AA" w:rsidR="00FE7B48" w:rsidRPr="00742136" w:rsidRDefault="00FE7B48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P</w:t>
            </w:r>
          </w:p>
        </w:tc>
      </w:tr>
      <w:tr w:rsidR="00742136" w:rsidRPr="00742136" w14:paraId="68770FDA" w14:textId="77777777" w:rsidTr="00096C2A">
        <w:trPr>
          <w:trHeight w:val="326"/>
        </w:trPr>
        <w:tc>
          <w:tcPr>
            <w:tcW w:w="1732" w:type="dxa"/>
            <w:vMerge w:val="restart"/>
            <w:tcBorders>
              <w:top w:val="single" w:sz="4" w:space="0" w:color="auto"/>
            </w:tcBorders>
            <w:noWrap/>
            <w:vAlign w:val="center"/>
            <w:hideMark/>
          </w:tcPr>
          <w:p w14:paraId="2DCA9CB7" w14:textId="50515659" w:rsidR="00742136" w:rsidRPr="00742136" w:rsidRDefault="00742136" w:rsidP="00742136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Smoking history</w:t>
            </w:r>
          </w:p>
        </w:tc>
        <w:tc>
          <w:tcPr>
            <w:tcW w:w="139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0EAE941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No</w:t>
            </w:r>
          </w:p>
        </w:tc>
        <w:tc>
          <w:tcPr>
            <w:tcW w:w="167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F034C1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5/34</w:t>
            </w:r>
          </w:p>
        </w:tc>
        <w:tc>
          <w:tcPr>
            <w:tcW w:w="2994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C8BC4C9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9091B1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91.2% (82.1%–100%)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</w:tcBorders>
            <w:noWrap/>
            <w:vAlign w:val="bottom"/>
            <w:hideMark/>
          </w:tcPr>
          <w:p w14:paraId="2D61843F" w14:textId="76A944EC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</w:t>
            </w:r>
            <w:r w:rsidR="006D2A75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14:ligatures w14:val="none"/>
              </w:rPr>
              <w:t>5</w:t>
            </w: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11B2986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A14BBD7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0.837</w:t>
            </w:r>
          </w:p>
        </w:tc>
      </w:tr>
      <w:tr w:rsidR="00742136" w:rsidRPr="00742136" w14:paraId="5A8B6D72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3AA81BDA" w14:textId="172F568B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5E41451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Yes</w:t>
            </w:r>
          </w:p>
        </w:tc>
        <w:tc>
          <w:tcPr>
            <w:tcW w:w="1672" w:type="dxa"/>
            <w:noWrap/>
            <w:vAlign w:val="bottom"/>
            <w:hideMark/>
          </w:tcPr>
          <w:p w14:paraId="0905A8A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2/18</w:t>
            </w:r>
          </w:p>
        </w:tc>
        <w:tc>
          <w:tcPr>
            <w:tcW w:w="2994" w:type="dxa"/>
            <w:noWrap/>
            <w:vAlign w:val="bottom"/>
            <w:hideMark/>
          </w:tcPr>
          <w:p w14:paraId="3924DCB3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94.4% (84.4%–100%)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56338F6D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88.9% (75.5%–100%)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13121E9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392D5AF5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1C072E6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742136" w:rsidRPr="00742136" w14:paraId="0A8ED2C2" w14:textId="77777777" w:rsidTr="00096C2A">
        <w:trPr>
          <w:trHeight w:val="326"/>
        </w:trPr>
        <w:tc>
          <w:tcPr>
            <w:tcW w:w="1732" w:type="dxa"/>
            <w:vMerge w:val="restart"/>
            <w:noWrap/>
            <w:vAlign w:val="center"/>
            <w:hideMark/>
          </w:tcPr>
          <w:p w14:paraId="31F29451" w14:textId="0C476BE4" w:rsidR="00742136" w:rsidRPr="00742136" w:rsidRDefault="00742136" w:rsidP="00742136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Gender</w:t>
            </w:r>
          </w:p>
        </w:tc>
        <w:tc>
          <w:tcPr>
            <w:tcW w:w="1391" w:type="dxa"/>
            <w:noWrap/>
            <w:vAlign w:val="bottom"/>
            <w:hideMark/>
          </w:tcPr>
          <w:p w14:paraId="4230C277" w14:textId="1B22889E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Male</w:t>
            </w:r>
          </w:p>
        </w:tc>
        <w:tc>
          <w:tcPr>
            <w:tcW w:w="1672" w:type="dxa"/>
            <w:noWrap/>
            <w:vAlign w:val="bottom"/>
            <w:hideMark/>
          </w:tcPr>
          <w:p w14:paraId="63A11D4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5/34</w:t>
            </w:r>
          </w:p>
        </w:tc>
        <w:tc>
          <w:tcPr>
            <w:tcW w:w="2994" w:type="dxa"/>
            <w:noWrap/>
            <w:vAlign w:val="bottom"/>
            <w:hideMark/>
          </w:tcPr>
          <w:p w14:paraId="36EE1D8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97.1% (91.5%–100%)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67EF252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88.2% (78%–99.8%)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5C71E91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0.217</w:t>
            </w:r>
          </w:p>
        </w:tc>
        <w:tc>
          <w:tcPr>
            <w:tcW w:w="851" w:type="dxa"/>
            <w:noWrap/>
            <w:vAlign w:val="bottom"/>
            <w:hideMark/>
          </w:tcPr>
          <w:p w14:paraId="1908FF77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noWrap/>
            <w:vAlign w:val="bottom"/>
            <w:hideMark/>
          </w:tcPr>
          <w:p w14:paraId="093D2A5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0.642</w:t>
            </w:r>
          </w:p>
        </w:tc>
      </w:tr>
      <w:tr w:rsidR="00742136" w:rsidRPr="00742136" w14:paraId="4C12C4F7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24380CF5" w14:textId="6C75543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1555DA7D" w14:textId="37D4DFEC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Female</w:t>
            </w:r>
          </w:p>
        </w:tc>
        <w:tc>
          <w:tcPr>
            <w:tcW w:w="1672" w:type="dxa"/>
            <w:noWrap/>
            <w:vAlign w:val="bottom"/>
            <w:hideMark/>
          </w:tcPr>
          <w:p w14:paraId="19ABABD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2/18</w:t>
            </w:r>
          </w:p>
        </w:tc>
        <w:tc>
          <w:tcPr>
            <w:tcW w:w="2994" w:type="dxa"/>
            <w:noWrap/>
            <w:vAlign w:val="bottom"/>
            <w:hideMark/>
          </w:tcPr>
          <w:p w14:paraId="69EBA341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0FE2DA25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94.4% (84.4%–100%)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0CD775A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40C8D0E5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7302C37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742136" w:rsidRPr="00742136" w14:paraId="4E5E18D0" w14:textId="77777777" w:rsidTr="00096C2A">
        <w:trPr>
          <w:trHeight w:val="326"/>
        </w:trPr>
        <w:tc>
          <w:tcPr>
            <w:tcW w:w="1732" w:type="dxa"/>
            <w:vMerge w:val="restart"/>
            <w:noWrap/>
            <w:vAlign w:val="center"/>
            <w:hideMark/>
          </w:tcPr>
          <w:p w14:paraId="071B0BE1" w14:textId="2852ED90" w:rsidR="00742136" w:rsidRPr="00742136" w:rsidRDefault="00742136" w:rsidP="00742136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Age</w:t>
            </w:r>
            <w:r w:rsidRPr="00742136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 xml:space="preserve"> (years)</w:t>
            </w:r>
          </w:p>
        </w:tc>
        <w:tc>
          <w:tcPr>
            <w:tcW w:w="1391" w:type="dxa"/>
            <w:noWrap/>
            <w:vAlign w:val="bottom"/>
            <w:hideMark/>
          </w:tcPr>
          <w:p w14:paraId="33A3698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&gt;52</w:t>
            </w:r>
          </w:p>
        </w:tc>
        <w:tc>
          <w:tcPr>
            <w:tcW w:w="1672" w:type="dxa"/>
            <w:noWrap/>
            <w:vAlign w:val="bottom"/>
            <w:hideMark/>
          </w:tcPr>
          <w:p w14:paraId="1F14B2D2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4/23</w:t>
            </w:r>
          </w:p>
        </w:tc>
        <w:tc>
          <w:tcPr>
            <w:tcW w:w="2994" w:type="dxa"/>
            <w:noWrap/>
            <w:vAlign w:val="bottom"/>
            <w:hideMark/>
          </w:tcPr>
          <w:p w14:paraId="781CD40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04FF74D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87% (74.2%–100%)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5732945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0.529</w:t>
            </w:r>
          </w:p>
        </w:tc>
        <w:tc>
          <w:tcPr>
            <w:tcW w:w="851" w:type="dxa"/>
            <w:noWrap/>
            <w:vAlign w:val="bottom"/>
            <w:hideMark/>
          </w:tcPr>
          <w:p w14:paraId="4A7233A3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noWrap/>
            <w:vAlign w:val="bottom"/>
            <w:hideMark/>
          </w:tcPr>
          <w:p w14:paraId="1A33C01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0.467</w:t>
            </w:r>
          </w:p>
        </w:tc>
      </w:tr>
      <w:tr w:rsidR="00742136" w:rsidRPr="00742136" w14:paraId="277B6D70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0AEABC35" w14:textId="4A7A42C2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6A42EC28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≤52</w:t>
            </w:r>
          </w:p>
        </w:tc>
        <w:tc>
          <w:tcPr>
            <w:tcW w:w="1672" w:type="dxa"/>
            <w:noWrap/>
            <w:vAlign w:val="bottom"/>
            <w:hideMark/>
          </w:tcPr>
          <w:p w14:paraId="246AAF7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3/29</w:t>
            </w:r>
          </w:p>
        </w:tc>
        <w:tc>
          <w:tcPr>
            <w:tcW w:w="2994" w:type="dxa"/>
            <w:noWrap/>
            <w:vAlign w:val="bottom"/>
            <w:hideMark/>
          </w:tcPr>
          <w:p w14:paraId="2BDB635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96.6% (90.1%–100%)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1A7FEAE3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93.1% (84.3%–100%)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3862C2D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3FDA34D5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3129B116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742136" w:rsidRPr="00742136" w14:paraId="27A95C74" w14:textId="77777777" w:rsidTr="00096C2A">
        <w:trPr>
          <w:trHeight w:val="326"/>
        </w:trPr>
        <w:tc>
          <w:tcPr>
            <w:tcW w:w="1732" w:type="dxa"/>
            <w:vMerge w:val="restart"/>
            <w:noWrap/>
            <w:vAlign w:val="center"/>
            <w:hideMark/>
          </w:tcPr>
          <w:p w14:paraId="4522305D" w14:textId="58E0A655" w:rsidR="00742136" w:rsidRPr="00742136" w:rsidRDefault="00742136" w:rsidP="00742136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BMI</w:t>
            </w:r>
            <w:r w:rsidR="00096C2A" w:rsidRPr="00096C2A">
              <w:t xml:space="preserve"> </w:t>
            </w:r>
            <w:r w:rsidR="00096C2A" w:rsidRPr="00096C2A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(kg/m²)</w:t>
            </w:r>
          </w:p>
        </w:tc>
        <w:tc>
          <w:tcPr>
            <w:tcW w:w="1391" w:type="dxa"/>
            <w:noWrap/>
            <w:vAlign w:val="bottom"/>
            <w:hideMark/>
          </w:tcPr>
          <w:p w14:paraId="4BA62EF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≤23.9</w:t>
            </w:r>
          </w:p>
        </w:tc>
        <w:tc>
          <w:tcPr>
            <w:tcW w:w="1672" w:type="dxa"/>
            <w:noWrap/>
            <w:vAlign w:val="bottom"/>
            <w:hideMark/>
          </w:tcPr>
          <w:p w14:paraId="41655329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5/26</w:t>
            </w:r>
          </w:p>
        </w:tc>
        <w:tc>
          <w:tcPr>
            <w:tcW w:w="2994" w:type="dxa"/>
            <w:noWrap/>
            <w:vAlign w:val="bottom"/>
            <w:hideMark/>
          </w:tcPr>
          <w:p w14:paraId="67342F06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96.2% (89%–100%)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57FCDEE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84.6% (71.8%–99.7%)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1B0143E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1.707</w:t>
            </w:r>
          </w:p>
        </w:tc>
        <w:tc>
          <w:tcPr>
            <w:tcW w:w="851" w:type="dxa"/>
            <w:noWrap/>
            <w:vAlign w:val="bottom"/>
            <w:hideMark/>
          </w:tcPr>
          <w:p w14:paraId="1A97B16B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noWrap/>
            <w:vAlign w:val="bottom"/>
            <w:hideMark/>
          </w:tcPr>
          <w:p w14:paraId="487E12F0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0.191</w:t>
            </w:r>
          </w:p>
        </w:tc>
      </w:tr>
      <w:tr w:rsidR="00742136" w:rsidRPr="00742136" w14:paraId="00B91C21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274C8AC2" w14:textId="3F3C2820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3E740C4B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&gt;23.9</w:t>
            </w:r>
          </w:p>
        </w:tc>
        <w:tc>
          <w:tcPr>
            <w:tcW w:w="1672" w:type="dxa"/>
            <w:noWrap/>
            <w:vAlign w:val="bottom"/>
            <w:hideMark/>
          </w:tcPr>
          <w:p w14:paraId="05086E98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2/26</w:t>
            </w:r>
          </w:p>
        </w:tc>
        <w:tc>
          <w:tcPr>
            <w:tcW w:w="2994" w:type="dxa"/>
            <w:noWrap/>
            <w:vAlign w:val="bottom"/>
            <w:hideMark/>
          </w:tcPr>
          <w:p w14:paraId="2F876C6D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795755B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96.2% (89%–100%)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267FDEDE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1295A386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11AEF9FD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742136" w:rsidRPr="00742136" w14:paraId="4FECC473" w14:textId="77777777" w:rsidTr="00096C2A">
        <w:trPr>
          <w:trHeight w:val="326"/>
        </w:trPr>
        <w:tc>
          <w:tcPr>
            <w:tcW w:w="1732" w:type="dxa"/>
            <w:vMerge w:val="restart"/>
            <w:noWrap/>
            <w:vAlign w:val="bottom"/>
            <w:hideMark/>
          </w:tcPr>
          <w:p w14:paraId="5878E0D3" w14:textId="32F3384A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Creatinine (μmol/L)</w:t>
            </w:r>
          </w:p>
        </w:tc>
        <w:tc>
          <w:tcPr>
            <w:tcW w:w="1391" w:type="dxa"/>
            <w:noWrap/>
            <w:vAlign w:val="bottom"/>
            <w:hideMark/>
          </w:tcPr>
          <w:p w14:paraId="3055D965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≤133</w:t>
            </w:r>
          </w:p>
        </w:tc>
        <w:tc>
          <w:tcPr>
            <w:tcW w:w="1672" w:type="dxa"/>
            <w:noWrap/>
            <w:vAlign w:val="bottom"/>
            <w:hideMark/>
          </w:tcPr>
          <w:p w14:paraId="6881B55B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7/50</w:t>
            </w:r>
          </w:p>
        </w:tc>
        <w:tc>
          <w:tcPr>
            <w:tcW w:w="2994" w:type="dxa"/>
            <w:noWrap/>
            <w:vAlign w:val="bottom"/>
            <w:hideMark/>
          </w:tcPr>
          <w:p w14:paraId="531750B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98% (94.2%–100%)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407FF1C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90% (82.1%–98.7%)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076AC705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0.326</w:t>
            </w:r>
          </w:p>
        </w:tc>
        <w:tc>
          <w:tcPr>
            <w:tcW w:w="851" w:type="dxa"/>
            <w:noWrap/>
            <w:vAlign w:val="bottom"/>
            <w:hideMark/>
          </w:tcPr>
          <w:p w14:paraId="2661C3FD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noWrap/>
            <w:vAlign w:val="bottom"/>
            <w:hideMark/>
          </w:tcPr>
          <w:p w14:paraId="0FA88B18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0.568</w:t>
            </w:r>
          </w:p>
        </w:tc>
      </w:tr>
      <w:tr w:rsidR="00742136" w:rsidRPr="00742136" w14:paraId="13FBEE87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49395A7A" w14:textId="30AA3F53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3850C6F9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&gt;133</w:t>
            </w:r>
          </w:p>
        </w:tc>
        <w:tc>
          <w:tcPr>
            <w:tcW w:w="1672" w:type="dxa"/>
            <w:noWrap/>
            <w:vAlign w:val="bottom"/>
            <w:hideMark/>
          </w:tcPr>
          <w:p w14:paraId="0DEE1155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0/2</w:t>
            </w:r>
          </w:p>
        </w:tc>
        <w:tc>
          <w:tcPr>
            <w:tcW w:w="2994" w:type="dxa"/>
            <w:noWrap/>
            <w:vAlign w:val="bottom"/>
            <w:hideMark/>
          </w:tcPr>
          <w:p w14:paraId="011B9950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1AD544B7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02B9F23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328E86EE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20DB3138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  <w:tr w:rsidR="00742136" w:rsidRPr="00742136" w14:paraId="55BA0EEF" w14:textId="77777777" w:rsidTr="00096C2A">
        <w:trPr>
          <w:trHeight w:val="326"/>
        </w:trPr>
        <w:tc>
          <w:tcPr>
            <w:tcW w:w="1732" w:type="dxa"/>
            <w:vMerge w:val="restart"/>
            <w:noWrap/>
            <w:vAlign w:val="center"/>
            <w:hideMark/>
          </w:tcPr>
          <w:p w14:paraId="42FA5D37" w14:textId="2BEAF35D" w:rsidR="00742136" w:rsidRPr="00742136" w:rsidRDefault="00742136" w:rsidP="00742136">
            <w:pPr>
              <w:widowControl/>
              <w:spacing w:after="0" w:line="360" w:lineRule="auto"/>
              <w:jc w:val="both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kern w:val="0"/>
                <w:sz w:val="24"/>
                <w14:ligatures w14:val="none"/>
              </w:rPr>
              <w:t>MELD score</w:t>
            </w:r>
          </w:p>
        </w:tc>
        <w:tc>
          <w:tcPr>
            <w:tcW w:w="1391" w:type="dxa"/>
            <w:noWrap/>
            <w:vAlign w:val="bottom"/>
            <w:hideMark/>
          </w:tcPr>
          <w:p w14:paraId="19D6D09A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≤15</w:t>
            </w:r>
          </w:p>
        </w:tc>
        <w:tc>
          <w:tcPr>
            <w:tcW w:w="1672" w:type="dxa"/>
            <w:noWrap/>
            <w:vAlign w:val="bottom"/>
            <w:hideMark/>
          </w:tcPr>
          <w:p w14:paraId="610D55FF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6/42</w:t>
            </w:r>
          </w:p>
        </w:tc>
        <w:tc>
          <w:tcPr>
            <w:tcW w:w="2994" w:type="dxa"/>
            <w:noWrap/>
            <w:vAlign w:val="bottom"/>
            <w:hideMark/>
          </w:tcPr>
          <w:p w14:paraId="57A8FE5D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100% (100%–100%)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093310C0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90.5% (82%–99.8%)</w:t>
            </w:r>
          </w:p>
        </w:tc>
        <w:tc>
          <w:tcPr>
            <w:tcW w:w="1490" w:type="dxa"/>
            <w:gridSpan w:val="2"/>
            <w:noWrap/>
            <w:vAlign w:val="bottom"/>
            <w:hideMark/>
          </w:tcPr>
          <w:p w14:paraId="07165CDC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0.059</w:t>
            </w:r>
          </w:p>
        </w:tc>
        <w:tc>
          <w:tcPr>
            <w:tcW w:w="851" w:type="dxa"/>
            <w:noWrap/>
            <w:vAlign w:val="bottom"/>
            <w:hideMark/>
          </w:tcPr>
          <w:p w14:paraId="7FF525DB" w14:textId="77777777" w:rsidR="00742136" w:rsidRPr="00742136" w:rsidRDefault="00742136" w:rsidP="00096C2A">
            <w:pPr>
              <w:widowControl/>
              <w:spacing w:after="0" w:line="36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202" w:type="dxa"/>
            <w:noWrap/>
            <w:vAlign w:val="bottom"/>
            <w:hideMark/>
          </w:tcPr>
          <w:p w14:paraId="7ABA3CC3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0.808</w:t>
            </w:r>
          </w:p>
        </w:tc>
      </w:tr>
      <w:tr w:rsidR="00742136" w:rsidRPr="00742136" w14:paraId="055CA79A" w14:textId="77777777" w:rsidTr="00096C2A">
        <w:trPr>
          <w:trHeight w:val="326"/>
        </w:trPr>
        <w:tc>
          <w:tcPr>
            <w:tcW w:w="1732" w:type="dxa"/>
            <w:vMerge/>
            <w:noWrap/>
            <w:vAlign w:val="bottom"/>
            <w:hideMark/>
          </w:tcPr>
          <w:p w14:paraId="5DDBB7AC" w14:textId="48973791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391" w:type="dxa"/>
            <w:noWrap/>
            <w:vAlign w:val="bottom"/>
            <w:hideMark/>
          </w:tcPr>
          <w:p w14:paraId="51221AF3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&gt;15</w:t>
            </w:r>
          </w:p>
        </w:tc>
        <w:tc>
          <w:tcPr>
            <w:tcW w:w="1672" w:type="dxa"/>
            <w:noWrap/>
            <w:vAlign w:val="bottom"/>
            <w:hideMark/>
          </w:tcPr>
          <w:p w14:paraId="2470B179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1/10</w:t>
            </w:r>
          </w:p>
        </w:tc>
        <w:tc>
          <w:tcPr>
            <w:tcW w:w="2994" w:type="dxa"/>
            <w:noWrap/>
            <w:vAlign w:val="bottom"/>
            <w:hideMark/>
          </w:tcPr>
          <w:p w14:paraId="12553697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90% (73.2%–100%)</w:t>
            </w:r>
          </w:p>
        </w:tc>
        <w:tc>
          <w:tcPr>
            <w:tcW w:w="2628" w:type="dxa"/>
            <w:noWrap/>
            <w:vAlign w:val="bottom"/>
            <w:hideMark/>
          </w:tcPr>
          <w:p w14:paraId="6A1C0B35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  <w:r w:rsidRPr="00742136"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  <w:t>90% (73.2%–100%)</w:t>
            </w:r>
          </w:p>
        </w:tc>
        <w:tc>
          <w:tcPr>
            <w:tcW w:w="756" w:type="dxa"/>
            <w:noWrap/>
            <w:vAlign w:val="bottom"/>
            <w:hideMark/>
          </w:tcPr>
          <w:p w14:paraId="50E6CD9D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1585" w:type="dxa"/>
            <w:gridSpan w:val="2"/>
            <w:noWrap/>
            <w:vAlign w:val="center"/>
            <w:hideMark/>
          </w:tcPr>
          <w:p w14:paraId="416AE650" w14:textId="77777777" w:rsidR="00742136" w:rsidRPr="00742136" w:rsidRDefault="00742136" w:rsidP="00096C2A">
            <w:pPr>
              <w:widowControl/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  <w:tc>
          <w:tcPr>
            <w:tcW w:w="1202" w:type="dxa"/>
            <w:noWrap/>
            <w:vAlign w:val="bottom"/>
            <w:hideMark/>
          </w:tcPr>
          <w:p w14:paraId="3D126294" w14:textId="77777777" w:rsidR="00742136" w:rsidRPr="00742136" w:rsidRDefault="00742136" w:rsidP="00742136">
            <w:pPr>
              <w:widowControl/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sz w:val="24"/>
                <w14:ligatures w14:val="none"/>
              </w:rPr>
            </w:pPr>
          </w:p>
        </w:tc>
      </w:tr>
    </w:tbl>
    <w:p w14:paraId="6C448F87" w14:textId="2BF0E0F7" w:rsidR="007A03E9" w:rsidRPr="00096C2A" w:rsidRDefault="00096C2A" w:rsidP="00096C2A">
      <w:pPr>
        <w:rPr>
          <w:rFonts w:ascii="Times New Roman" w:hAnsi="Times New Roman" w:cs="Times New Roman"/>
          <w:sz w:val="24"/>
        </w:rPr>
      </w:pPr>
      <w:r w:rsidRPr="00096C2A">
        <w:rPr>
          <w:rFonts w:ascii="Times New Roman" w:hAnsi="Times New Roman" w:cs="Times New Roman"/>
          <w:sz w:val="24"/>
        </w:rPr>
        <w:t>Continuous variables were stratified by their median values (age: 52 years; BMI: 23.9 kg/m²) or clinical cut-off values (serum creatinine: 133 μmol/L; MELD score: 15)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Pr="00096C2A">
        <w:rPr>
          <w:rFonts w:ascii="Times New Roman" w:hAnsi="Times New Roman" w:cs="Times New Roman"/>
          <w:sz w:val="24"/>
        </w:rPr>
        <w:t>Survival rates are presented as percentages with 95% confidence intervals (CI)</w:t>
      </w:r>
      <w:r>
        <w:rPr>
          <w:rFonts w:ascii="Times New Roman" w:hAnsi="Times New Roman" w:cs="Times New Roman" w:hint="eastAsia"/>
          <w:sz w:val="24"/>
        </w:rPr>
        <w:t xml:space="preserve">. </w:t>
      </w:r>
      <w:r w:rsidR="001D25CF">
        <w:rPr>
          <w:rFonts w:ascii="Times New Roman" w:hAnsi="Times New Roman" w:cs="Times New Roman" w:hint="eastAsia"/>
          <w:sz w:val="24"/>
        </w:rPr>
        <w:t>A</w:t>
      </w:r>
      <w:r w:rsidRPr="00096C2A">
        <w:rPr>
          <w:rFonts w:ascii="Times New Roman" w:hAnsi="Times New Roman" w:cs="Times New Roman"/>
          <w:sz w:val="24"/>
        </w:rPr>
        <w:t xml:space="preserve"> two-sided P value &lt; 0.05 was considered statistically significant</w:t>
      </w:r>
      <w:r>
        <w:rPr>
          <w:rFonts w:ascii="Times New Roman" w:hAnsi="Times New Roman" w:cs="Times New Roman" w:hint="eastAsia"/>
          <w:sz w:val="24"/>
        </w:rPr>
        <w:t xml:space="preserve">. No </w:t>
      </w:r>
      <w:r w:rsidRPr="00096C2A">
        <w:rPr>
          <w:rFonts w:ascii="Times New Roman" w:hAnsi="Times New Roman" w:cs="Times New Roman"/>
          <w:sz w:val="24"/>
        </w:rPr>
        <w:t xml:space="preserve">statistically significant differences in vascular complication-free survival were observed across all preoperative subgroups except for hypertension (main text </w:t>
      </w:r>
      <w:r w:rsidR="00813BCC">
        <w:rPr>
          <w:rFonts w:ascii="Times New Roman" w:hAnsi="Times New Roman" w:cs="Times New Roman" w:hint="eastAsia"/>
          <w:sz w:val="24"/>
        </w:rPr>
        <w:t>Figure 1</w:t>
      </w:r>
      <w:r w:rsidRPr="00096C2A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 w:hint="eastAsia"/>
          <w:sz w:val="24"/>
        </w:rPr>
        <w:t>.</w:t>
      </w:r>
    </w:p>
    <w:sectPr w:rsidR="007A03E9" w:rsidRPr="00096C2A" w:rsidSect="00177B42">
      <w:pgSz w:w="16840" w:h="11905" w:orient="landscape"/>
      <w:pgMar w:top="1797" w:right="1440" w:bottom="1797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CBA0" w14:textId="77777777" w:rsidR="00EE3CC3" w:rsidRDefault="00EE3CC3" w:rsidP="00177B4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35C7A875" w14:textId="77777777" w:rsidR="00EE3CC3" w:rsidRDefault="00EE3CC3" w:rsidP="00177B4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697A3" w14:textId="77777777" w:rsidR="00EE3CC3" w:rsidRDefault="00EE3CC3" w:rsidP="00177B4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41EA103" w14:textId="77777777" w:rsidR="00EE3CC3" w:rsidRDefault="00EE3CC3" w:rsidP="00177B4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9F431DDD-0213-4473-A5C5-4277BCE73AB1}"/>
    <w:docVar w:name="KY_MEDREF_VERSION" w:val="3"/>
  </w:docVars>
  <w:rsids>
    <w:rsidRoot w:val="00423406"/>
    <w:rsid w:val="00095010"/>
    <w:rsid w:val="00096C2A"/>
    <w:rsid w:val="000D45E9"/>
    <w:rsid w:val="00177B42"/>
    <w:rsid w:val="001D25CF"/>
    <w:rsid w:val="00205F5E"/>
    <w:rsid w:val="002A2B4F"/>
    <w:rsid w:val="002B65A8"/>
    <w:rsid w:val="00333C5D"/>
    <w:rsid w:val="00385E2B"/>
    <w:rsid w:val="00423406"/>
    <w:rsid w:val="00523B64"/>
    <w:rsid w:val="005635D8"/>
    <w:rsid w:val="005A76BB"/>
    <w:rsid w:val="005E25A2"/>
    <w:rsid w:val="005F76F3"/>
    <w:rsid w:val="00694B83"/>
    <w:rsid w:val="006D2A75"/>
    <w:rsid w:val="00742136"/>
    <w:rsid w:val="007A03E9"/>
    <w:rsid w:val="007D529C"/>
    <w:rsid w:val="00813BCC"/>
    <w:rsid w:val="0085645C"/>
    <w:rsid w:val="00892067"/>
    <w:rsid w:val="009347FD"/>
    <w:rsid w:val="00A6260C"/>
    <w:rsid w:val="00B52B42"/>
    <w:rsid w:val="00C651CE"/>
    <w:rsid w:val="00DE00E5"/>
    <w:rsid w:val="00EC51BF"/>
    <w:rsid w:val="00EE3CC3"/>
    <w:rsid w:val="00F01149"/>
    <w:rsid w:val="00FE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71D994"/>
  <w15:chartTrackingRefBased/>
  <w15:docId w15:val="{AF6A6220-9E23-4F0C-8FFA-0FBAF2964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7B42"/>
    <w:pPr>
      <w:widowControl w:val="0"/>
      <w:spacing w:after="160" w:line="278" w:lineRule="auto"/>
    </w:pPr>
    <w:rPr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423406"/>
    <w:pPr>
      <w:keepNext/>
      <w:keepLines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23406"/>
    <w:pPr>
      <w:keepNext/>
      <w:keepLines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23406"/>
    <w:pPr>
      <w:keepNext/>
      <w:keepLines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23406"/>
    <w:pPr>
      <w:keepNext/>
      <w:keepLines/>
      <w:spacing w:before="80" w:after="40" w:line="240" w:lineRule="auto"/>
      <w:jc w:val="both"/>
      <w:outlineLvl w:val="3"/>
    </w:pPr>
    <w:rPr>
      <w:rFonts w:cstheme="majorBidi"/>
      <w:color w:val="0F4761" w:themeColor="accent1" w:themeShade="BF"/>
      <w:sz w:val="28"/>
      <w:szCs w:val="28"/>
      <w14:ligatures w14:val="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23406"/>
    <w:pPr>
      <w:keepNext/>
      <w:keepLines/>
      <w:spacing w:before="80" w:after="40" w:line="240" w:lineRule="auto"/>
      <w:jc w:val="both"/>
      <w:outlineLvl w:val="4"/>
    </w:pPr>
    <w:rPr>
      <w:rFonts w:cstheme="majorBidi"/>
      <w:color w:val="0F4761" w:themeColor="accent1" w:themeShade="BF"/>
      <w:sz w:val="24"/>
      <w14:ligatures w14:val="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23406"/>
    <w:pPr>
      <w:keepNext/>
      <w:keepLines/>
      <w:spacing w:before="40" w:after="0" w:line="240" w:lineRule="auto"/>
      <w:jc w:val="both"/>
      <w:outlineLvl w:val="5"/>
    </w:pPr>
    <w:rPr>
      <w:rFonts w:cstheme="majorBidi"/>
      <w:b/>
      <w:bCs/>
      <w:color w:val="0F4761" w:themeColor="accent1" w:themeShade="BF"/>
      <w:sz w:val="21"/>
      <w:szCs w:val="22"/>
      <w14:ligatures w14:val="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23406"/>
    <w:pPr>
      <w:keepNext/>
      <w:keepLines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14:ligatures w14:val="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23406"/>
    <w:pPr>
      <w:keepNext/>
      <w:keepLines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14:ligatures w14:val="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23406"/>
    <w:pPr>
      <w:keepNext/>
      <w:keepLines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340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23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23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2340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23406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2340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2340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2340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2340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2340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character" w:customStyle="1" w:styleId="a4">
    <w:name w:val="标题 字符"/>
    <w:basedOn w:val="a0"/>
    <w:link w:val="a3"/>
    <w:uiPriority w:val="10"/>
    <w:rsid w:val="00423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23406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none"/>
    </w:rPr>
  </w:style>
  <w:style w:type="character" w:customStyle="1" w:styleId="a6">
    <w:name w:val="副标题 字符"/>
    <w:basedOn w:val="a0"/>
    <w:link w:val="a5"/>
    <w:uiPriority w:val="11"/>
    <w:rsid w:val="0042340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23406"/>
    <w:pPr>
      <w:spacing w:before="160" w:line="240" w:lineRule="auto"/>
      <w:jc w:val="center"/>
    </w:pPr>
    <w:rPr>
      <w:i/>
      <w:iCs/>
      <w:color w:val="404040" w:themeColor="text1" w:themeTint="BF"/>
      <w:sz w:val="21"/>
      <w:szCs w:val="22"/>
      <w14:ligatures w14:val="none"/>
    </w:rPr>
  </w:style>
  <w:style w:type="character" w:customStyle="1" w:styleId="a8">
    <w:name w:val="引用 字符"/>
    <w:basedOn w:val="a0"/>
    <w:link w:val="a7"/>
    <w:uiPriority w:val="29"/>
    <w:rsid w:val="0042340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23406"/>
    <w:pPr>
      <w:spacing w:after="0" w:line="240" w:lineRule="auto"/>
      <w:ind w:left="720"/>
      <w:contextualSpacing/>
      <w:jc w:val="both"/>
    </w:pPr>
    <w:rPr>
      <w:sz w:val="21"/>
      <w:szCs w:val="22"/>
      <w14:ligatures w14:val="none"/>
    </w:rPr>
  </w:style>
  <w:style w:type="character" w:styleId="aa">
    <w:name w:val="Intense Emphasis"/>
    <w:basedOn w:val="a0"/>
    <w:uiPriority w:val="21"/>
    <w:qFormat/>
    <w:rsid w:val="0042340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23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1"/>
      <w:szCs w:val="22"/>
      <w14:ligatures w14:val="none"/>
    </w:rPr>
  </w:style>
  <w:style w:type="character" w:customStyle="1" w:styleId="ac">
    <w:name w:val="明显引用 字符"/>
    <w:basedOn w:val="a0"/>
    <w:link w:val="ab"/>
    <w:uiPriority w:val="30"/>
    <w:rsid w:val="0042340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2340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77B42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  <w14:ligatures w14:val="none"/>
    </w:rPr>
  </w:style>
  <w:style w:type="character" w:customStyle="1" w:styleId="af">
    <w:name w:val="页眉 字符"/>
    <w:basedOn w:val="a0"/>
    <w:link w:val="ae"/>
    <w:uiPriority w:val="99"/>
    <w:rsid w:val="00177B4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77B42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  <w14:ligatures w14:val="none"/>
    </w:rPr>
  </w:style>
  <w:style w:type="character" w:customStyle="1" w:styleId="af1">
    <w:name w:val="页脚 字符"/>
    <w:basedOn w:val="a0"/>
    <w:link w:val="af0"/>
    <w:uiPriority w:val="99"/>
    <w:rsid w:val="00177B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 Gao</dc:creator>
  <cp:keywords/>
  <dc:description/>
  <cp:lastModifiedBy>HK Gao</cp:lastModifiedBy>
  <cp:revision>4</cp:revision>
  <dcterms:created xsi:type="dcterms:W3CDTF">2026-06-21T07:05:00Z</dcterms:created>
  <dcterms:modified xsi:type="dcterms:W3CDTF">2026-06-21T07:05:00Z</dcterms:modified>
</cp:coreProperties>
</file>