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B616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Supplementary Note 1: Additional Experimental details and Methods</w:t>
      </w:r>
    </w:p>
    <w:p w14:paraId="75AAA0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Figure S1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Phylogenetic Tree</w:t>
      </w:r>
    </w:p>
    <w:p w14:paraId="6C46B2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 xml:space="preserve">Figure S2 Molecular Docking Analysis of </w:t>
      </w:r>
      <w:r>
        <w:rPr>
          <w:rFonts w:hint="eastAsia" w:ascii="Times New Roman" w:hAnsi="Times New Roman" w:eastAsia="宋体"/>
          <w:b/>
          <w:bCs/>
          <w:i/>
          <w:sz w:val="24"/>
          <w:szCs w:val="24"/>
          <w:lang w:val="en-US" w:eastAsia="zh-CN"/>
        </w:rPr>
        <w:t>Asp</w:t>
      </w: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RedAm and Ancestral Sequences</w:t>
      </w:r>
    </w:p>
    <w:p w14:paraId="2C7539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Figure S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3 </w:t>
      </w:r>
      <w:r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Free Energy Landscape (FEL) of Mutants at 303 K</w:t>
      </w:r>
    </w:p>
    <w:p w14:paraId="19CBC9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Figure S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4 </w:t>
      </w:r>
      <w:r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 xml:space="preserve">SDS-PAGE of </w:t>
      </w:r>
      <w:r>
        <w:rPr>
          <w:rFonts w:hint="default" w:ascii="Times New Roman" w:hAnsi="Times New Roman"/>
          <w:b/>
          <w:bCs/>
          <w:i w:val="0"/>
          <w:iCs w:val="0"/>
          <w:sz w:val="24"/>
          <w:szCs w:val="24"/>
          <w:lang w:val="en-US" w:eastAsia="zh-CN"/>
        </w:rPr>
        <w:t>mutants</w:t>
      </w:r>
      <w:r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. (M:Marker 1:Anc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74_7</w:t>
      </w:r>
      <w:r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; 2Anc7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5_8</w:t>
      </w:r>
      <w:r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; 3: Anc75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_20</w:t>
      </w:r>
      <w:r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)</w:t>
      </w:r>
    </w:p>
    <w:p w14:paraId="44219A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Figure S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5</w:t>
      </w:r>
      <w:r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 xml:space="preserve"> Optimal Temperature and pH of </w:t>
      </w:r>
      <w:r>
        <w:rPr>
          <w:rFonts w:hint="eastAsia" w:ascii="Times New Roman" w:hAnsi="Times New Roman" w:eastAsia="宋体" w:cs="Segoe UI"/>
          <w:b/>
          <w:bCs/>
          <w:i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Asp</w:t>
      </w:r>
      <w:r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RedAm and variants</w:t>
      </w:r>
    </w:p>
    <w:p w14:paraId="35E46B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  <w:t xml:space="preserve">Figure </w:t>
      </w: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S6</w:t>
      </w:r>
      <w:r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  <w:t xml:space="preserve"> Organic Solvent Stability</w:t>
      </w:r>
    </w:p>
    <w:p w14:paraId="35042E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Figure S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7</w:t>
      </w:r>
      <w:r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 xml:space="preserve"> Free energy landscape analysis of </w:t>
      </w:r>
      <w:r>
        <w:rPr>
          <w:rFonts w:hint="eastAsia" w:ascii="Times New Roman" w:hAnsi="Times New Roman" w:eastAsia="宋体" w:cs="Segoe UI"/>
          <w:b/>
          <w:bCs/>
          <w:i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Asp</w:t>
      </w:r>
      <w:r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RedAm and variants</w:t>
      </w:r>
    </w:p>
    <w:p w14:paraId="3CBC4F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Figure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S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8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 xml:space="preserve">Surface electrostatic potential analysis of </w:t>
      </w:r>
      <w:r>
        <w:rPr>
          <w:rFonts w:hint="eastAsia" w:ascii="Times New Roman" w:hAnsi="Times New Roman" w:eastAsia="宋体" w:cs="Segoe UI"/>
          <w:b/>
          <w:bCs/>
          <w:i/>
          <w:iCs w:val="0"/>
          <w:caps w:val="0"/>
          <w:color w:val="0F1115"/>
          <w:spacing w:val="0"/>
          <w:sz w:val="24"/>
          <w:szCs w:val="24"/>
          <w:shd w:val="clear" w:fill="FFFFFF"/>
          <w:lang w:eastAsia="zh-CN"/>
        </w:rPr>
        <w:t>Asp</w:t>
      </w:r>
      <w:r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RedAm and variants</w:t>
      </w:r>
    </w:p>
    <w:p w14:paraId="4FCC41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ascii="Times New Roman" w:hAnsi="Times New Roman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ascii="Times New Roman" w:hAnsi="Times New Roman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br w:type="page"/>
      </w:r>
    </w:p>
    <w:p w14:paraId="1D07F6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Supplementary Note 1: Additional Experimental details and Methods</w:t>
      </w:r>
    </w:p>
    <w:p w14:paraId="7BAF48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The enzyme sequences used in this study are as follows:</w:t>
      </w:r>
    </w:p>
    <w:p w14:paraId="127751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 xml:space="preserve">The amino acid sequence of </w:t>
      </w:r>
      <w:r>
        <w:rPr>
          <w:rFonts w:hint="eastAsia" w:ascii="Times New Roman" w:hAnsi="Times New Roman" w:eastAsia="宋体" w:cs="Segoe UI"/>
          <w:i/>
          <w:iCs w:val="0"/>
          <w:caps w:val="0"/>
          <w:color w:val="3C3C58"/>
          <w:spacing w:val="0"/>
          <w:sz w:val="24"/>
          <w:szCs w:val="24"/>
          <w:shd w:val="clear" w:fill="FFFFFF"/>
          <w:lang w:val="en-US" w:eastAsia="zh-CN"/>
        </w:rPr>
        <w:t>Asp</w:t>
      </w:r>
      <w:r>
        <w:rPr>
          <w:rFonts w:hint="default" w:ascii="Times New Roman" w:hAnsi="Times New Roman" w:eastAsia="宋体" w:cs="Segoe UI"/>
          <w:i w:val="0"/>
          <w:iCs w:val="0"/>
          <w:caps w:val="0"/>
          <w:color w:val="3C3C58"/>
          <w:spacing w:val="0"/>
          <w:sz w:val="24"/>
          <w:szCs w:val="24"/>
          <w:shd w:val="clear" w:fill="FFFFFF"/>
          <w:lang w:val="en-US" w:eastAsia="zh-CN"/>
        </w:rPr>
        <w:t>RedAm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 xml:space="preserve"> is as follows:</w:t>
      </w:r>
    </w:p>
    <w:p w14:paraId="6DC63C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MSKHIGIFGLGAMGTALAAKYLEHGYKTSVWNRTTAKAIPLVEQGAKLASTISEGVNANDLIIICLLNNQVVEDALRDALQTLPSKTIVNLTNGTPNQARKLADFVTSHGARYIHGGIMAVPTMIGSPHAVLLYSGESLELFQSIESHLSLLGMSKYLGTDAGSASLHDLALLSGMYGLFSGFLHAVALIKSGQDTSTTATGLLPLLTPWLSAMTGYLSSIAKQIDDGDYATQGSNLGMQLAGVENIIRAGEEQRVSSQMILPIKALIEQAVGEGHGGEDLSALIEYFKVGKNVD</w:t>
      </w:r>
    </w:p>
    <w:p w14:paraId="78B3C9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 xml:space="preserve">The amino acid sequence of </w:t>
      </w:r>
      <w:r>
        <w:rPr>
          <w:rFonts w:hint="eastAsia" w:ascii="Times New Roman" w:hAnsi="Times New Roman" w:eastAsia="宋体" w:cs="Segoe UI"/>
          <w:i w:val="0"/>
          <w:iCs/>
          <w:caps w:val="0"/>
          <w:color w:val="3C3C58"/>
          <w:spacing w:val="0"/>
          <w:sz w:val="24"/>
          <w:szCs w:val="24"/>
          <w:shd w:val="clear" w:fill="FFFFFF"/>
          <w:lang w:val="en-US" w:eastAsia="zh-CN"/>
        </w:rPr>
        <w:t>Anc74_7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 xml:space="preserve"> is as follows:</w:t>
      </w:r>
    </w:p>
    <w:p w14:paraId="5EB85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sz w:val="24"/>
          <w:szCs w:val="24"/>
          <w:lang w:val="en-US" w:eastAsia="zh-CN"/>
        </w:rPr>
        <w:t>MMSSVSIFGLGAMGTALASRFLEEKYKVAVWNRSPDK</w:t>
      </w:r>
      <w:r>
        <w:rPr>
          <w:rFonts w:hint="eastAsia" w:ascii="Times New Roman" w:hAnsi="Times New Roman" w:eastAsia="宋体"/>
          <w:i/>
          <w:sz w:val="24"/>
          <w:szCs w:val="24"/>
          <w:lang w:val="en-US" w:eastAsia="zh-CN"/>
        </w:rPr>
        <w:t>Asp</w:t>
      </w:r>
      <w:r>
        <w:rPr>
          <w:rFonts w:hint="default" w:ascii="Times New Roman" w:hAnsi="Times New Roman" w:eastAsia="宋体"/>
          <w:sz w:val="24"/>
          <w:szCs w:val="24"/>
          <w:lang w:val="en-US" w:eastAsia="zh-CN"/>
        </w:rPr>
        <w:t>LLDKGANLAHTVVDGIKASDLIIIVLLDNAAVEATLAGALDHLHGKTIVNLTKGTPDQARKLSDLVVSHGARYVHGGIMMTPSMIGSPYALILYSGSSQEAFKAAESDLSVLAKCVFLGEDAGTASLHDLALLSGMYGLFSGFLHATALVRSEKSSAVKFMDLLVPWLGAMTEYTKAMAKQIDEGKYTSEGSNLAMQLVAIQNIIDASEAQQVSAEFIRPMKELMEKAVAAGHGGDDISSLIDFVKLG</w:t>
      </w:r>
    </w:p>
    <w:p w14:paraId="17BCDA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 xml:space="preserve">The amino acid sequence of </w:t>
      </w:r>
      <w:r>
        <w:rPr>
          <w:rFonts w:hint="eastAsia" w:ascii="Times New Roman" w:hAnsi="Times New Roman" w:eastAsia="宋体" w:cs="Segoe UI"/>
          <w:i w:val="0"/>
          <w:iCs/>
          <w:caps w:val="0"/>
          <w:color w:val="3C3C58"/>
          <w:spacing w:val="0"/>
          <w:sz w:val="24"/>
          <w:szCs w:val="24"/>
          <w:shd w:val="clear" w:fill="FFFFFF"/>
          <w:lang w:val="en-US" w:eastAsia="zh-CN"/>
        </w:rPr>
        <w:t>Anc75_8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 xml:space="preserve"> is as follows:</w:t>
      </w:r>
    </w:p>
    <w:p w14:paraId="12EACC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sz w:val="24"/>
          <w:szCs w:val="24"/>
          <w:lang w:val="en-US" w:eastAsia="zh-CN"/>
        </w:rPr>
        <w:t>MSSSVSIFGLGDMGTALASKFLEKGYKTTVWNRTPAKAKPLVEKGAHLASTVAEGIEASDLIIICFLDNKAVNETLSKALSSLSGRTIVNLTTGTPDQARKTSELVTAHGARYIHGGIMAVPDMIGSPAAVLLYSGSSQEAFQSVEKDLSVLGTSKFLGTDPGSAALHDLALLSGMYGLFSGFLHAVALVRSEKGSATEFLPLLVPWLSAMTGYLGVLAKQIDEGDYASQGSNLAMQLVAIENIVKASEEQGVSSEMIRPIKALMERAVAAGRGGDDISSLIELVTLR</w:t>
      </w:r>
    </w:p>
    <w:p w14:paraId="1354CF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 xml:space="preserve">The amino acid sequence of </w:t>
      </w:r>
      <w:r>
        <w:rPr>
          <w:rFonts w:hint="eastAsia" w:ascii="Times New Roman" w:hAnsi="Times New Roman" w:eastAsia="宋体" w:cs="Segoe UI"/>
          <w:i w:val="0"/>
          <w:iCs/>
          <w:caps w:val="0"/>
          <w:color w:val="3C3C58"/>
          <w:spacing w:val="0"/>
          <w:sz w:val="24"/>
          <w:szCs w:val="24"/>
          <w:shd w:val="clear" w:fill="FFFFFF"/>
          <w:lang w:val="en-US" w:eastAsia="zh-CN"/>
        </w:rPr>
        <w:t>Anc75_20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 xml:space="preserve"> is as follows:</w:t>
      </w:r>
    </w:p>
    <w:p w14:paraId="57FEAE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sz w:val="24"/>
          <w:szCs w:val="24"/>
          <w:lang w:val="en-US" w:eastAsia="zh-CN"/>
        </w:rPr>
        <w:t>MSSSVSIFGLGEMGTALASKFLEKGYKTTVWNRTPAKAKPLVEKGAHLASTVAEGIEASDLIIICFLDNKAVNETLSKALSSLSGRTIVNFTNGTPDQARKTSELVTAHGARYIHGGIMAVPDMIGSPAAVLLYSGSSQEAFQSVEKDLSVLGTSKFLGTDPGSAALHDLALLSGMYGLFSGFLHAVALVRSEKGSATEFLPLLVPWLSAMTGYLGVLAKQIDEGDYASQGSNLAMQLVAIENIVKASEEQGVSSEMIRPIKALMERAVAAGRGGDDISSLIELVTLR</w:t>
      </w:r>
    </w:p>
    <w:p w14:paraId="554CF8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ascii="Times New Roman" w:hAnsi="Times New Roman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ascii="Times New Roman" w:hAnsi="Times New Roman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br w:type="page"/>
      </w:r>
    </w:p>
    <w:p w14:paraId="6EC084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Figure S1</w:t>
      </w:r>
    </w:p>
    <w:p w14:paraId="73BE4D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sz w:val="24"/>
          <w:szCs w:val="24"/>
          <w:lang w:val="en-US" w:eastAsia="zh-CN"/>
        </w:rPr>
        <w:drawing>
          <wp:inline distT="0" distB="0" distL="114300" distR="114300">
            <wp:extent cx="4968240" cy="4886960"/>
            <wp:effectExtent l="0" t="0" r="0" b="0"/>
            <wp:docPr id="2" name="图片 2" descr="M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SA"/>
                    <pic:cNvPicPr>
                      <a:picLocks noChangeAspect="1"/>
                    </pic:cNvPicPr>
                  </pic:nvPicPr>
                  <pic:blipFill>
                    <a:blip r:embed="rId4"/>
                    <a:srcRect l="22122" t="8229" r="27058" b="2311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7D3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</w:p>
    <w:p w14:paraId="1D48CF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Figure S1</w:t>
      </w:r>
      <w:r>
        <w:rPr>
          <w:rFonts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 xml:space="preserve"> 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Phylogenetic Tree</w:t>
      </w:r>
    </w:p>
    <w:p w14:paraId="2D49EC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ascii="Times New Roman" w:hAnsi="Times New Roman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</w:pPr>
      <w:r>
        <w:rPr>
          <w:rFonts w:ascii="Times New Roman" w:hAnsi="Times New Roman" w:eastAsia="Segoe UI" w:cs="Segoe UI"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br w:type="page"/>
      </w:r>
    </w:p>
    <w:p w14:paraId="2B107D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Figure S2</w:t>
      </w:r>
    </w:p>
    <w:p w14:paraId="138D9F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drawing>
          <wp:inline distT="0" distB="0" distL="114300" distR="114300">
            <wp:extent cx="5266690" cy="2198370"/>
            <wp:effectExtent l="0" t="0" r="3810" b="11430"/>
            <wp:docPr id="10" name="图片 10" descr="分子对接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分子对接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E5F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 xml:space="preserve">Figure S2 Molecular Docking Analysis of </w:t>
      </w:r>
      <w:r>
        <w:rPr>
          <w:rFonts w:hint="eastAsia" w:ascii="Times New Roman" w:hAnsi="Times New Roman" w:eastAsia="宋体"/>
          <w:b/>
          <w:bCs/>
          <w:i/>
          <w:sz w:val="24"/>
          <w:szCs w:val="24"/>
          <w:lang w:val="en-US" w:eastAsia="zh-CN"/>
        </w:rPr>
        <w:t>Asp</w:t>
      </w: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RedAm and Ancestral Sequences</w:t>
      </w:r>
    </w:p>
    <w:p w14:paraId="69BD78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 xml:space="preserve">Note: (a) Molecular docking analysis of </w:t>
      </w:r>
      <w:r>
        <w:rPr>
          <w:rFonts w:hint="eastAsia" w:ascii="Times New Roman" w:hAnsi="Times New Roman" w:eastAsia="宋体"/>
          <w:i/>
          <w:sz w:val="24"/>
          <w:szCs w:val="24"/>
          <w:lang w:val="en-US" w:eastAsia="zh-CN"/>
        </w:rPr>
        <w:t>Asp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RedAm; (b) Molecular docking analysis of Anc43; (c) Molecular docking analysis of Anc74; (d) Molecular docking analysis of Anc75)</w:t>
      </w:r>
    </w:p>
    <w:p w14:paraId="50EEE4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br w:type="page"/>
      </w:r>
    </w:p>
    <w:p w14:paraId="4E831C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Figure S3</w:t>
      </w:r>
    </w:p>
    <w:p w14:paraId="10F937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sz w:val="24"/>
          <w:szCs w:val="24"/>
          <w:lang w:val="en-US" w:eastAsia="zh-CN"/>
        </w:rPr>
        <w:drawing>
          <wp:inline distT="0" distB="0" distL="114300" distR="114300">
            <wp:extent cx="5808980" cy="2941320"/>
            <wp:effectExtent l="0" t="0" r="7620" b="5080"/>
            <wp:docPr id="9" name="图片 9" descr="FEL_shaix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EL_shaixuan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2B8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  <w:t>Figure</w:t>
      </w: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 xml:space="preserve"> S3</w:t>
      </w:r>
      <w:r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  <w:t xml:space="preserve"> Free Energy Landscape (FEL)  of Mutants at 303 K</w:t>
      </w:r>
    </w:p>
    <w:p w14:paraId="41FE27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br w:type="page"/>
      </w:r>
    </w:p>
    <w:p w14:paraId="499D3AE7">
      <w:pPr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 xml:space="preserve">Figure S4 </w:t>
      </w:r>
    </w:p>
    <w:p w14:paraId="34DB4FAE">
      <w:pPr>
        <w:jc w:val="center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drawing>
          <wp:inline distT="0" distB="0" distL="114300" distR="114300">
            <wp:extent cx="4091940" cy="4610735"/>
            <wp:effectExtent l="0" t="0" r="10160" b="12065"/>
            <wp:docPr id="3" name="图片 3" descr="S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D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6D323">
      <w:pPr>
        <w:jc w:val="center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Figure S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 xml:space="preserve">4 </w:t>
      </w:r>
      <w:r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 xml:space="preserve">SDS-PAGE of </w:t>
      </w:r>
      <w:r>
        <w:rPr>
          <w:rFonts w:hint="default" w:ascii="Times New Roman" w:hAnsi="Times New Roman"/>
          <w:b/>
          <w:bCs/>
          <w:i w:val="0"/>
          <w:iCs w:val="0"/>
          <w:sz w:val="24"/>
          <w:szCs w:val="24"/>
          <w:lang w:val="en-US" w:eastAsia="zh-CN"/>
        </w:rPr>
        <w:t>mutants</w:t>
      </w:r>
      <w:r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. (M:Marker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;</w:t>
      </w:r>
      <w:r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 xml:space="preserve"> 1:Anc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74_7</w:t>
      </w:r>
      <w:r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; 2Anc7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5_8</w:t>
      </w:r>
      <w:r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; 3: Anc75</w:t>
      </w:r>
      <w:r>
        <w:rPr>
          <w:rFonts w:hint="eastAsia" w:ascii="Times New Roman" w:hAnsi="Times New Roman" w:eastAsia="宋体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  <w:lang w:val="en-US" w:eastAsia="zh-CN"/>
        </w:rPr>
        <w:t>_20</w:t>
      </w:r>
      <w:r>
        <w:rPr>
          <w:rFonts w:hint="eastAsia" w:ascii="Times New Roman" w:hAnsi="Times New Roman" w:eastAsia="Segoe UI" w:cs="Segoe UI"/>
          <w:b/>
          <w:bCs/>
          <w:i w:val="0"/>
          <w:iCs w:val="0"/>
          <w:caps w:val="0"/>
          <w:color w:val="0F1115"/>
          <w:spacing w:val="0"/>
          <w:sz w:val="24"/>
          <w:szCs w:val="24"/>
          <w:shd w:val="clear" w:fill="FFFFFF"/>
        </w:rPr>
        <w:t>)</w:t>
      </w:r>
    </w:p>
    <w:p w14:paraId="37A846E7">
      <w:pPr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br w:type="page"/>
      </w:r>
    </w:p>
    <w:p w14:paraId="2F7CBD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Figure S5</w:t>
      </w:r>
    </w:p>
    <w:p w14:paraId="07B1FB20">
      <w:pPr>
        <w:jc w:val="center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drawing>
          <wp:inline distT="0" distB="0" distL="114300" distR="114300">
            <wp:extent cx="5263515" cy="2206625"/>
            <wp:effectExtent l="0" t="0" r="6985" b="3175"/>
            <wp:docPr id="8" name="图片 8" descr="最适温度及最适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最适温度及最适pH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14A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 xml:space="preserve">Figure S5 Optimal Temperature and pH of </w:t>
      </w:r>
      <w:r>
        <w:rPr>
          <w:rFonts w:hint="eastAsia" w:ascii="Times New Roman" w:hAnsi="Times New Roman" w:eastAsia="宋体"/>
          <w:b/>
          <w:bCs/>
          <w:i/>
          <w:sz w:val="24"/>
          <w:szCs w:val="24"/>
          <w:lang w:val="en-US" w:eastAsia="zh-CN"/>
        </w:rPr>
        <w:t>Asp</w:t>
      </w: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RedAm and variants</w:t>
      </w:r>
    </w:p>
    <w:p w14:paraId="05D789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 xml:space="preserve">Note: (a) Optimal temperature of </w:t>
      </w:r>
      <w:r>
        <w:rPr>
          <w:rFonts w:hint="eastAsia" w:ascii="Times New Roman" w:hAnsi="Times New Roman" w:eastAsia="宋体"/>
          <w:i/>
          <w:sz w:val="24"/>
          <w:szCs w:val="24"/>
          <w:lang w:val="en-US" w:eastAsia="zh-CN"/>
        </w:rPr>
        <w:t>Asp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 xml:space="preserve">RedAm and variants; Figure (b) Optimal pH of </w:t>
      </w:r>
      <w:r>
        <w:rPr>
          <w:rFonts w:hint="eastAsia" w:ascii="Times New Roman" w:hAnsi="Times New Roman" w:eastAsia="宋体"/>
          <w:i/>
          <w:sz w:val="24"/>
          <w:szCs w:val="24"/>
          <w:lang w:val="en-US" w:eastAsia="zh-CN"/>
        </w:rPr>
        <w:t>Asp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RedAm and variants</w:t>
      </w:r>
    </w:p>
    <w:p w14:paraId="733B9811">
      <w:pPr>
        <w:rPr>
          <w:rFonts w:hint="eastAsia" w:ascii="Times New Roman" w:hAnsi="Times New Roman" w:eastAsia="宋体"/>
          <w:sz w:val="24"/>
          <w:szCs w:val="24"/>
          <w:lang w:val="en-US" w:eastAsia="zh-CN"/>
        </w:rPr>
      </w:pPr>
    </w:p>
    <w:p w14:paraId="7D398033">
      <w:pPr>
        <w:rPr>
          <w:rFonts w:hint="eastAsia" w:ascii="Times New Roman" w:hAnsi="Times New Roman" w:eastAsia="宋体"/>
          <w:sz w:val="24"/>
          <w:szCs w:val="24"/>
          <w:lang w:val="en-US" w:eastAsia="zh-CN"/>
        </w:rPr>
      </w:pPr>
    </w:p>
    <w:p w14:paraId="177A15F2">
      <w:pPr>
        <w:rPr>
          <w:rFonts w:hint="eastAsia" w:ascii="Times New Roman" w:hAnsi="Times New Roman" w:eastAsia="宋体"/>
          <w:sz w:val="24"/>
          <w:szCs w:val="24"/>
          <w:lang w:val="en-US" w:eastAsia="zh-CN"/>
        </w:rPr>
      </w:pPr>
    </w:p>
    <w:p w14:paraId="65915D28">
      <w:pPr>
        <w:rPr>
          <w:rFonts w:hint="eastAsia" w:ascii="Times New Roman" w:hAnsi="Times New Roman" w:eastAsia="宋体"/>
          <w:sz w:val="24"/>
          <w:szCs w:val="24"/>
          <w:lang w:val="en-US" w:eastAsia="zh-CN"/>
        </w:rPr>
      </w:pPr>
    </w:p>
    <w:p w14:paraId="32E89430">
      <w:pPr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br w:type="page"/>
      </w:r>
    </w:p>
    <w:p w14:paraId="7EB47D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Figure S6</w:t>
      </w:r>
    </w:p>
    <w:p w14:paraId="0F6391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drawing>
          <wp:inline distT="0" distB="0" distL="114300" distR="114300">
            <wp:extent cx="5257800" cy="4307840"/>
            <wp:effectExtent l="0" t="0" r="0" b="10160"/>
            <wp:docPr id="4" name="图片 4" descr="有机试剂稳定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有机试剂稳定性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48E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  <w:t xml:space="preserve">Figure </w:t>
      </w: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S6</w:t>
      </w:r>
      <w:r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  <w:t xml:space="preserve"> Organic Solvent Stability</w:t>
      </w:r>
    </w:p>
    <w:p w14:paraId="5AAE45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jc w:val="center"/>
        <w:textAlignment w:val="auto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 xml:space="preserve">Note: </w:t>
      </w:r>
      <w:r>
        <w:rPr>
          <w:rFonts w:hint="default" w:ascii="Times New Roman" w:hAnsi="Times New Roman" w:eastAsia="宋体"/>
          <w:sz w:val="24"/>
          <w:szCs w:val="24"/>
          <w:lang w:val="en-US" w:eastAsia="zh-CN"/>
        </w:rPr>
        <w:t xml:space="preserve">(a) Stability of </w:t>
      </w:r>
      <w:r>
        <w:rPr>
          <w:rFonts w:hint="eastAsia" w:ascii="Times New Roman" w:hAnsi="Times New Roman" w:eastAsia="宋体"/>
          <w:i/>
          <w:sz w:val="24"/>
          <w:szCs w:val="24"/>
          <w:lang w:val="en-US" w:eastAsia="zh-CN"/>
        </w:rPr>
        <w:t>Asp</w:t>
      </w:r>
      <w:r>
        <w:rPr>
          <w:rFonts w:hint="default" w:ascii="Times New Roman" w:hAnsi="Times New Roman" w:eastAsia="宋体"/>
          <w:sz w:val="24"/>
          <w:szCs w:val="24"/>
          <w:lang w:val="en-US" w:eastAsia="zh-CN"/>
        </w:rPr>
        <w:t xml:space="preserve">RedAm and 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variants</w:t>
      </w:r>
      <w:r>
        <w:rPr>
          <w:rFonts w:hint="default" w:ascii="Times New Roman" w:hAnsi="Times New Roman" w:eastAsia="宋体"/>
          <w:sz w:val="24"/>
          <w:szCs w:val="24"/>
          <w:lang w:val="en-US" w:eastAsia="zh-CN"/>
        </w:rPr>
        <w:t xml:space="preserve"> in methanol; (b) Stability of </w:t>
      </w:r>
      <w:r>
        <w:rPr>
          <w:rFonts w:hint="eastAsia" w:ascii="Times New Roman" w:hAnsi="Times New Roman" w:eastAsia="宋体"/>
          <w:i/>
          <w:sz w:val="24"/>
          <w:szCs w:val="24"/>
          <w:lang w:val="en-US" w:eastAsia="zh-CN"/>
        </w:rPr>
        <w:t>Asp</w:t>
      </w:r>
      <w:r>
        <w:rPr>
          <w:rFonts w:hint="default" w:ascii="Times New Roman" w:hAnsi="Times New Roman" w:eastAsia="宋体"/>
          <w:sz w:val="24"/>
          <w:szCs w:val="24"/>
          <w:lang w:val="en-US" w:eastAsia="zh-CN"/>
        </w:rPr>
        <w:t>RedAm and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variants</w:t>
      </w:r>
      <w:r>
        <w:rPr>
          <w:rFonts w:hint="default" w:ascii="Times New Roman" w:hAnsi="Times New Roman" w:eastAsia="宋体"/>
          <w:sz w:val="24"/>
          <w:szCs w:val="24"/>
          <w:lang w:val="en-US" w:eastAsia="zh-CN"/>
        </w:rPr>
        <w:t xml:space="preserve"> in isopropanol; (c) Stability of </w:t>
      </w:r>
      <w:r>
        <w:rPr>
          <w:rFonts w:hint="eastAsia" w:ascii="Times New Roman" w:hAnsi="Times New Roman" w:eastAsia="宋体"/>
          <w:i/>
          <w:sz w:val="24"/>
          <w:szCs w:val="24"/>
          <w:lang w:val="en-US" w:eastAsia="zh-CN"/>
        </w:rPr>
        <w:t>Asp</w:t>
      </w:r>
      <w:r>
        <w:rPr>
          <w:rFonts w:hint="default" w:ascii="Times New Roman" w:hAnsi="Times New Roman" w:eastAsia="宋体"/>
          <w:sz w:val="24"/>
          <w:szCs w:val="24"/>
          <w:lang w:val="en-US" w:eastAsia="zh-CN"/>
        </w:rPr>
        <w:t xml:space="preserve">RedAm and 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variants</w:t>
      </w:r>
      <w:r>
        <w:rPr>
          <w:rFonts w:hint="default" w:ascii="Times New Roman" w:hAnsi="Times New Roman" w:eastAsia="宋体"/>
          <w:sz w:val="24"/>
          <w:szCs w:val="24"/>
          <w:lang w:val="en-US" w:eastAsia="zh-CN"/>
        </w:rPr>
        <w:t xml:space="preserve"> in ethyl acetate; (d) Stability of </w:t>
      </w:r>
      <w:r>
        <w:rPr>
          <w:rFonts w:hint="eastAsia" w:ascii="Times New Roman" w:hAnsi="Times New Roman" w:eastAsia="宋体"/>
          <w:i/>
          <w:sz w:val="24"/>
          <w:szCs w:val="24"/>
          <w:lang w:val="en-US" w:eastAsia="zh-CN"/>
        </w:rPr>
        <w:t>Asp</w:t>
      </w:r>
      <w:r>
        <w:rPr>
          <w:rFonts w:hint="default" w:ascii="Times New Roman" w:hAnsi="Times New Roman" w:eastAsia="宋体"/>
          <w:sz w:val="24"/>
          <w:szCs w:val="24"/>
          <w:lang w:val="en-US" w:eastAsia="zh-CN"/>
        </w:rPr>
        <w:t xml:space="preserve">RedAm and 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variants</w:t>
      </w:r>
      <w:r>
        <w:rPr>
          <w:rFonts w:hint="default" w:ascii="Times New Roman" w:hAnsi="Times New Roman" w:eastAsia="宋体"/>
          <w:sz w:val="24"/>
          <w:szCs w:val="24"/>
          <w:lang w:val="en-US" w:eastAsia="zh-CN"/>
        </w:rPr>
        <w:t xml:space="preserve"> in DMSO)</w:t>
      </w:r>
    </w:p>
    <w:p w14:paraId="38E49D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sz w:val="24"/>
          <w:szCs w:val="24"/>
          <w:lang w:val="en-US" w:eastAsia="zh-CN"/>
        </w:rPr>
        <w:br w:type="page"/>
      </w:r>
      <w:bookmarkStart w:id="0" w:name="_GoBack"/>
      <w:bookmarkEnd w:id="0"/>
    </w:p>
    <w:p w14:paraId="05D220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Figure S7</w:t>
      </w:r>
    </w:p>
    <w:p w14:paraId="2E1DA30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0" w:firstLineChars="200"/>
        <w:jc w:val="both"/>
        <w:textAlignment w:val="auto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sz w:val="24"/>
          <w:szCs w:val="24"/>
          <w:lang w:val="en-US" w:eastAsia="zh-CN"/>
        </w:rPr>
        <w:drawing>
          <wp:inline distT="0" distB="0" distL="114300" distR="114300">
            <wp:extent cx="5223510" cy="4768850"/>
            <wp:effectExtent l="0" t="0" r="8890" b="6350"/>
            <wp:docPr id="6" name="图片 6" descr="F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EL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9EA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2" w:firstLineChars="200"/>
        <w:jc w:val="center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 xml:space="preserve">Figure S7 Free energy landscape analysis of </w:t>
      </w:r>
      <w:r>
        <w:rPr>
          <w:rFonts w:hint="eastAsia" w:ascii="Times New Roman" w:hAnsi="Times New Roman" w:eastAsia="宋体"/>
          <w:b/>
          <w:bCs/>
          <w:i/>
          <w:sz w:val="24"/>
          <w:szCs w:val="24"/>
          <w:lang w:val="en-US" w:eastAsia="zh-CN"/>
        </w:rPr>
        <w:t>Asp</w:t>
      </w: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RedAm and variants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 xml:space="preserve"> </w:t>
      </w:r>
    </w:p>
    <w:p w14:paraId="66C123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jc w:val="center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 xml:space="preserve">Note: (a) Free energy landscape analysis of </w:t>
      </w:r>
      <w:r>
        <w:rPr>
          <w:rFonts w:hint="eastAsia" w:ascii="Times New Roman" w:hAnsi="Times New Roman" w:eastAsia="宋体"/>
          <w:i/>
          <w:sz w:val="24"/>
          <w:szCs w:val="24"/>
          <w:lang w:val="en-US" w:eastAsia="zh-CN"/>
        </w:rPr>
        <w:t>Asp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RedAm; (b) Free energy landscape analysis of Anc74_7; (c) Free energy landscape analysis of Anc75_8; (d) Free energy landscape analysis of Anc75_20</w:t>
      </w:r>
    </w:p>
    <w:p w14:paraId="4A2383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br w:type="page"/>
      </w:r>
    </w:p>
    <w:p w14:paraId="136541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Figure S8</w:t>
      </w:r>
    </w:p>
    <w:p w14:paraId="3E4B26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sz w:val="24"/>
          <w:szCs w:val="24"/>
          <w:lang w:val="en-US" w:eastAsia="zh-CN"/>
        </w:rPr>
        <w:drawing>
          <wp:inline distT="0" distB="0" distL="114300" distR="114300">
            <wp:extent cx="5272405" cy="3390265"/>
            <wp:effectExtent l="0" t="0" r="10795" b="635"/>
            <wp:docPr id="7" name="图片 7" descr="C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OU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9E1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2" w:firstLineChars="200"/>
        <w:jc w:val="center"/>
        <w:textAlignment w:val="auto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  <w:t xml:space="preserve">Figure </w:t>
      </w:r>
      <w:r>
        <w:rPr>
          <w:rFonts w:hint="eastAsia" w:ascii="Times New Roman" w:hAnsi="Times New Roman" w:eastAsia="宋体"/>
          <w:b/>
          <w:bCs/>
          <w:sz w:val="24"/>
          <w:szCs w:val="24"/>
          <w:lang w:val="en-US" w:eastAsia="zh-CN"/>
        </w:rPr>
        <w:t>S8</w:t>
      </w:r>
      <w:r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  <w:t xml:space="preserve"> Surface electrostatic potential analysis of </w:t>
      </w:r>
      <w:r>
        <w:rPr>
          <w:rFonts w:hint="eastAsia" w:ascii="Times New Roman" w:hAnsi="Times New Roman" w:eastAsia="宋体"/>
          <w:b/>
          <w:bCs/>
          <w:i/>
          <w:sz w:val="24"/>
          <w:szCs w:val="24"/>
          <w:lang w:val="en-US" w:eastAsia="zh-CN"/>
        </w:rPr>
        <w:t>Asp</w:t>
      </w:r>
      <w:r>
        <w:rPr>
          <w:rFonts w:hint="default" w:ascii="Times New Roman" w:hAnsi="Times New Roman" w:eastAsia="宋体"/>
          <w:b/>
          <w:bCs/>
          <w:sz w:val="24"/>
          <w:szCs w:val="24"/>
          <w:lang w:val="en-US" w:eastAsia="zh-CN"/>
        </w:rPr>
        <w:t>RedAm and ancestral sequence variants</w:t>
      </w:r>
    </w:p>
    <w:p w14:paraId="55880F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jc w:val="center"/>
        <w:textAlignment w:val="auto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 xml:space="preserve">Note: </w:t>
      </w:r>
      <w:r>
        <w:rPr>
          <w:rFonts w:hint="default" w:ascii="Times New Roman" w:hAnsi="Times New Roman" w:eastAsia="宋体"/>
          <w:sz w:val="24"/>
          <w:szCs w:val="24"/>
          <w:lang w:val="en-US" w:eastAsia="zh-CN"/>
        </w:rPr>
        <w:t xml:space="preserve">(a) Surface electrostatic potential analysis of </w:t>
      </w:r>
      <w:r>
        <w:rPr>
          <w:rFonts w:hint="eastAsia" w:ascii="Times New Roman" w:hAnsi="Times New Roman" w:eastAsia="宋体"/>
          <w:i/>
          <w:sz w:val="24"/>
          <w:szCs w:val="24"/>
          <w:lang w:val="en-US" w:eastAsia="zh-CN"/>
        </w:rPr>
        <w:t>Asp</w:t>
      </w:r>
      <w:r>
        <w:rPr>
          <w:rFonts w:hint="default" w:ascii="Times New Roman" w:hAnsi="Times New Roman" w:eastAsia="宋体"/>
          <w:sz w:val="24"/>
          <w:szCs w:val="24"/>
          <w:lang w:val="en-US" w:eastAsia="zh-CN"/>
        </w:rPr>
        <w:t>RedAm;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/>
          <w:sz w:val="24"/>
          <w:szCs w:val="24"/>
          <w:lang w:val="en-US" w:eastAsia="zh-CN"/>
        </w:rPr>
        <w:t>(b) Surface electrostatic potential analysis of Anc74_7;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/>
          <w:sz w:val="24"/>
          <w:szCs w:val="24"/>
          <w:lang w:val="en-US" w:eastAsia="zh-CN"/>
        </w:rPr>
        <w:t>(c) Surface electrostatic potential analysis of Anc75_8;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/>
          <w:sz w:val="24"/>
          <w:szCs w:val="24"/>
          <w:lang w:val="en-US" w:eastAsia="zh-CN"/>
        </w:rPr>
        <w:t>(d) Surface electrostatic potential analysis of Anc75_20)</w:t>
      </w:r>
    </w:p>
    <w:p w14:paraId="7C7D6A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 w:firstLine="480" w:firstLineChars="200"/>
        <w:jc w:val="center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</w:p>
    <w:p w14:paraId="1971BB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</w:p>
    <w:p w14:paraId="1BF59C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eastAsia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DD0BA0"/>
    <w:rsid w:val="01314EC3"/>
    <w:rsid w:val="032F7981"/>
    <w:rsid w:val="0AAF5F46"/>
    <w:rsid w:val="0BD818DB"/>
    <w:rsid w:val="0CE7106A"/>
    <w:rsid w:val="12E87305"/>
    <w:rsid w:val="1306788A"/>
    <w:rsid w:val="1327572B"/>
    <w:rsid w:val="18910E95"/>
    <w:rsid w:val="1BC9604B"/>
    <w:rsid w:val="1F931DE8"/>
    <w:rsid w:val="22614882"/>
    <w:rsid w:val="22DD0BA0"/>
    <w:rsid w:val="294C0735"/>
    <w:rsid w:val="2F0350EE"/>
    <w:rsid w:val="31F27975"/>
    <w:rsid w:val="35903A30"/>
    <w:rsid w:val="359C1D7B"/>
    <w:rsid w:val="3C9D607C"/>
    <w:rsid w:val="46CA2BEE"/>
    <w:rsid w:val="4F3D1B25"/>
    <w:rsid w:val="592B7F3B"/>
    <w:rsid w:val="5EAD7E05"/>
    <w:rsid w:val="6336222D"/>
    <w:rsid w:val="636A2CB3"/>
    <w:rsid w:val="661029C7"/>
    <w:rsid w:val="6AE434F0"/>
    <w:rsid w:val="706C3639"/>
    <w:rsid w:val="70A32F59"/>
    <w:rsid w:val="7B34264B"/>
    <w:rsid w:val="7D9255BF"/>
    <w:rsid w:val="7E671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png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351</Words>
  <Characters>3138</Characters>
  <Lines>0</Lines>
  <Paragraphs>0</Paragraphs>
  <TotalTime>0</TotalTime>
  <ScaleCrop>false</ScaleCrop>
  <LinksUpToDate>false</LinksUpToDate>
  <CharactersWithSpaces>3454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2026-05-15T05:12:00Z</dcterms:created>
  <dc:creator>胖虎orz</dc:creator>
  <cp:lastModifiedBy>胖虎orz</cp:lastModifiedBy>
  <dcterms:modified xsi:type="dcterms:W3CDTF">2026-07-01T04:32:14Z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A4C1E0DF278D4745BC0E069E8754341A_11</vt:lpwstr>
  </property>
  <property fmtid="{D5CDD505-2E9C-101B-9397-08002B2CF9AE}" pid="4" name="KSOTemplateDocerSaveRecord">
    <vt:lpwstr>eyJoZGlkIjoiMWQ1MWI3NDdlNjQyMGI2NWUyOGRjMGUzMjM4MWE1YmUiLCJ1c2VySWQiOiI0MDg0MjA5OTkifQ==</vt:lpwstr>
  </property>
</Properties>
</file>