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81F42A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napToGrid w:val="0"/>
        <w:spacing w:before="100" w:after="100" w:line="360" w:lineRule="auto"/>
        <w:ind w:left="0" w:leftChars="0" w:right="0" w:rightChars="0" w:firstLine="0" w:firstLineChars="0"/>
        <w:jc w:val="left"/>
        <w:rPr>
          <w:rFonts w:hint="default" w:ascii="Times New Roman" w:hAnsi="Times New Roman" w:eastAsia="Arial" w:cs="Times New Roman"/>
          <w:b/>
          <w:bCs w:val="0"/>
          <w:i w:val="0"/>
          <w:strike w:val="0"/>
          <w:color w:val="000000"/>
          <w:sz w:val="24"/>
          <w:szCs w:val="24"/>
          <w:u w:val="none"/>
        </w:rPr>
      </w:pPr>
      <w:r>
        <w:rPr>
          <w:rFonts w:hint="default" w:ascii="Times New Roman" w:hAnsi="Times New Roman" w:eastAsia="Arial" w:cs="Times New Roman"/>
          <w:b/>
          <w:bCs w:val="0"/>
          <w:i w:val="0"/>
          <w:strike w:val="0"/>
          <w:color w:val="000000"/>
          <w:sz w:val="24"/>
          <w:szCs w:val="24"/>
          <w:u w:val="none"/>
        </w:rPr>
        <w:t>Online Resource 2 —</w:t>
      </w:r>
      <w:bookmarkStart w:id="0" w:name="_GoBack"/>
      <w:bookmarkEnd w:id="0"/>
      <w:r>
        <w:rPr>
          <w:rFonts w:hint="default" w:ascii="Times New Roman" w:hAnsi="Times New Roman" w:eastAsia="Arial" w:cs="Times New Roman"/>
          <w:b/>
          <w:bCs w:val="0"/>
          <w:i w:val="0"/>
          <w:strike w:val="0"/>
          <w:color w:val="000000"/>
          <w:sz w:val="24"/>
          <w:szCs w:val="24"/>
          <w:u w:val="none"/>
        </w:rPr>
        <w:t>Supplementary Table S1</w:t>
      </w:r>
      <w:r>
        <w:rPr>
          <w:rFonts w:hint="eastAsia" w:ascii="Times New Roman" w:hAnsi="Times New Roman" w:eastAsia="宋体" w:cs="Times New Roman"/>
          <w:b/>
          <w:bCs w:val="0"/>
          <w:i w:val="0"/>
          <w:strike w:val="0"/>
          <w:color w:val="000000"/>
          <w:sz w:val="24"/>
          <w:szCs w:val="24"/>
          <w:u w:val="none"/>
          <w:lang w:val="en-US" w:eastAsia="zh-CN"/>
        </w:rPr>
        <w:t xml:space="preserve">. </w:t>
      </w:r>
      <w:r>
        <w:rPr>
          <w:rFonts w:hint="default" w:ascii="Times New Roman" w:hAnsi="Times New Roman" w:eastAsia="Arial" w:cs="Times New Roman"/>
          <w:b/>
          <w:bCs w:val="0"/>
          <w:i w:val="0"/>
          <w:strike w:val="0"/>
          <w:color w:val="000000"/>
          <w:sz w:val="24"/>
          <w:szCs w:val="24"/>
          <w:u w:val="none"/>
        </w:rPr>
        <w:t>Additional demographic and perioperative characteristics</w:t>
      </w:r>
    </w:p>
    <w:tbl>
      <w:tblPr>
        <w:tblStyle w:val="6"/>
        <w:tblW w:w="8954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2"/>
        <w:gridCol w:w="1531"/>
        <w:gridCol w:w="1711"/>
        <w:gridCol w:w="1531"/>
        <w:gridCol w:w="989"/>
      </w:tblGrid>
      <w:tr w14:paraId="0E1A45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3192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7E2CE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531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DC504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/>
                <w:i w:val="0"/>
                <w:strike w:val="0"/>
                <w:color w:val="000000"/>
                <w:sz w:val="16"/>
                <w:szCs w:val="16"/>
                <w:u w:val="none"/>
              </w:rPr>
              <w:t>Total (N=843)</w:t>
            </w:r>
          </w:p>
        </w:tc>
        <w:tc>
          <w:tcPr>
            <w:tcW w:w="1711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3D5A6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/>
                <w:i w:val="0"/>
                <w:strike w:val="0"/>
                <w:color w:val="000000"/>
                <w:sz w:val="16"/>
                <w:szCs w:val="16"/>
                <w:u w:val="none"/>
              </w:rPr>
              <w:t>Non-AKI(N=766)</w:t>
            </w:r>
          </w:p>
        </w:tc>
        <w:tc>
          <w:tcPr>
            <w:tcW w:w="1531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07EC7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/>
                <w:i w:val="0"/>
                <w:strike w:val="0"/>
                <w:color w:val="000000"/>
                <w:sz w:val="16"/>
                <w:szCs w:val="16"/>
                <w:u w:val="none"/>
              </w:rPr>
              <w:t>AKI (N=77)</w:t>
            </w:r>
          </w:p>
        </w:tc>
        <w:tc>
          <w:tcPr>
            <w:tcW w:w="989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E86AD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/>
                <w:i w:val="0"/>
                <w:strike w:val="0"/>
                <w:color w:val="000000"/>
                <w:sz w:val="16"/>
                <w:szCs w:val="16"/>
                <w:u w:val="none"/>
              </w:rPr>
              <w:t>P value</w:t>
            </w:r>
          </w:p>
        </w:tc>
      </w:tr>
      <w:tr w14:paraId="3F7EB3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9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C470D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strike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b/>
                <w:bCs/>
                <w:i w:val="0"/>
                <w:strike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DEMOGRAPHIC CHARACTERISTICS</w:t>
            </w:r>
          </w:p>
        </w:tc>
        <w:tc>
          <w:tcPr>
            <w:tcW w:w="153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584A9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strike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A52B5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strike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C44D5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strike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9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0E0F8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bCs/>
                <w:i w:val="0"/>
                <w:strike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E0EC1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88033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320" w:firstLineChars="200"/>
              <w:jc w:val="left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Delivery method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66B1D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B3452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4201D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8A331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0.611</w:t>
            </w:r>
          </w:p>
        </w:tc>
      </w:tr>
      <w:tr w14:paraId="58789F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C6E29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Vaginal delivery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23916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464 (55.0)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A059B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419 (54.7)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213DE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45 (58.4)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1EDB3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</w:tr>
      <w:tr w14:paraId="0F83DC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7C944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Cesarean section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ADB42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379 (45.0)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280BC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347 (45.3)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6D60C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32 (41.6)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3A845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</w:tr>
      <w:tr w14:paraId="6858F4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D2216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320" w:firstLineChars="200"/>
              <w:jc w:val="both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Multiple pregnancy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B6C44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1CCD1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F7042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D6E50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0.467†</w:t>
            </w:r>
          </w:p>
        </w:tc>
      </w:tr>
      <w:tr w14:paraId="030DAB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A6110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Singleton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4876F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789 (93.6)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6C4CB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715 (93.3)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89E15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74 (96.1)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0F767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</w:tr>
      <w:tr w14:paraId="0871FC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C62B8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Multiple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467A0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54 (6.4)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C09C4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51 (6.7)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25BB5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3 (3.9)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C5D59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</w:tr>
      <w:tr w14:paraId="1EE73F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13FC6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Surgery weight, kg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7E59D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2.8 (2.3-3.3)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94708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2.8 (2.3-3.3)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25DC1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2.6 (2.0-3.0)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BC32A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0.013</w:t>
            </w:r>
          </w:p>
        </w:tc>
      </w:tr>
      <w:tr w14:paraId="54A838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D3DE2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bCs w:val="0"/>
                <w:i w:val="0"/>
                <w:strike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b/>
                <w:bCs w:val="0"/>
                <w:i w:val="0"/>
                <w:strike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PREOPERATIVE CLINICAL STATUS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D2CA9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bCs w:val="0"/>
                <w:i w:val="0"/>
                <w:strike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0E0F3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bCs w:val="0"/>
                <w:i w:val="0"/>
                <w:strike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2E3A3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bCs w:val="0"/>
                <w:i w:val="0"/>
                <w:strike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B22F7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bCs w:val="0"/>
                <w:i w:val="0"/>
                <w:strike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E933D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9E3B8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Congenital heart disease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52944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BF8F9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E1F1E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3C686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eastAsia" w:ascii="Times New Roman" w:hAnsi="Times New Roman" w:eastAsia="宋体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0.09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  <w:lang w:val="en-US" w:eastAsia="zh-CN"/>
              </w:rPr>
              <w:t>7</w:t>
            </w:r>
          </w:p>
        </w:tc>
      </w:tr>
      <w:tr w14:paraId="50441B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2203A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None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35845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/>
                <w:sz w:val="16"/>
                <w:szCs w:val="16"/>
              </w:rPr>
              <w:t>328 (38.9)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8B1FA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/>
                <w:sz w:val="16"/>
                <w:szCs w:val="16"/>
              </w:rPr>
              <w:t>296 (38.6)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91BEC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/>
                <w:sz w:val="16"/>
                <w:szCs w:val="16"/>
              </w:rPr>
              <w:t>32 (41.6)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61A99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</w:tr>
      <w:tr w14:paraId="2DB3BC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46E1E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Simple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48D0B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/>
                <w:sz w:val="16"/>
                <w:szCs w:val="16"/>
              </w:rPr>
              <w:t>338 (40.1)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CC8F22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/>
                <w:sz w:val="16"/>
                <w:szCs w:val="16"/>
              </w:rPr>
              <w:t>315 (41.1)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6142E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/>
                <w:sz w:val="16"/>
                <w:szCs w:val="16"/>
              </w:rPr>
              <w:t>23 (29.9)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B3092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</w:tr>
      <w:tr w14:paraId="1ED6B5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B5FDA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Complex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4C8C6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/>
                <w:sz w:val="16"/>
                <w:szCs w:val="16"/>
              </w:rPr>
              <w:t>177 (21.0)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88895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/>
                <w:sz w:val="16"/>
                <w:szCs w:val="16"/>
              </w:rPr>
              <w:t>155 (20.2)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140C1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/>
                <w:sz w:val="16"/>
                <w:szCs w:val="16"/>
              </w:rPr>
              <w:t>22 (28.6)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79B89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</w:tr>
      <w:tr w14:paraId="7AF84E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61AA0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Preoperative sepsis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1F2E6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53DA7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8E50C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FFAFA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0.1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  <w:lang w:val="en-US" w:eastAsia="zh-CN"/>
              </w:rPr>
              <w:t>32</w:t>
            </w: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‡</w:t>
            </w:r>
          </w:p>
        </w:tc>
      </w:tr>
      <w:tr w14:paraId="24FF6B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9436D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No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F121E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/>
                <w:sz w:val="16"/>
                <w:szCs w:val="16"/>
              </w:rPr>
              <w:t>707 (83.9)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235FD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/>
                <w:sz w:val="16"/>
                <w:szCs w:val="16"/>
              </w:rPr>
              <w:t>647 (84.5)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225C2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/>
                <w:sz w:val="16"/>
                <w:szCs w:val="16"/>
              </w:rPr>
              <w:t>60 (77.9)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F6D51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</w:tr>
      <w:tr w14:paraId="54B12D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3E4669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Yes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F03FC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/>
                <w:sz w:val="16"/>
                <w:szCs w:val="16"/>
              </w:rPr>
              <w:t>136 (16.1)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6B92C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/>
                <w:sz w:val="16"/>
                <w:szCs w:val="16"/>
              </w:rPr>
              <w:t>119 (15.5)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6AB6D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/>
                <w:sz w:val="16"/>
                <w:szCs w:val="16"/>
              </w:rPr>
              <w:t>17 (22.1)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01B5B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</w:tr>
      <w:tr w14:paraId="6EA41C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33701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Endotracheal tube before surgery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0303B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C7A8D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6A9A3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A9088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&lt;0.001</w:t>
            </w:r>
          </w:p>
        </w:tc>
      </w:tr>
      <w:tr w14:paraId="36D608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7FA07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No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F5D08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691 (82.0)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FCF7D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642 (83.8)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D1757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49 (63.6)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0A7A8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</w:tr>
      <w:tr w14:paraId="5A0C73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297CD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Yes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A5C68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152 (18.0)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E3C0B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124 (16.2)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AA6F9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28 (36.4)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F84B4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</w:tr>
      <w:tr w14:paraId="6030F7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23B7D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Vasopressor before surgery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F6A7D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6EAD2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CAA8C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82DFB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&lt;0.001†</w:t>
            </w:r>
          </w:p>
        </w:tc>
      </w:tr>
      <w:tr w14:paraId="4FE336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893815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No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CB550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802 (95.1)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A0F27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737 (96.2)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D953A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65 (84.4)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BFFB3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</w:tr>
      <w:tr w14:paraId="262D8A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E5447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Yes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0D4BF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41 (4.9)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E0EE3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29 (3.8)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2AA3D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12 (15.6)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1239D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</w:tr>
      <w:tr w14:paraId="7C00CE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40ADE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bCs w:val="0"/>
                <w:i w:val="0"/>
                <w:strike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Arial" w:cs="Times New Roman"/>
                <w:b/>
                <w:bCs w:val="0"/>
                <w:i w:val="0"/>
                <w:strike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  <w:t>INTRAOPERATIVE VARIABLES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180E5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bCs w:val="0"/>
                <w:i w:val="0"/>
                <w:strike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2B72B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bCs w:val="0"/>
                <w:i w:val="0"/>
                <w:strike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E897E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bCs w:val="0"/>
                <w:i w:val="0"/>
                <w:strike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34D33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/>
                <w:bCs w:val="0"/>
                <w:i w:val="0"/>
                <w:strike w:val="0"/>
                <w:color w:val="000000" w:themeColor="text1"/>
                <w:sz w:val="16"/>
                <w:szCs w:val="16"/>
                <w:u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FDA9C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E2A66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Intraoperative catheter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6EF58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A2553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AA5D4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2CA81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0.</w:t>
            </w:r>
            <w:r>
              <w:rPr>
                <w:rFonts w:hint="eastAsia" w:ascii="Times New Roman" w:hAnsi="Times New Roman" w:eastAsia="宋体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  <w:lang w:val="en-US" w:eastAsia="zh-CN"/>
              </w:rPr>
              <w:t>172</w:t>
            </w: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‡</w:t>
            </w:r>
          </w:p>
        </w:tc>
      </w:tr>
      <w:tr w14:paraId="758221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7355F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No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33C5A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/>
                <w:sz w:val="16"/>
                <w:szCs w:val="16"/>
              </w:rPr>
              <w:t>94 (11.2)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8704C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/>
                <w:sz w:val="16"/>
                <w:szCs w:val="16"/>
              </w:rPr>
              <w:t>89 (11.6)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65EBC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/>
                <w:sz w:val="16"/>
                <w:szCs w:val="16"/>
              </w:rPr>
              <w:t>5 (6.5)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5E2EC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</w:tr>
      <w:tr w14:paraId="1A3A5C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36E8F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Yes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692B0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/>
                <w:sz w:val="16"/>
                <w:szCs w:val="16"/>
              </w:rPr>
              <w:t>749 (88.8)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1A1A8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/>
                <w:sz w:val="16"/>
                <w:szCs w:val="16"/>
              </w:rPr>
              <w:t>677 (88.4)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33862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/>
                <w:sz w:val="16"/>
                <w:szCs w:val="16"/>
              </w:rPr>
              <w:t>72 (93.5)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3032E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</w:tr>
      <w:tr w14:paraId="1100EE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3CE9A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Vasoactive agents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3EB1B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D5C45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23C5F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3524B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</w:tr>
      <w:tr w14:paraId="2359AA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D5C02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None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6AF1A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437(51.8)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446A7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421(55.0)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DA515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16(20.8)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034C0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&lt;0.001</w:t>
            </w:r>
          </w:p>
        </w:tc>
      </w:tr>
      <w:tr w14:paraId="6552E4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ADFB4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Any vasoactive agent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F404E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406(48.2)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F94463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345(45.0)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E9D14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61(79.2)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00BB1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</w:tr>
      <w:tr w14:paraId="79C356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10A3D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Dopamine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FA703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166(19.7)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27865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144(18.8)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10066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22(28.6)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40A7D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</w:tr>
      <w:tr w14:paraId="059B12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E5EB2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Norepinephrine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E2AE3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97(11.5)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1BB99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86(11.2)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CB495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11(14.3)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DF7D1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</w:tr>
      <w:tr w14:paraId="6A8B41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41934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Epinephrine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CDBBA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8(0.9)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F3695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5(0.7)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DAB2A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3(3.9)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F461E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</w:tr>
      <w:tr w14:paraId="7F84D7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7892C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Dopamine+Epi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FA89F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5(0.6)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18A19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4(0.5)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988A8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1(1.3)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00AAA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</w:tr>
      <w:tr w14:paraId="6C2C95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15BBE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Dopamine+NE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79DBA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32(3.8)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8BB43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28(3.7)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2FEB5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4(5.2)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44FC0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</w:tr>
      <w:tr w14:paraId="3277CB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F3E81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NE+Epi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CBA06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35(4.2)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5F880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31(4.0)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4CBE0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4(5.2)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FF216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  <w:lang w:val="en-US" w:eastAsia="zh-CN"/>
              </w:rPr>
            </w:pPr>
          </w:p>
        </w:tc>
      </w:tr>
      <w:tr w14:paraId="6B756E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CC133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Triple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7E3C1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63(7.5)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29236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47(6.1)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1843A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16(20.8)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342C1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</w:tr>
      <w:tr w14:paraId="28D8D8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8D4A3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FLUID MANAGEMENT AND BLOOD TRANSFUSION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FADEF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9F80C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D2F37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FE97C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</w:tr>
      <w:tr w14:paraId="058B39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13B98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Intraoperative urine output, mL/kg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EEB0A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20.0 (10.0-50.0)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0163E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20.0 (10.0-50.0)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9D52B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20.0 (10.0-30.0)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DE6CB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0.005</w:t>
            </w:r>
          </w:p>
        </w:tc>
      </w:tr>
      <w:tr w14:paraId="21D4EE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3180C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Intraoperative blood loss, mL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28D91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5 (5-10)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F1E09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5 (5-10)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85C44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5 (5-15)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43703C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0.067</w:t>
            </w:r>
          </w:p>
        </w:tc>
      </w:tr>
      <w:tr w14:paraId="6BBE52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F013C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Fluid balance, mL/kg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67B3A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14.2 (5.7-26.6)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CF18B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13.5 (5.6-25.8)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58B64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19.5 (10.0-36.7)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9FA4E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&lt;0.001</w:t>
            </w:r>
          </w:p>
        </w:tc>
      </w:tr>
      <w:tr w14:paraId="7BA0C4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24E25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Crystalloid volume, mL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DE6C4B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80 (50-100)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55871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80 (50-100)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3D1B37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70 (50-100)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BAEE3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0.328</w:t>
            </w:r>
          </w:p>
        </w:tc>
      </w:tr>
      <w:tr w14:paraId="1131F2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67007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Colloid volume, mL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7F62C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0 (0-0)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650B0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0 (0-0)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B5C02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0 (0-20)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574D7D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0.082</w:t>
            </w:r>
          </w:p>
        </w:tc>
      </w:tr>
      <w:tr w14:paraId="2DAF01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DA07D1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Glucose volume, mL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0A999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0 (0-10)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6C5426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0 (0-10)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33A45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0 (0-10)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27CA1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0.267</w:t>
            </w:r>
          </w:p>
        </w:tc>
      </w:tr>
      <w:tr w14:paraId="601C14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BC818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Intraoperative albumin use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81C75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3078A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0A923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7697F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0.061</w:t>
            </w:r>
          </w:p>
        </w:tc>
      </w:tr>
      <w:tr w14:paraId="02DCDE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33CB0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No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815C0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657 (77.9)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1370E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604 (78.9)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FB557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53 (68.8)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60986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</w:tr>
      <w:tr w14:paraId="3BE01B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CF3F5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Yes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CB840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186 (22.1)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00C36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162 (21.1)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143C54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24 (31.2)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9114A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</w:tr>
      <w:tr w14:paraId="1D86F7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B8C8E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RBC transfusion volume, mL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CDB6B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0 (0-0)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77C1D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0 (0-0)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88647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0 (0-40)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3C4DF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0.012</w:t>
            </w:r>
          </w:p>
        </w:tc>
      </w:tr>
      <w:tr w14:paraId="6B8288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DE68A4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Plasma transfusion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0B5F3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941DC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F0B728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1A98CA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0.004†</w:t>
            </w:r>
          </w:p>
        </w:tc>
      </w:tr>
      <w:tr w14:paraId="297D7D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E936B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No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FF682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813 (96.4)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403DD70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744 (97.1)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0824E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69 (89.6)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2EB9E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</w:tr>
      <w:tr w14:paraId="219A5D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6A8CD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Yes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23FE21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30 (3.6)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E96FF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22 (2.9)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E4355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8 (10.4)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7B630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</w:tr>
      <w:tr w14:paraId="496336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3B3A6A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Plasma transfusion volume, mL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188F3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0 (0-0)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997585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0 (0-0)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635F90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0 (0-0)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4FDD3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&lt;0.001</w:t>
            </w:r>
          </w:p>
        </w:tc>
      </w:tr>
      <w:tr w14:paraId="2ECA0F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8A5CCC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Platelet transfusion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4E573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268CA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C5A94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B1EA2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0.008†</w:t>
            </w:r>
          </w:p>
        </w:tc>
      </w:tr>
      <w:tr w14:paraId="4B0527DE">
        <w:trPr>
          <w:trHeight w:val="0" w:hRule="atLeast"/>
          <w:jc w:val="center"/>
        </w:trPr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A8034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No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93EF5B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841 (99.8)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421E2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766 (100.0)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5B230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75 (97.4)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ADBE0E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</w:tr>
      <w:tr w14:paraId="592CE1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C5245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Yes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9C631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2 (0.2)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F3A026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0 (0.0)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C003C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2 (2.6)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BE062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</w:tr>
      <w:tr w14:paraId="2C1140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0CB35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Platelet transfusion volume, mL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BCD6CC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0 (0-0)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B5CE05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0 (0-0)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216CD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0 (0-0)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DC39E1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&lt;0.001</w:t>
            </w:r>
          </w:p>
        </w:tc>
      </w:tr>
      <w:tr w14:paraId="3EE003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AEAB5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Fibrinogen transfusion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9E28D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38C19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15809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AAB45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1.000†</w:t>
            </w:r>
          </w:p>
        </w:tc>
      </w:tr>
      <w:tr w14:paraId="6585AB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96B248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No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6C0FE5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840 (99.6)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8D8194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763 (99.6)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5C7592F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77 (100.0)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B8A8F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</w:tr>
      <w:tr w14:paraId="047920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FBF8DB2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Yes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5A4FB9B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3 (0.4)</w:t>
            </w:r>
          </w:p>
        </w:tc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3F0FAE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3 (0.4)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B9A90A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0 (0.0)</w:t>
            </w:r>
          </w:p>
        </w:tc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F61C0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</w:p>
        </w:tc>
      </w:tr>
      <w:tr w14:paraId="6F36A2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19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AFD7E17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 xml:space="preserve">Fibrinogen units, </w:t>
            </w: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  <w:lang w:val="en-US" w:eastAsia="zh-CN"/>
              </w:rPr>
              <w:t>U</w:t>
            </w:r>
          </w:p>
        </w:tc>
        <w:tc>
          <w:tcPr>
            <w:tcW w:w="153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403543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0 (0-0)</w:t>
            </w:r>
          </w:p>
        </w:tc>
        <w:tc>
          <w:tcPr>
            <w:tcW w:w="171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94B6F9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0 (0-0)</w:t>
            </w:r>
          </w:p>
        </w:tc>
        <w:tc>
          <w:tcPr>
            <w:tcW w:w="153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B856921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0 (0-0)</w:t>
            </w:r>
          </w:p>
        </w:tc>
        <w:tc>
          <w:tcPr>
            <w:tcW w:w="98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noWrap w:val="0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B11D7D"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napToGrid w:val="0"/>
              <w:spacing w:before="100" w:after="100"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Times New Roman" w:hAnsi="Times New Roman" w:eastAsia="Arial" w:cs="Times New Roman"/>
                <w:b w:val="0"/>
                <w:bCs/>
                <w:i w:val="0"/>
                <w:strike w:val="0"/>
                <w:color w:val="000000"/>
                <w:sz w:val="16"/>
                <w:szCs w:val="16"/>
                <w:u w:val="none"/>
              </w:rPr>
              <w:t>0.163</w:t>
            </w:r>
          </w:p>
        </w:tc>
      </w:tr>
    </w:tbl>
    <w:p w14:paraId="524561B6">
      <w:pPr>
        <w:spacing w:line="360" w:lineRule="auto"/>
        <w:rPr>
          <w:rFonts w:hint="default" w:ascii="Times New Roman" w:hAnsi="Times New Roman" w:cs="Times New Roman"/>
          <w:sz w:val="20"/>
          <w:szCs w:val="20"/>
          <w:lang w:val="en-US" w:eastAsia="zh-CN"/>
        </w:rPr>
      </w:pPr>
      <w:r>
        <w:rPr>
          <w:rFonts w:hint="default" w:ascii="Times New Roman" w:hAnsi="Times New Roman" w:cs="Times New Roman"/>
          <w:sz w:val="20"/>
          <w:szCs w:val="20"/>
        </w:rPr>
        <w:t>Data are presented as median (interquartile range, IQR, Q1–Q3) for continuous variables and n (%) for categorical variables. Fluid balance: total intraoperative fluid input minus output (urine + estimated blood loss), normalized by body weight. P values: Wilcoxon rank-sum test for continuous variables; chi-square test for categorical variables. † Fisher's exact test with simulation (2×2 tables with expected count &lt;5); ‡ Chi-square test with simulation (tables &gt;2×2 with expected count &lt;5).</w:t>
      </w:r>
      <w:r>
        <w:rPr>
          <w:rFonts w:hint="default" w:ascii="Times New Roman" w:hAnsi="Times New Roman" w:cs="Times New Roman"/>
          <w:sz w:val="20"/>
          <w:szCs w:val="20"/>
          <w:lang w:val="en-US" w:eastAsia="zh-CN"/>
        </w:rPr>
        <w:t xml:space="preserve"> </w:t>
      </w:r>
    </w:p>
    <w:p w14:paraId="48F2DDDC">
      <w:pPr>
        <w:spacing w:line="360" w:lineRule="auto"/>
        <w:rPr>
          <w:rFonts w:hint="default" w:ascii="Times New Roman" w:hAnsi="Times New Roman" w:cs="Times New Roman"/>
          <w:sz w:val="20"/>
          <w:szCs w:val="20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B3DE33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27B5B8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827B5B8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E925FD"/>
    <w:multiLevelType w:val="multilevel"/>
    <w:tmpl w:val="07E925FD"/>
    <w:lvl w:ilvl="0" w:tentative="0">
      <w:start w:val="1"/>
      <w:numFmt w:val="decimal"/>
      <w:pStyle w:val="2"/>
      <w:lvlText w:val="%1."/>
      <w:lvlJc w:val="left"/>
      <w:pPr>
        <w:ind w:left="360" w:hanging="360"/>
      </w:pPr>
    </w:lvl>
    <w:lvl w:ilvl="1" w:tentative="0">
      <w:start w:val="1"/>
      <w:numFmt w:val="decimal"/>
      <w:pStyle w:val="3"/>
      <w:lvlText w:val="%1.%2."/>
      <w:lvlJc w:val="left"/>
      <w:pPr>
        <w:ind w:left="792" w:hanging="432"/>
      </w:pPr>
    </w:lvl>
    <w:lvl w:ilvl="2" w:tentative="0">
      <w:start w:val="1"/>
      <w:numFmt w:val="decimal"/>
      <w:lvlText w:val="%1.%2.%3."/>
      <w:lvlJc w:val="left"/>
      <w:pPr>
        <w:ind w:left="1224" w:hanging="504"/>
      </w:pPr>
    </w:lvl>
    <w:lvl w:ilvl="3" w:tentative="0">
      <w:start w:val="1"/>
      <w:numFmt w:val="decimal"/>
      <w:lvlText w:val="%1.%2.%3.%4."/>
      <w:lvlJc w:val="left"/>
      <w:pPr>
        <w:ind w:left="1728" w:hanging="648"/>
      </w:pPr>
    </w:lvl>
    <w:lvl w:ilvl="4" w:tentative="0">
      <w:start w:val="1"/>
      <w:numFmt w:val="decimal"/>
      <w:lvlText w:val="%1.%2.%3.%4.%5."/>
      <w:lvlJc w:val="left"/>
      <w:pPr>
        <w:ind w:left="2232" w:hanging="792"/>
      </w:pPr>
    </w:lvl>
    <w:lvl w:ilvl="5" w:tentative="0">
      <w:start w:val="1"/>
      <w:numFmt w:val="decimal"/>
      <w:lvlText w:val="%1.%2.%3.%4.%5.%6."/>
      <w:lvlJc w:val="left"/>
      <w:pPr>
        <w:ind w:left="2736" w:hanging="936"/>
      </w:pPr>
    </w:lvl>
    <w:lvl w:ilvl="6" w:tentative="0">
      <w:start w:val="1"/>
      <w:numFmt w:val="decimal"/>
      <w:lvlText w:val="%1.%2.%3.%4.%5.%6.%7."/>
      <w:lvlJc w:val="left"/>
      <w:pPr>
        <w:ind w:left="3240" w:hanging="1080"/>
      </w:pPr>
    </w:lvl>
    <w:lvl w:ilvl="7" w:tentative="0">
      <w:start w:val="1"/>
      <w:numFmt w:val="decimal"/>
      <w:lvlText w:val="%1.%2.%3.%4.%5.%6.%7.%8."/>
      <w:lvlJc w:val="left"/>
      <w:pPr>
        <w:ind w:left="3744" w:hanging="1224"/>
      </w:pPr>
    </w:lvl>
    <w:lvl w:ilvl="8" w:tentative="0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DE3335"/>
    <w:rsid w:val="05D62F41"/>
    <w:rsid w:val="06A71E1D"/>
    <w:rsid w:val="0ACF6F94"/>
    <w:rsid w:val="0F947806"/>
    <w:rsid w:val="102E5BA3"/>
    <w:rsid w:val="106134AA"/>
    <w:rsid w:val="131B19C2"/>
    <w:rsid w:val="1606156C"/>
    <w:rsid w:val="16C27489"/>
    <w:rsid w:val="184278CE"/>
    <w:rsid w:val="1A56051D"/>
    <w:rsid w:val="1DCD54A7"/>
    <w:rsid w:val="1F6E127C"/>
    <w:rsid w:val="20D90B28"/>
    <w:rsid w:val="21186E35"/>
    <w:rsid w:val="21B36C76"/>
    <w:rsid w:val="27903013"/>
    <w:rsid w:val="29D060E4"/>
    <w:rsid w:val="2BD41978"/>
    <w:rsid w:val="2EA8413F"/>
    <w:rsid w:val="2FC811E9"/>
    <w:rsid w:val="300554C4"/>
    <w:rsid w:val="321956E0"/>
    <w:rsid w:val="324D03B8"/>
    <w:rsid w:val="325F3686"/>
    <w:rsid w:val="35340BB1"/>
    <w:rsid w:val="36FF46C3"/>
    <w:rsid w:val="3704661A"/>
    <w:rsid w:val="37136FAE"/>
    <w:rsid w:val="372A143D"/>
    <w:rsid w:val="37AE78F3"/>
    <w:rsid w:val="383C108D"/>
    <w:rsid w:val="3CED04E1"/>
    <w:rsid w:val="3D1B2B89"/>
    <w:rsid w:val="3D3B04F3"/>
    <w:rsid w:val="42E90FF2"/>
    <w:rsid w:val="451C7B97"/>
    <w:rsid w:val="4CF36920"/>
    <w:rsid w:val="4D1A05AB"/>
    <w:rsid w:val="4DE7493F"/>
    <w:rsid w:val="507A1151"/>
    <w:rsid w:val="51A73E44"/>
    <w:rsid w:val="524A16B5"/>
    <w:rsid w:val="52CA7BC7"/>
    <w:rsid w:val="56267267"/>
    <w:rsid w:val="566B3E51"/>
    <w:rsid w:val="589D2DEF"/>
    <w:rsid w:val="591431CB"/>
    <w:rsid w:val="5A0675DF"/>
    <w:rsid w:val="5C28375D"/>
    <w:rsid w:val="62F3493B"/>
    <w:rsid w:val="640C4505"/>
    <w:rsid w:val="641E3209"/>
    <w:rsid w:val="642A7FD2"/>
    <w:rsid w:val="6593334D"/>
    <w:rsid w:val="6A955389"/>
    <w:rsid w:val="6C9E680E"/>
    <w:rsid w:val="6DA71601"/>
    <w:rsid w:val="70AE3B60"/>
    <w:rsid w:val="74004D75"/>
    <w:rsid w:val="78FB21B5"/>
    <w:rsid w:val="7B003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numPr>
        <w:ilvl w:val="0"/>
        <w:numId w:val="1"/>
      </w:numPr>
      <w:pBdr>
        <w:bottom w:val="single" w:color="auto" w:sz="4" w:space="1"/>
      </w:pBdr>
      <w:spacing w:before="480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numPr>
        <w:ilvl w:val="1"/>
        <w:numId w:val="1"/>
      </w:numPr>
      <w:spacing w:before="200"/>
      <w:outlineLvl w:val="1"/>
    </w:pPr>
    <w:rPr>
      <w:rFonts w:asciiTheme="majorHAnsi" w:hAnsiTheme="majorHAnsi" w:eastAsiaTheme="majorEastAsia" w:cstheme="majorBidi"/>
      <w:b/>
      <w:bCs/>
      <w:sz w:val="26"/>
      <w:szCs w:val="26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455</Words>
  <Characters>2501</Characters>
  <Lines>0</Lines>
  <Paragraphs>0</Paragraphs>
  <TotalTime>57</TotalTime>
  <ScaleCrop>false</ScaleCrop>
  <LinksUpToDate>false</LinksUpToDate>
  <CharactersWithSpaces>2740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2026-05-27T10:48:00Z</dcterms:created>
  <dc:creator>55034</dc:creator>
  <cp:lastModifiedBy>谷海飞</cp:lastModifiedBy>
  <dcterms:modified xsi:type="dcterms:W3CDTF">2026-06-21T00:52:10Z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eyJoZGlkIjoiMzEwNTM5NzYwMDRjMzkwZTVkZjY2ODkwMGIxNGU0OTUiLCJ1c2VySWQiOiIzODUwNTA3MjgifQ==</vt:lpwstr>
  </property>
  <property fmtid="{D5CDD505-2E9C-101B-9397-08002B2CF9AE}" pid="4" name="ICV">
    <vt:lpwstr>0A676484619C41AE871B3FADEDF254A7_12</vt:lpwstr>
  </property>
</Properties>
</file>