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2EFF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Online Resource 1</w:t>
      </w:r>
    </w:p>
    <w:p w14:paraId="30BF7C2C">
      <w:pPr>
        <w:spacing w:line="360" w:lineRule="auto"/>
        <w:rPr>
          <w:rFonts w:hint="default"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0"/>
          <w:szCs w:val="20"/>
        </w:rPr>
        <w:t>Data Cleaning Report (outlier definitions, missing data handling, and data quality control)</w:t>
      </w:r>
    </w:p>
    <w:p w14:paraId="12724E60">
      <w:pPr>
        <w:spacing w:line="360" w:lineRule="auto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1.1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Data source</w:t>
      </w:r>
    </w:p>
    <w:p w14:paraId="798B5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 w:firstLineChars="1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Raw data export: N = 1058 patients</w:t>
      </w:r>
    </w:p>
    <w:p w14:paraId="29803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 w:firstLineChars="1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Data collection period: November 2020 – December 2024</w:t>
      </w:r>
    </w:p>
    <w:p w14:paraId="44C1D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 w:firstLineChars="1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Data source: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Hospital electronic medical record system + DoCare anesthesia information management system</w:t>
      </w:r>
    </w:p>
    <w:p w14:paraId="5588C47F">
      <w:pPr>
        <w:spacing w:line="360" w:lineRule="auto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1.2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Data cleaning summary</w:t>
      </w:r>
    </w:p>
    <w:p w14:paraId="68441BED">
      <w:pPr>
        <w:spacing w:line="360" w:lineRule="auto"/>
        <w:ind w:firstLine="200" w:firstLineChars="1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Raw data export:1,058</w:t>
      </w:r>
    </w:p>
    <w:p w14:paraId="773FE50C">
      <w:pPr>
        <w:spacing w:line="360" w:lineRule="auto"/>
        <w:ind w:firstLine="200" w:firstLineChars="1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Available for screening:1,058</w:t>
      </w:r>
    </w:p>
    <w:p w14:paraId="49B5DD8A">
      <w:pPr>
        <w:spacing w:line="360" w:lineRule="auto"/>
        <w:ind w:firstLine="200" w:firstLineChars="1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Excluded per eligibility criteria (see main manuscript Fig. 1):215</w:t>
      </w:r>
    </w:p>
    <w:p w14:paraId="13FA666B">
      <w:pPr>
        <w:spacing w:line="360" w:lineRule="auto"/>
        <w:ind w:firstLine="200" w:firstLineChars="1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Final analytical cohort:843</w:t>
      </w:r>
    </w:p>
    <w:p w14:paraId="374103D0">
      <w:pPr>
        <w:spacing w:line="360" w:lineRule="auto"/>
        <w:ind w:firstLine="200" w:firstLineChars="100"/>
        <w:rPr>
          <w:rFonts w:hint="eastAsia" w:ascii="Times New Roman" w:hAnsi="Times New Roman" w:cs="Times New Roman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  <w:lang w:eastAsia="zh-CN"/>
        </w:rPr>
        <w:t>Data collection period: November 2020 -- December 2024. Postoperative blood sampling time was defined as the time of first phlebotomy documented in the electronic medical record after transfer to the receiving unit.</w:t>
      </w:r>
    </w:p>
    <w:p w14:paraId="085AC58A">
      <w:pPr>
        <w:spacing w:line="360" w:lineRule="auto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1.3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Missing data summary (full variable list)</w:t>
      </w:r>
    </w:p>
    <w:tbl>
      <w:tblPr>
        <w:tblStyle w:val="6"/>
        <w:tblW w:w="4998" w:type="pct"/>
        <w:jc w:val="center"/>
        <w:tblBorders>
          <w:top w:val="single" w:color="666666" w:sz="6" w:space="0"/>
          <w:left w:val="none" w:color="auto" w:sz="0" w:space="0"/>
          <w:bottom w:val="single" w:color="666666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6"/>
        <w:gridCol w:w="1651"/>
        <w:gridCol w:w="1756"/>
      </w:tblGrid>
      <w:tr w14:paraId="74E8D993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47" w:type="pct"/>
            <w:tcBorders>
              <w:bottom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5C6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ariable</w:t>
            </w:r>
          </w:p>
        </w:tc>
        <w:tc>
          <w:tcPr>
            <w:tcW w:w="994" w:type="pct"/>
            <w:tcBorders>
              <w:bottom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5686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Missing N</w:t>
            </w:r>
          </w:p>
        </w:tc>
        <w:tc>
          <w:tcPr>
            <w:tcW w:w="1057" w:type="pct"/>
            <w:tcBorders>
              <w:bottom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0F9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Missing %</w:t>
            </w:r>
          </w:p>
        </w:tc>
      </w:tr>
      <w:tr w14:paraId="0F38CEC3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op w:val="single" w:color="666666" w:sz="6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EEAB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Intraoperative Hct</w:t>
            </w:r>
            <w:r>
              <w:rPr>
                <w:rFonts w:hint="eastAsia" w:ascii="Times New Roman" w:hAnsi="微软雅黑" w:eastAsia="宋体" w:cs="微软雅黑"/>
                <w:sz w:val="20"/>
                <w:szCs w:val="20"/>
              </w:rPr>
              <w:t>*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4" w:type="pct"/>
            <w:tcBorders>
              <w:top w:val="single" w:color="666666" w:sz="6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4F67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431</w:t>
            </w:r>
          </w:p>
        </w:tc>
        <w:tc>
          <w:tcPr>
            <w:tcW w:w="1057" w:type="pct"/>
            <w:tcBorders>
              <w:top w:val="single" w:color="666666" w:sz="6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7780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40.7</w:t>
            </w:r>
          </w:p>
        </w:tc>
      </w:tr>
      <w:tr w14:paraId="79D8985D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B7C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Intraoperative Hb</w:t>
            </w:r>
            <w:r>
              <w:rPr>
                <w:rFonts w:hint="eastAsia" w:ascii="Times New Roman" w:hAnsi="微软雅黑" w:eastAsia="宋体" w:cs="微软雅黑"/>
                <w:sz w:val="20"/>
                <w:szCs w:val="20"/>
              </w:rPr>
              <w:t>*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F7B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431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9674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40.7</w:t>
            </w:r>
          </w:p>
        </w:tc>
      </w:tr>
      <w:tr w14:paraId="0D6EFD6C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CB37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Intraoperative Cl</w:t>
            </w:r>
            <w:r>
              <w:rPr>
                <w:rFonts w:hint="eastAsia" w:ascii="Times New Roman" w:hAnsi="微软雅黑" w:eastAsia="宋体" w:cs="微软雅黑"/>
                <w:sz w:val="20"/>
                <w:szCs w:val="20"/>
              </w:rPr>
              <w:t>*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B62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431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2DA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40.7</w:t>
            </w:r>
          </w:p>
        </w:tc>
      </w:tr>
      <w:tr w14:paraId="37406297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0AF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Intraoperative Lac</w:t>
            </w:r>
            <w:r>
              <w:rPr>
                <w:rFonts w:hint="eastAsia" w:ascii="Times New Roman" w:hAnsi="微软雅黑" w:eastAsia="宋体" w:cs="微软雅黑"/>
                <w:sz w:val="20"/>
                <w:szCs w:val="20"/>
              </w:rPr>
              <w:t>*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0C4B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431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D0FF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40.7</w:t>
            </w:r>
          </w:p>
        </w:tc>
      </w:tr>
      <w:tr w14:paraId="25529E7F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D5D3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Intraoperative K</w:t>
            </w:r>
            <w:r>
              <w:rPr>
                <w:rFonts w:hint="eastAsia" w:ascii="Times New Roman" w:hAnsi="微软雅黑" w:eastAsia="宋体" w:cs="微软雅黑"/>
                <w:sz w:val="20"/>
                <w:szCs w:val="20"/>
              </w:rPr>
              <w:t>*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60D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431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44DB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40.7</w:t>
            </w:r>
          </w:p>
        </w:tc>
      </w:tr>
      <w:tr w14:paraId="190AA4A9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AD20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Intraoperative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Na</w:t>
            </w:r>
            <w:r>
              <w:rPr>
                <w:rFonts w:hint="eastAsia" w:ascii="Times New Roman" w:hAnsi="微软雅黑" w:eastAsia="宋体" w:cs="微软雅黑"/>
                <w:sz w:val="20"/>
                <w:szCs w:val="20"/>
              </w:rPr>
              <w:t>*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F477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431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5DB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40.7</w:t>
            </w:r>
          </w:p>
        </w:tc>
      </w:tr>
      <w:tr w14:paraId="18C54948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36F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Intraoperative urine output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E7A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D867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14:paraId="6F886376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6C4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Postoperative creatinine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1883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  <w:t>90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92C8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7</w:t>
            </w:r>
          </w:p>
        </w:tc>
      </w:tr>
      <w:tr w14:paraId="34F60DB5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20E1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Postoperative albumin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9388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  <w:t>86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C455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10.2</w:t>
            </w:r>
          </w:p>
        </w:tc>
      </w:tr>
      <w:tr w14:paraId="60736FCA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BBA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Congenital heart disease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D07E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C53F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1.0</w:t>
            </w:r>
          </w:p>
        </w:tc>
      </w:tr>
      <w:tr w14:paraId="4A6ACCC4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3AB2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Preoperative creatinine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4C6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7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DE26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7</w:t>
            </w:r>
          </w:p>
        </w:tc>
      </w:tr>
      <w:tr w14:paraId="2C2CA1E9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F89C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Mechanical ventilation duration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D38D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5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AE60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5</w:t>
            </w:r>
          </w:p>
        </w:tc>
      </w:tr>
      <w:tr w14:paraId="63E5E455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CA83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Preoperative albumin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C56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4102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</w:tr>
      <w:tr w14:paraId="7352FCEF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4871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Delivery method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EBD8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A8C4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3</w:t>
            </w:r>
          </w:p>
        </w:tc>
      </w:tr>
      <w:tr w14:paraId="58761755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FFE6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Birth weight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943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1687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3</w:t>
            </w:r>
          </w:p>
        </w:tc>
      </w:tr>
      <w:tr w14:paraId="3745C7DC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C35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Preoperative sepsis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E3CA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2942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3</w:t>
            </w:r>
          </w:p>
        </w:tc>
      </w:tr>
      <w:tr w14:paraId="4778A298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7F8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Gestational age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46C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F9D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14:paraId="519842C7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5A3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Postoperative hospital stay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CF4D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DBC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14:paraId="7F5F383C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4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7F7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Multiple pregnancy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BDE4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8587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</w:t>
            </w:r>
          </w:p>
        </w:tc>
      </w:tr>
    </w:tbl>
    <w:p w14:paraId="587AAABE">
      <w:pPr>
        <w:pStyle w:val="3"/>
        <w:numPr>
          <w:ilvl w:val="1"/>
          <w:numId w:val="0"/>
        </w:numPr>
        <w:spacing w:line="240" w:lineRule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</w:rPr>
        <w:t>*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Variables with &gt;40% missingness; these were not routinely measured in all patients and were excluded from the main analysis.</w:t>
      </w:r>
    </w:p>
    <w:p w14:paraId="42D54EF9">
      <w:pPr>
        <w:pStyle w:val="3"/>
        <w:numPr>
          <w:ilvl w:val="1"/>
          <w:numId w:val="0"/>
        </w:numPr>
        <w:spacing w:line="240" w:lineRule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Note: Missingness percentages are calculated based on the raw sample (N = 1,058). Among the 109 excluded patients, 86 had missing postoperative albumin and 90 had missing postoperative creatinine; these missingness overlapped substantially (the same laboratory panel). Cases with missing key variables (preoperative/postoperative creatinine or albumin) were excluded per eligibility criteria (n = 109; see main manuscript Fig. 1). In the final analytical cohort (n = 843), all core variables had 100% completeness.</w:t>
      </w:r>
    </w:p>
    <w:p w14:paraId="531A7D0A">
      <w:pPr>
        <w:pStyle w:val="3"/>
        <w:numPr>
          <w:ilvl w:val="1"/>
          <w:numId w:val="0"/>
        </w:num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1.4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Outliers were defined as values outside clinically expected ranges. All outliers were manually reviewed; data entry errors were corrected, and clinically plausible extreme values were retained.</w:t>
      </w:r>
    </w:p>
    <w:tbl>
      <w:tblPr>
        <w:tblStyle w:val="6"/>
        <w:tblW w:w="5025" w:type="pct"/>
        <w:jc w:val="center"/>
        <w:tblBorders>
          <w:top w:val="single" w:color="666666" w:sz="6" w:space="0"/>
          <w:left w:val="none" w:color="auto" w:sz="0" w:space="0"/>
          <w:bottom w:val="single" w:color="666666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2007"/>
        <w:gridCol w:w="1560"/>
      </w:tblGrid>
      <w:tr w14:paraId="720AFB19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63" w:type="pct"/>
            <w:tcBorders>
              <w:bottom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4F55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202" w:type="pct"/>
            <w:tcBorders>
              <w:bottom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D090B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Expected range</w:t>
            </w:r>
          </w:p>
        </w:tc>
        <w:tc>
          <w:tcPr>
            <w:tcW w:w="934" w:type="pct"/>
            <w:tcBorders>
              <w:bottom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8CA9F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Outliers (N)</w:t>
            </w:r>
          </w:p>
        </w:tc>
      </w:tr>
      <w:tr w14:paraId="1B5AB3AB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op w:val="single" w:color="666666" w:sz="6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10CC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Age (days)</w:t>
            </w:r>
          </w:p>
        </w:tc>
        <w:tc>
          <w:tcPr>
            <w:tcW w:w="1202" w:type="pct"/>
            <w:tcBorders>
              <w:top w:val="single" w:color="666666" w:sz="6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67DE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[0, 28]</w:t>
            </w:r>
          </w:p>
        </w:tc>
        <w:tc>
          <w:tcPr>
            <w:tcW w:w="934" w:type="pct"/>
            <w:tcBorders>
              <w:top w:val="single" w:color="666666" w:sz="6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13992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33</w:t>
            </w:r>
          </w:p>
        </w:tc>
      </w:tr>
      <w:tr w14:paraId="4B2D477A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C5C9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Surgery weight (kg)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2072E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[0.5, 5]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5B6A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</w:tr>
      <w:tr w14:paraId="05362EFF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C5F16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Preoperative albumin (g/L)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98CD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[10, 60]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A3B4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</w:p>
        </w:tc>
      </w:tr>
      <w:tr w14:paraId="2044EB83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0776C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Preoperative creatinine (μmol/L)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37CB2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[10, 200]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DD94D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</w:t>
            </w:r>
          </w:p>
        </w:tc>
      </w:tr>
      <w:tr w14:paraId="7F534E6E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BF590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Surgery duration (hours)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7C94D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[0.1, 6]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B5FF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9</w:t>
            </w:r>
          </w:p>
        </w:tc>
      </w:tr>
      <w:tr w14:paraId="5E4B7995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FA0A3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Anesthesia duration (hours)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31AB4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[0.2, 8]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B7E9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5</w:t>
            </w:r>
          </w:p>
        </w:tc>
      </w:tr>
      <w:tr w14:paraId="7FD091ED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64DB8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RBC transfusion volume (mL)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88134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[0, 500]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B1D47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</w:p>
        </w:tc>
      </w:tr>
      <w:tr w14:paraId="05902D82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5F80A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Plasma transfusion volume (mL)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AAE1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[0, 500]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6109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</w:p>
        </w:tc>
      </w:tr>
      <w:tr w14:paraId="0BB1D735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A089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Crystalloid volume (mL)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92E39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[0, 500]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3D6AB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</w:tr>
      <w:tr w14:paraId="019F2767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0D06A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Intraoperative urine output (mL)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233EB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[0, 500]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40337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</w:p>
        </w:tc>
      </w:tr>
      <w:tr w14:paraId="0DDD9625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D891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Intraoperative blood loss (mL)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66E2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[0, 200]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C6EF5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</w:tr>
      <w:tr w14:paraId="19D50BD7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1BE0C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Postoperative creatinine (μmol/L)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F7C4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[10, 300]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7CA17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16</w:t>
            </w:r>
          </w:p>
        </w:tc>
      </w:tr>
      <w:tr w14:paraId="58DAE98C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BC9CC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Mechanical ventilation duration (hours)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F5902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[0, 720]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2EB50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7</w:t>
            </w:r>
          </w:p>
        </w:tc>
      </w:tr>
      <w:tr w14:paraId="6197AC0A">
        <w:tblPrEx>
          <w:tblBorders>
            <w:top w:val="single" w:color="666666" w:sz="6" w:space="0"/>
            <w:left w:val="none" w:color="auto" w:sz="0" w:space="0"/>
            <w:bottom w:val="single" w:color="666666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63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0B631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Postoperative hospital stay (days)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EE700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[0, 180]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3674E">
            <w:pPr>
              <w:keepNext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</w:p>
        </w:tc>
      </w:tr>
    </w:tbl>
    <w:p w14:paraId="2C22738D">
      <w:pPr>
        <w:rPr>
          <w:rFonts w:hint="default" w:ascii="Times New Roman" w:hAnsi="Times New Roman" w:cs="Times New Roman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All outliers were verified; data entry errors were corrected; clinically plausible extreme values were retained.</w:t>
      </w:r>
    </w:p>
    <w:p w14:paraId="2E7C168D">
      <w:pPr>
        <w:pStyle w:val="3"/>
        <w:numPr>
          <w:ilvl w:val="1"/>
          <w:numId w:val="0"/>
        </w:num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5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Code corrections</w:t>
      </w:r>
    </w:p>
    <w:p w14:paraId="3ACBE08C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• Congenital heart disease type: code '11' corrected to '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sz w:val="20"/>
          <w:szCs w:val="20"/>
        </w:rPr>
        <w:t>' (</w:t>
      </w:r>
      <w:r>
        <w:rPr>
          <w:rFonts w:hint="default" w:ascii="Times New Roman" w:hAnsi="Times New Roman" w:eastAsia="微软雅黑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simple</w:t>
      </w:r>
      <w:r>
        <w:rPr>
          <w:rFonts w:hint="default" w:ascii="Times New Roman" w:hAnsi="Times New Roman" w:cs="Times New Roman"/>
          <w:sz w:val="20"/>
          <w:szCs w:val="20"/>
        </w:rPr>
        <w:t>) (n = 1)</w:t>
      </w:r>
    </w:p>
    <w:p w14:paraId="65E71EA0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• Vasoactive agent type: code '30' corrected to '3' (Epinephrine) (n =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sz w:val="20"/>
          <w:szCs w:val="20"/>
        </w:rPr>
        <w:t>)</w:t>
      </w:r>
    </w:p>
    <w:p w14:paraId="542BD3C0">
      <w:pPr>
        <w:pStyle w:val="3"/>
        <w:numPr>
          <w:ilvl w:val="1"/>
          <w:numId w:val="0"/>
        </w:num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6</w:t>
      </w:r>
      <w:r>
        <w:rPr>
          <w:rFonts w:hint="default" w:ascii="Times New Roman" w:hAnsi="Times New Roman" w:cs="Times New Roman"/>
          <w:sz w:val="20"/>
          <w:szCs w:val="20"/>
        </w:rPr>
        <w:t xml:space="preserve"> Logic error checks</w:t>
      </w:r>
    </w:p>
    <w:p w14:paraId="4990453B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• Preoperative creatinine &gt;200 with AKI=0: 0 cases identified</w:t>
      </w:r>
    </w:p>
    <w:p w14:paraId="62620947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• Postoperative albumin &gt; preoperative albumin: 28 cases (normal phenomenon, not an error)</w:t>
      </w:r>
    </w:p>
    <w:p w14:paraId="5B829C60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• Surgery duration &gt; anesthesia duration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z w:val="20"/>
          <w:szCs w:val="20"/>
        </w:rPr>
        <w:t>1 case flagged for review; verified as data entry error and corrected</w:t>
      </w:r>
    </w:p>
    <w:p w14:paraId="67637445">
      <w:pPr>
        <w:pStyle w:val="3"/>
        <w:numPr>
          <w:ilvl w:val="1"/>
          <w:numId w:val="0"/>
        </w:num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7</w:t>
      </w:r>
      <w:r>
        <w:rPr>
          <w:rFonts w:hint="default" w:ascii="Times New Roman" w:hAnsi="Times New Roman" w:cs="Times New Roman"/>
          <w:sz w:val="20"/>
          <w:szCs w:val="20"/>
        </w:rPr>
        <w:t xml:space="preserve"> Software</w:t>
      </w:r>
    </w:p>
    <w:p w14:paraId="5BDCA4D6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R version 4.3.0 (packages: readxl, dplyr, writexl, officer, flextable)</w:t>
      </w:r>
    </w:p>
    <w:p w14:paraId="4FDC8788">
      <w:pPr>
        <w:pStyle w:val="3"/>
        <w:numPr>
          <w:ilvl w:val="1"/>
          <w:numId w:val="0"/>
        </w:num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8</w:t>
      </w:r>
      <w:r>
        <w:rPr>
          <w:rFonts w:hint="default" w:ascii="Times New Roman" w:hAnsi="Times New Roman" w:cs="Times New Roman"/>
          <w:sz w:val="20"/>
          <w:szCs w:val="20"/>
        </w:rPr>
        <w:t xml:space="preserve"> Data quality conclusion</w:t>
      </w:r>
    </w:p>
    <w:p w14:paraId="7D20CDE0"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Conclusion: The dataset is of satisfactory quality for the planned statistical analyses reported in the main manuscript.</w:t>
      </w:r>
    </w:p>
    <w:p w14:paraId="7A03C7B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7A7B56F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203E611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6167DEA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67728B9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45DF483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1F038DC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35D36A5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6D2BE83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52309DE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41ED4C7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4775BE2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38CDFB1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608CD64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6538A76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2F503AC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39946DB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0"/>
          <w:szCs w:val="20"/>
          <w:u w:val="none"/>
        </w:rPr>
      </w:pPr>
    </w:p>
    <w:p w14:paraId="1B2325A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</w:pPr>
    </w:p>
    <w:p w14:paraId="0A00D63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</w:pPr>
    </w:p>
    <w:p w14:paraId="6A85D73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</w:pPr>
    </w:p>
    <w:p w14:paraId="7959ADC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</w:pPr>
    </w:p>
    <w:p w14:paraId="7026936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</w:pPr>
    </w:p>
    <w:p w14:paraId="007BA40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</w:pPr>
    </w:p>
    <w:p w14:paraId="31A712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</w:pPr>
    </w:p>
    <w:p w14:paraId="48F2DDDC"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3DE3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27B5B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27B5B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E3335"/>
    <w:rsid w:val="05D62F41"/>
    <w:rsid w:val="06A71E1D"/>
    <w:rsid w:val="0ACF6F94"/>
    <w:rsid w:val="0F947806"/>
    <w:rsid w:val="102E5BA3"/>
    <w:rsid w:val="106134AA"/>
    <w:rsid w:val="131B19C2"/>
    <w:rsid w:val="1606156C"/>
    <w:rsid w:val="16C27489"/>
    <w:rsid w:val="184278CE"/>
    <w:rsid w:val="1A56051D"/>
    <w:rsid w:val="1A5C3F40"/>
    <w:rsid w:val="1DCD54A7"/>
    <w:rsid w:val="1F6E127C"/>
    <w:rsid w:val="20D90B28"/>
    <w:rsid w:val="21186E35"/>
    <w:rsid w:val="21B36C76"/>
    <w:rsid w:val="2BD41978"/>
    <w:rsid w:val="2EA8413F"/>
    <w:rsid w:val="2FC811E9"/>
    <w:rsid w:val="300554C4"/>
    <w:rsid w:val="321956E0"/>
    <w:rsid w:val="324D03B8"/>
    <w:rsid w:val="325F3686"/>
    <w:rsid w:val="35340BB1"/>
    <w:rsid w:val="36FF46C3"/>
    <w:rsid w:val="3704661A"/>
    <w:rsid w:val="37136FAE"/>
    <w:rsid w:val="372A143D"/>
    <w:rsid w:val="37AE78F3"/>
    <w:rsid w:val="3CED04E1"/>
    <w:rsid w:val="3D1B2B89"/>
    <w:rsid w:val="3D3B04F3"/>
    <w:rsid w:val="42E90FF2"/>
    <w:rsid w:val="451C7B97"/>
    <w:rsid w:val="4CF36920"/>
    <w:rsid w:val="4D1A05AB"/>
    <w:rsid w:val="4DE7493F"/>
    <w:rsid w:val="507A1151"/>
    <w:rsid w:val="51A73E44"/>
    <w:rsid w:val="524A16B5"/>
    <w:rsid w:val="52CA7BC7"/>
    <w:rsid w:val="56267267"/>
    <w:rsid w:val="566B3E51"/>
    <w:rsid w:val="589D2DEF"/>
    <w:rsid w:val="591431CB"/>
    <w:rsid w:val="5A0675DF"/>
    <w:rsid w:val="5C28375D"/>
    <w:rsid w:val="613960E9"/>
    <w:rsid w:val="62F3493B"/>
    <w:rsid w:val="640C4505"/>
    <w:rsid w:val="641E3209"/>
    <w:rsid w:val="642A7FD2"/>
    <w:rsid w:val="6593334D"/>
    <w:rsid w:val="6A955389"/>
    <w:rsid w:val="6C9E680E"/>
    <w:rsid w:val="6DA71601"/>
    <w:rsid w:val="70AE3B60"/>
    <w:rsid w:val="74004D75"/>
    <w:rsid w:val="78FB21B5"/>
    <w:rsid w:val="7B003373"/>
    <w:rsid w:val="7D9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525</Words>
  <Characters>3044</Characters>
  <Lines>0</Lines>
  <Paragraphs>0</Paragraphs>
  <TotalTime>57</TotalTime>
  <ScaleCrop>false</ScaleCrop>
  <LinksUpToDate>false</LinksUpToDate>
  <CharactersWithSpaces>3439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2026-05-27T10:48:00Z</dcterms:created>
  <dc:creator>55034</dc:creator>
  <cp:lastModifiedBy>谷海飞</cp:lastModifiedBy>
  <dcterms:modified xsi:type="dcterms:W3CDTF">2026-06-21T00:51:50Z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eyJoZGlkIjoiMzEwNTM5NzYwMDRjMzkwZTVkZjY2ODkwMGIxNGU0OTUiLCJ1c2VySWQiOiIzODUwNTA3MjgifQ==</vt:lpwstr>
  </property>
  <property fmtid="{D5CDD505-2E9C-101B-9397-08002B2CF9AE}" pid="4" name="ICV">
    <vt:lpwstr>0A676484619C41AE871B3FADEDF254A7_12</vt:lpwstr>
  </property>
</Properties>
</file>