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D4C0" w14:textId="77777777" w:rsidR="00DD5A2B" w:rsidRDefault="00DD5A2B" w:rsidP="00DD5A2B">
      <w:pPr>
        <w:pStyle w:val="Heading1"/>
      </w:pPr>
      <w:r>
        <w:t>Supplementary</w:t>
      </w:r>
    </w:p>
    <w:p w14:paraId="1F8592CF" w14:textId="77777777" w:rsidR="00DD5A2B" w:rsidRDefault="00DD5A2B" w:rsidP="00DD5A2B">
      <w:pPr>
        <w:rPr>
          <w:b/>
          <w:bCs/>
        </w:rPr>
      </w:pPr>
      <w:bookmarkStart w:id="0" w:name="_cxu2fsn9k6wn" w:colFirst="0" w:colLast="0"/>
      <w:bookmarkEnd w:id="0"/>
      <w:r>
        <w:rPr>
          <w:b/>
          <w:bCs/>
          <w:noProof/>
        </w:rPr>
        <w:lastRenderedPageBreak/>
        <w:drawing>
          <wp:inline distT="114300" distB="114300" distL="114300" distR="114300" wp14:anchorId="5E5EC0C1" wp14:editId="74158F64">
            <wp:extent cx="5731200" cy="82550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5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5DC67F" w14:textId="77777777" w:rsidR="00DD5A2B" w:rsidRDefault="00DD5A2B" w:rsidP="00DD5A2B">
      <w:bookmarkStart w:id="1" w:name="_yktv4sfw1bji" w:colFirst="0" w:colLast="0"/>
      <w:bookmarkEnd w:id="1"/>
      <w:r>
        <w:rPr>
          <w:b/>
          <w:bCs/>
        </w:rPr>
        <w:t xml:space="preserve">Supplementary Figure 1 | Representative localization examples of additional gastric </w:t>
      </w:r>
      <w:r>
        <w:rPr>
          <w:b/>
          <w:bCs/>
        </w:rPr>
        <w:lastRenderedPageBreak/>
        <w:t>diseases not shown in Fig. 2.</w:t>
      </w:r>
      <w:r>
        <w:t xml:space="preserve"> Each case is shown without (left) and with (right) AI inference: </w:t>
      </w:r>
      <w:r>
        <w:rPr>
          <w:b/>
          <w:bCs/>
        </w:rPr>
        <w:t>a,</w:t>
      </w:r>
      <w:r>
        <w:t xml:space="preserve"> diffuse large B-cell lymphoma; </w:t>
      </w:r>
      <w:r>
        <w:rPr>
          <w:b/>
          <w:bCs/>
        </w:rPr>
        <w:t>b,</w:t>
      </w:r>
      <w:r>
        <w:t xml:space="preserve"> neuroendocrine tumor; </w:t>
      </w:r>
      <w:r>
        <w:rPr>
          <w:b/>
          <w:bCs/>
        </w:rPr>
        <w:t>c,</w:t>
      </w:r>
      <w:r>
        <w:t xml:space="preserve"> low-grade dysplasia; and </w:t>
      </w:r>
      <w:r>
        <w:rPr>
          <w:b/>
          <w:bCs/>
        </w:rPr>
        <w:t>d,</w:t>
      </w:r>
      <w:r>
        <w:t xml:space="preserve"> intestinal metaplasia. Heatmaps are color-coded by lesion category (red, malignancy; yellow, dysplasia; green, metaplasia). All overlays were produced by CAM using only slide-level supervision; no pixel- or region-level annotations were used during training.</w:t>
      </w:r>
    </w:p>
    <w:p w14:paraId="4294D1ED" w14:textId="77777777" w:rsidR="00DD5A2B" w:rsidRDefault="00DD5A2B" w:rsidP="00DD5A2B">
      <w:bookmarkStart w:id="2" w:name="_ayz12avtc160" w:colFirst="0" w:colLast="0"/>
      <w:bookmarkEnd w:id="2"/>
      <w:r>
        <w:br w:type="page"/>
      </w:r>
    </w:p>
    <w:p w14:paraId="62463821" w14:textId="77777777" w:rsidR="00DD5A2B" w:rsidRDefault="00DD5A2B" w:rsidP="00DD5A2B">
      <w:bookmarkStart w:id="3" w:name="_hb4o3v526w1g" w:colFirst="0" w:colLast="0"/>
      <w:bookmarkEnd w:id="3"/>
      <w:r>
        <w:rPr>
          <w:noProof/>
        </w:rPr>
        <w:lastRenderedPageBreak/>
        <w:drawing>
          <wp:inline distT="114300" distB="114300" distL="114300" distR="114300" wp14:anchorId="7A2AE304" wp14:editId="5A53FBAD">
            <wp:extent cx="5731200" cy="608330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8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E42B52" w14:textId="77777777" w:rsidR="00DD5A2B" w:rsidRDefault="00DD5A2B" w:rsidP="00DD5A2B">
      <w:bookmarkStart w:id="4" w:name="_9qj9vono1s3u" w:colFirst="0" w:colLast="0"/>
      <w:bookmarkEnd w:id="4"/>
      <w:r>
        <w:rPr>
          <w:b/>
          <w:bCs/>
        </w:rPr>
        <w:t>Supplementary Figure 2 | Representative localization examples of additional non-neoplastic gastric diseases not shown in Fig. 2, with and without inference.</w:t>
      </w:r>
      <w:r>
        <w:t xml:space="preserve"> Each case is shown without (left) and with (right) AI inference: </w:t>
      </w:r>
      <w:r>
        <w:rPr>
          <w:b/>
          <w:bCs/>
        </w:rPr>
        <w:t>a,</w:t>
      </w:r>
      <w:r>
        <w:t xml:space="preserve"> chronic active gastritis (model category: inflammation); </w:t>
      </w:r>
      <w:r>
        <w:rPr>
          <w:b/>
          <w:bCs/>
        </w:rPr>
        <w:t>b,</w:t>
      </w:r>
      <w:r>
        <w:t xml:space="preserve"> fundic gland polyp (model category: polyp); and </w:t>
      </w:r>
      <w:r>
        <w:rPr>
          <w:b/>
          <w:bCs/>
        </w:rPr>
        <w:t>c,</w:t>
      </w:r>
      <w:r>
        <w:t xml:space="preserve"> benign ulcer (model category: ulcer). For visual distinction from the four primary heatmap colors in Fig. 2, overlays for these categories are rendered in a single blue tone, with the corresponding model category labeled in each panel header. All overlays were produced by CAM using only slide-</w:t>
      </w:r>
      <w:r>
        <w:lastRenderedPageBreak/>
        <w:t>level supervision; no pixel- or region-level annotations were used during training.</w:t>
      </w:r>
    </w:p>
    <w:p w14:paraId="7A4B0118" w14:textId="77777777" w:rsidR="00DE6AE2" w:rsidRDefault="00DE6AE2"/>
    <w:sectPr w:rsidR="00DE6AE2" w:rsidSect="00DD5A2B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8000" w14:textId="77777777" w:rsidR="00DD5A2B" w:rsidRDefault="00DD5A2B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1E0A40BE" w14:textId="77777777" w:rsidR="00DD5A2B" w:rsidRDefault="00DD5A2B">
    <w:pPr>
      <w:tabs>
        <w:tab w:val="center" w:pos="4153"/>
        <w:tab w:val="right" w:pos="8306"/>
      </w:tabs>
      <w:spacing w:after="240" w:line="276" w:lineRule="auto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F2FD" w14:textId="77777777" w:rsidR="00DD5A2B" w:rsidRDefault="00DD5A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2B"/>
    <w:rsid w:val="00195413"/>
    <w:rsid w:val="003A03A7"/>
    <w:rsid w:val="003D0186"/>
    <w:rsid w:val="006F4B9E"/>
    <w:rsid w:val="007278E4"/>
    <w:rsid w:val="00A3738C"/>
    <w:rsid w:val="00B91ABC"/>
    <w:rsid w:val="00BC6C35"/>
    <w:rsid w:val="00CB270D"/>
    <w:rsid w:val="00CF7583"/>
    <w:rsid w:val="00DD5A2B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67030"/>
  <w15:chartTrackingRefBased/>
  <w15:docId w15:val="{E59AEBAA-7117-40E9-BA89-5893FF9C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A2B"/>
    <w:pPr>
      <w:widowControl w:val="0"/>
      <w:spacing w:after="0" w:line="48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A2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A2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A2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A2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A2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A2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A2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A2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A2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A2B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5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A2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5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A2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5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A2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5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A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</Words>
  <Characters>1075</Characters>
  <Application>Microsoft Office Word</Application>
  <DocSecurity>0</DocSecurity>
  <Lines>8</Lines>
  <Paragraphs>2</Paragraphs>
  <ScaleCrop>false</ScaleCrop>
  <Company>Springer Nature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2026-07-13T08:41:00Z</dcterms:created>
  <dcterms:modified xsi:type="dcterms:W3CDTF">2026-07-13T08:41:00Z</dcterms:modified>
</cp:coreProperties>
</file>