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36A7A" w14:textId="46A35542" w:rsidR="009D459F" w:rsidRDefault="00B00F83" w:rsidP="00520AB1">
      <w:pPr>
        <w:spacing w:after="60" w:line="480" w:lineRule="auto"/>
        <w:jc w:val="center"/>
        <w:rPr>
          <w:rFonts w:eastAsia="Arial"/>
          <w:b/>
          <w:bCs/>
          <w:sz w:val="24"/>
          <w:szCs w:val="24"/>
        </w:rPr>
      </w:pPr>
      <w:r>
        <w:rPr>
          <w:rFonts w:eastAsia="Arial"/>
          <w:b/>
          <w:bCs/>
          <w:sz w:val="24"/>
          <w:szCs w:val="24"/>
        </w:rPr>
        <w:t>Supplementary Materials:</w:t>
      </w:r>
    </w:p>
    <w:p w14:paraId="3D65A990" w14:textId="76551747" w:rsidR="00520AB1" w:rsidRPr="0053567D" w:rsidRDefault="00520AB1" w:rsidP="00520AB1">
      <w:pPr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Title: </w:t>
      </w:r>
      <w:r>
        <w:rPr>
          <w:sz w:val="24"/>
          <w:szCs w:val="24"/>
        </w:rPr>
        <w:t>Serum thyroid hormone concentrations and breast cancer risk: an extended cohort study with time-varying exposure analysis</w:t>
      </w:r>
    </w:p>
    <w:p w14:paraId="4BA7BD68" w14:textId="77777777" w:rsidR="00520AB1" w:rsidRPr="0053567D" w:rsidRDefault="00520AB1" w:rsidP="00520AB1">
      <w:pPr>
        <w:spacing w:line="480" w:lineRule="auto"/>
        <w:rPr>
          <w:b/>
          <w:bCs/>
          <w:sz w:val="24"/>
          <w:szCs w:val="24"/>
        </w:rPr>
      </w:pPr>
    </w:p>
    <w:p w14:paraId="7278F0BB" w14:textId="3D14F9C0" w:rsidR="00520AB1" w:rsidRDefault="00520AB1" w:rsidP="00520AB1">
      <w:pPr>
        <w:spacing w:line="480" w:lineRule="auto"/>
        <w:rPr>
          <w:rFonts w:eastAsia="Times New Roman"/>
          <w:sz w:val="24"/>
          <w:szCs w:val="24"/>
        </w:rPr>
        <w:sectPr w:rsidR="00520AB1">
          <w:footerReference w:type="default" r:id="rId8"/>
          <w:pgSz w:w="12240" w:h="15840" w:orient="landscape"/>
          <w:pgMar w:top="1080" w:right="1080" w:bottom="1080" w:left="1080" w:header="708" w:footer="708" w:gutter="0"/>
          <w:cols w:space="720"/>
          <w:docGrid w:linePitch="360"/>
        </w:sectPr>
      </w:pPr>
      <w:r>
        <w:rPr>
          <w:rFonts w:eastAsia="Times New Roman"/>
          <w:b/>
          <w:bCs/>
          <w:sz w:val="24"/>
          <w:szCs w:val="24"/>
        </w:rPr>
        <w:t>Authors list:</w:t>
      </w:r>
      <w:r>
        <w:rPr>
          <w:rFonts w:eastAsia="Times New Roman"/>
          <w:sz w:val="24"/>
          <w:szCs w:val="24"/>
        </w:rPr>
        <w:t xml:space="preserve"> Chang Ik Yoon, Hyung Suk Kim, Soong June Bae, Jang-Hee Lee, Eun Young Kim, Chan Heun Park, Yong Lai Park, Ji-Sup Yun, Yun Tae Kim, Kwan Ho Lee</w:t>
      </w:r>
    </w:p>
    <w:p w14:paraId="309EDEEF" w14:textId="77777777" w:rsidR="009D459F" w:rsidRPr="00520AB1" w:rsidRDefault="00B00F83" w:rsidP="005B7A52">
      <w:pPr>
        <w:spacing w:after="120" w:line="48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12437FF8" wp14:editId="42910DE8">
            <wp:extent cx="6286500" cy="7239000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9E3C0" w14:textId="77777777" w:rsidR="005B7A52" w:rsidRDefault="005B7A52" w:rsidP="005B7A52">
      <w:pPr>
        <w:spacing w:line="480" w:lineRule="auto"/>
        <w:jc w:val="both"/>
        <w:rPr>
          <w:rFonts w:eastAsia="Times New Roman"/>
          <w:sz w:val="24"/>
          <w:szCs w:val="24"/>
        </w:rPr>
      </w:pPr>
      <w:r>
        <w:rPr>
          <w:rFonts w:eastAsia="Arial"/>
          <w:b/>
          <w:bCs/>
          <w:sz w:val="24"/>
          <w:szCs w:val="24"/>
        </w:rPr>
        <w:t xml:space="preserve">Supplementary Figure S0. </w:t>
      </w:r>
      <w:r>
        <w:rPr>
          <w:rFonts w:eastAsia="Arial"/>
          <w:sz w:val="24"/>
          <w:szCs w:val="24"/>
        </w:rPr>
        <w:t xml:space="preserve">CONSORT-style flow diagram of cohort selection. </w:t>
      </w:r>
      <w:r>
        <w:rPr>
          <w:rFonts w:eastAsia="Times New Roman"/>
          <w:sz w:val="24"/>
          <w:szCs w:val="24"/>
        </w:rPr>
        <w:t xml:space="preserve">Cohort flow from the source KSHS population to the final analytic cohort. Sequential exclusions (prior cancer at baseline, current thyroid medication use, follow-up &lt;6 months, missing baseline TSH or FT4) yielded 166,916 </w:t>
      </w:r>
      <w:r>
        <w:rPr>
          <w:rFonts w:eastAsia="Times New Roman"/>
          <w:sz w:val="24"/>
          <w:szCs w:val="24"/>
        </w:rPr>
        <w:lastRenderedPageBreak/>
        <w:t xml:space="preserve">eligible women. An additional 4,214 women with indeterminate thyroid function classification (euthyroid TSH with abnormal FT4, or discordant TSH/FT4) were excluded for primary analyses, yielding 162,702 women in the analytic cohort. The cohort accumulated 1,128,401 person-years of follow-up with 1,841 incident breast cancers (1,347 invasive [C50] + 494 ductal carcinoma in situ [D05]). </w:t>
      </w:r>
    </w:p>
    <w:p w14:paraId="1374A03B" w14:textId="59330847" w:rsidR="005B7A52" w:rsidRDefault="005B7A52" w:rsidP="005B7A52">
      <w:pPr>
        <w:spacing w:line="480" w:lineRule="auto"/>
        <w:jc w:val="both"/>
        <w:rPr>
          <w:rFonts w:eastAsia="Times New Roman"/>
          <w:sz w:val="24"/>
          <w:szCs w:val="24"/>
        </w:rPr>
        <w:sectPr w:rsidR="005B7A52">
          <w:pgSz w:w="12240" w:h="15840" w:orient="landscape"/>
          <w:pgMar w:top="1080" w:right="1080" w:bottom="1080" w:left="1080" w:header="708" w:footer="708" w:gutter="0"/>
          <w:cols w:space="720"/>
          <w:docGrid w:linePitch="360"/>
        </w:sectPr>
      </w:pPr>
      <w:r>
        <w:rPr>
          <w:rFonts w:eastAsia="Times New Roman"/>
          <w:sz w:val="24"/>
          <w:szCs w:val="24"/>
        </w:rPr>
        <w:t>Abbreviations: FT4, free thyroxine; IR, incidence rate; KSHS, Kangbuk Samsung Health Study; TSH, thyroid-stimulating hormone.</w:t>
      </w:r>
    </w:p>
    <w:p w14:paraId="6D1DC76F" w14:textId="77777777" w:rsidR="009D459F" w:rsidRPr="00520AB1" w:rsidRDefault="00B00F83" w:rsidP="00520AB1">
      <w:pPr>
        <w:spacing w:after="120" w:line="48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51CF5BB1" wp14:editId="32761E74">
            <wp:extent cx="4571465" cy="2957208"/>
            <wp:effectExtent l="0" t="0" r="635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10"/>
                    <a:srcRect t="26883" b="27454"/>
                    <a:stretch/>
                  </pic:blipFill>
                  <pic:spPr bwMode="auto">
                    <a:xfrm>
                      <a:off x="0" y="0"/>
                      <a:ext cx="4572000" cy="29575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2D362B" w14:textId="7D59F1E9" w:rsidR="005B7A52" w:rsidRDefault="005B7A52" w:rsidP="00520AB1">
      <w:pPr>
        <w:spacing w:line="480" w:lineRule="auto"/>
        <w:jc w:val="both"/>
        <w:rPr>
          <w:rFonts w:eastAsia="Times New Roman"/>
          <w:sz w:val="24"/>
          <w:szCs w:val="24"/>
        </w:rPr>
        <w:sectPr w:rsidR="005B7A52">
          <w:pgSz w:w="12240" w:h="15840" w:orient="landscape"/>
          <w:pgMar w:top="1080" w:right="1080" w:bottom="1080" w:left="1080" w:header="708" w:footer="708" w:gutter="0"/>
          <w:cols w:space="720"/>
          <w:docGrid w:linePitch="360"/>
        </w:sectPr>
      </w:pPr>
      <w:r>
        <w:rPr>
          <w:rFonts w:eastAsia="Arial"/>
          <w:b/>
          <w:bCs/>
          <w:sz w:val="24"/>
          <w:szCs w:val="24"/>
        </w:rPr>
        <w:t xml:space="preserve">Supplementary Figure S1. </w:t>
      </w:r>
      <w:r>
        <w:rPr>
          <w:rFonts w:eastAsia="Arial"/>
          <w:sz w:val="24"/>
          <w:szCs w:val="24"/>
        </w:rPr>
        <w:t>Restricted cubic spline analyses of TSH and FT4 in relation to breast cancer risk.</w:t>
      </w:r>
      <w:r>
        <w:rPr>
          <w:rFonts w:hint="eastAsia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Four-panel restricted cubic spline (RCS) analysis with knots placed at the 10th, 50th, and 90th percentiles. Solid line: estimated hazard ratio; dashed lines: 95% confidence interval. (A) TSH within the euthyroid range; (B) FT4 within the euthyroid range; (C) TSH across the full measurement range; (D) FT4 across the full measurement range. All </w:t>
      </w:r>
      <w:r>
        <w:rPr>
          <w:rFonts w:eastAsia="Times New Roman"/>
          <w:i/>
          <w:iCs/>
          <w:sz w:val="24"/>
          <w:szCs w:val="24"/>
        </w:rPr>
        <w:t>p</w:t>
      </w:r>
      <w:r>
        <w:rPr>
          <w:rFonts w:eastAsia="Times New Roman"/>
          <w:sz w:val="24"/>
          <w:szCs w:val="24"/>
        </w:rPr>
        <w:t xml:space="preserve"> values for non-linearity &gt; 0.30, supporting linear modeling of TSH and FT4 in primary analyses. Adjusted for: age, examination center, examination year, body mass index, menopausal status, parity, age at menarche, hormone use, family history of breast cancer.</w:t>
      </w:r>
    </w:p>
    <w:p w14:paraId="35846F35" w14:textId="77777777" w:rsidR="009D459F" w:rsidRPr="005B7A52" w:rsidRDefault="00B00F83" w:rsidP="00520AB1">
      <w:pPr>
        <w:spacing w:before="240" w:after="120" w:line="480" w:lineRule="auto"/>
        <w:jc w:val="both"/>
        <w:rPr>
          <w:sz w:val="24"/>
          <w:szCs w:val="24"/>
        </w:rPr>
      </w:pPr>
      <w:r>
        <w:rPr>
          <w:rFonts w:eastAsia="Arial"/>
          <w:b/>
          <w:bCs/>
          <w:sz w:val="24"/>
          <w:szCs w:val="24"/>
        </w:rPr>
        <w:lastRenderedPageBreak/>
        <w:t xml:space="preserve">Supplementary Table S1. </w:t>
      </w:r>
      <w:r>
        <w:rPr>
          <w:rFonts w:eastAsia="Arial"/>
          <w:sz w:val="24"/>
          <w:szCs w:val="24"/>
        </w:rPr>
        <w:t>C50-only outcome sensitivity analysis (1,347 invasive events): hazard ratios for breast cancer by thyroid function exposure.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6"/>
        <w:gridCol w:w="3260"/>
        <w:gridCol w:w="992"/>
        <w:gridCol w:w="992"/>
        <w:gridCol w:w="2834"/>
        <w:gridCol w:w="2900"/>
      </w:tblGrid>
      <w:tr w:rsidR="005B7A52" w:rsidRPr="00520AB1" w14:paraId="41BB4F32" w14:textId="77777777" w:rsidTr="00BB6586">
        <w:trPr>
          <w:tblHeader/>
        </w:trPr>
        <w:tc>
          <w:tcPr>
            <w:tcW w:w="983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34AB0A03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Exposure</w:t>
            </w:r>
          </w:p>
        </w:tc>
        <w:tc>
          <w:tcPr>
            <w:tcW w:w="1193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20ABF30D" w14:textId="77777777" w:rsidR="009D459F" w:rsidRPr="00520AB1" w:rsidRDefault="00B00F83" w:rsidP="005B7A52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363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7F980B04" w14:textId="77777777" w:rsidR="009D459F" w:rsidRPr="00520AB1" w:rsidRDefault="00B00F83" w:rsidP="005B7A52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N (C50-only)</w:t>
            </w:r>
          </w:p>
        </w:tc>
        <w:tc>
          <w:tcPr>
            <w:tcW w:w="363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06EB9BBB" w14:textId="77777777" w:rsidR="009D459F" w:rsidRPr="00520AB1" w:rsidRDefault="00B00F83" w:rsidP="005B7A52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Events (C50-only)</w:t>
            </w:r>
          </w:p>
        </w:tc>
        <w:tc>
          <w:tcPr>
            <w:tcW w:w="1037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17C21167" w14:textId="77777777" w:rsidR="009D459F" w:rsidRPr="00520AB1" w:rsidRDefault="00B00F83" w:rsidP="005B7A52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C50+D05 Primary HR (95% CI)</w:t>
            </w:r>
          </w:p>
        </w:tc>
        <w:tc>
          <w:tcPr>
            <w:tcW w:w="1061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0B22664D" w14:textId="77777777" w:rsidR="009D459F" w:rsidRPr="00520AB1" w:rsidRDefault="00B00F83" w:rsidP="005B7A52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C50-only Sensitivity HR (95% CI)</w:t>
            </w:r>
          </w:p>
        </w:tc>
      </w:tr>
      <w:tr w:rsidR="005B7A52" w:rsidRPr="00520AB1" w14:paraId="5825A0FE" w14:textId="77777777" w:rsidTr="00BB6586">
        <w:tc>
          <w:tcPr>
            <w:tcW w:w="983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49DA05FC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TSH tertile (Euthyroid)</w:t>
            </w:r>
          </w:p>
        </w:tc>
        <w:tc>
          <w:tcPr>
            <w:tcW w:w="1193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245FB3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T1 (≤1.52)</w:t>
            </w:r>
          </w:p>
        </w:tc>
        <w:tc>
          <w:tcPr>
            <w:tcW w:w="363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7836FC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50,531</w:t>
            </w:r>
          </w:p>
        </w:tc>
        <w:tc>
          <w:tcPr>
            <w:tcW w:w="363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E23D08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438</w:t>
            </w:r>
          </w:p>
        </w:tc>
        <w:tc>
          <w:tcPr>
            <w:tcW w:w="1037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4C53CA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1.00 (Ref)</w:t>
            </w:r>
          </w:p>
        </w:tc>
        <w:tc>
          <w:tcPr>
            <w:tcW w:w="1061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375E33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1.00 (Ref)</w:t>
            </w:r>
          </w:p>
        </w:tc>
      </w:tr>
      <w:tr w:rsidR="005B7A52" w:rsidRPr="00520AB1" w14:paraId="414A95DB" w14:textId="77777777" w:rsidTr="00BB6586">
        <w:tc>
          <w:tcPr>
            <w:tcW w:w="98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369E21A4" w14:textId="77777777" w:rsidR="009D459F" w:rsidRPr="00520AB1" w:rsidRDefault="009D459F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9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7D6399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T2 (1.52–2.42)</w:t>
            </w:r>
          </w:p>
        </w:tc>
        <w:tc>
          <w:tcPr>
            <w:tcW w:w="36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62C850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49,908</w:t>
            </w:r>
          </w:p>
        </w:tc>
        <w:tc>
          <w:tcPr>
            <w:tcW w:w="36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AB75EA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415</w:t>
            </w:r>
          </w:p>
        </w:tc>
        <w:tc>
          <w:tcPr>
            <w:tcW w:w="1037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D7451B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0.96 (0.85–1.09)</w:t>
            </w:r>
          </w:p>
        </w:tc>
        <w:tc>
          <w:tcPr>
            <w:tcW w:w="106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83185D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0.93 (0.81–1.07)</w:t>
            </w:r>
          </w:p>
        </w:tc>
      </w:tr>
      <w:tr w:rsidR="005B7A52" w:rsidRPr="00520AB1" w14:paraId="48AD30CB" w14:textId="77777777" w:rsidTr="00BB6586">
        <w:tc>
          <w:tcPr>
            <w:tcW w:w="98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6563C5F4" w14:textId="77777777" w:rsidR="009D459F" w:rsidRPr="00520AB1" w:rsidRDefault="009D459F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9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AE01D9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T3 (≥2.42)</w:t>
            </w:r>
          </w:p>
        </w:tc>
        <w:tc>
          <w:tcPr>
            <w:tcW w:w="36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89C45E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49,629</w:t>
            </w:r>
          </w:p>
        </w:tc>
        <w:tc>
          <w:tcPr>
            <w:tcW w:w="36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3EF827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396</w:t>
            </w:r>
          </w:p>
        </w:tc>
        <w:tc>
          <w:tcPr>
            <w:tcW w:w="1037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C2DE3D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0.95 (0.84–1.07)</w:t>
            </w:r>
          </w:p>
        </w:tc>
        <w:tc>
          <w:tcPr>
            <w:tcW w:w="106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D49D8F" w14:textId="7D8CA1BC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 xml:space="preserve">0.88 (0.76–1.01), </w:t>
            </w:r>
            <w:r>
              <w:rPr>
                <w:rFonts w:eastAsia="Arial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 = .068</w:t>
            </w:r>
          </w:p>
        </w:tc>
      </w:tr>
      <w:tr w:rsidR="005B7A52" w:rsidRPr="00520AB1" w14:paraId="57F0B5CF" w14:textId="77777777" w:rsidTr="00BB6586">
        <w:tc>
          <w:tcPr>
            <w:tcW w:w="98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3735BE47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Continuous (Euthyroid)</w:t>
            </w:r>
          </w:p>
        </w:tc>
        <w:tc>
          <w:tcPr>
            <w:tcW w:w="119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D17E2A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TSH per 1 SD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E1D8F7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150,068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4D4F0E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1,249</w:t>
            </w:r>
          </w:p>
        </w:tc>
        <w:tc>
          <w:tcPr>
            <w:tcW w:w="1037" w:type="pct"/>
            <w:tcBorders>
              <w:bottom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DE7EF6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0.95 (0.80–1.12)</w:t>
            </w:r>
          </w:p>
        </w:tc>
        <w:tc>
          <w:tcPr>
            <w:tcW w:w="106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B98A05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0.88 (0.72–1.07)</w:t>
            </w:r>
          </w:p>
        </w:tc>
      </w:tr>
      <w:tr w:rsidR="005B7A52" w:rsidRPr="00520AB1" w14:paraId="37D1BA30" w14:textId="77777777" w:rsidTr="00BB6586">
        <w:tc>
          <w:tcPr>
            <w:tcW w:w="98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487BB7CA" w14:textId="77777777" w:rsidR="009D459F" w:rsidRPr="00520AB1" w:rsidRDefault="009D459F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93" w:type="pct"/>
            <w:tcBorders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46A84F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FT4 per 1 SD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B3B611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150,068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5C7C12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1,249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10ACD6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0.97 (0.88–1.07)</w:t>
            </w:r>
          </w:p>
        </w:tc>
        <w:tc>
          <w:tcPr>
            <w:tcW w:w="1061" w:type="pct"/>
            <w:tcBorders>
              <w:lef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C34F9B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0.96 (0.86–1.08)</w:t>
            </w:r>
          </w:p>
        </w:tc>
      </w:tr>
      <w:tr w:rsidR="005B7A52" w:rsidRPr="00520AB1" w14:paraId="1D74DA20" w14:textId="77777777" w:rsidTr="00BB6586">
        <w:tc>
          <w:tcPr>
            <w:tcW w:w="98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03E084DB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Elevated FT4</w:t>
            </w:r>
          </w:p>
        </w:tc>
        <w:tc>
          <w:tcPr>
            <w:tcW w:w="1193" w:type="pct"/>
            <w:tcBorders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5568A0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FT4 &gt; 1.7 ng/dL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9B9C45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1,197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C6A3E3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11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8A0460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0.62 (0.28–1.39)</w:t>
            </w:r>
          </w:p>
        </w:tc>
        <w:tc>
          <w:tcPr>
            <w:tcW w:w="1061" w:type="pct"/>
            <w:tcBorders>
              <w:lef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D6973E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0.86 (0.38–1.91)</w:t>
            </w:r>
          </w:p>
        </w:tc>
      </w:tr>
      <w:tr w:rsidR="005B7A52" w:rsidRPr="00520AB1" w14:paraId="39681C41" w14:textId="77777777" w:rsidTr="00BB6586">
        <w:tc>
          <w:tcPr>
            <w:tcW w:w="983" w:type="pct"/>
            <w:tcBorders>
              <w:bottom w:val="single" w:sz="6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26E0C4BC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Postmenopausal subgroup</w:t>
            </w:r>
          </w:p>
        </w:tc>
        <w:tc>
          <w:tcPr>
            <w:tcW w:w="1193" w:type="pct"/>
            <w:tcBorders>
              <w:bottom w:val="single" w:sz="6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E8223D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TSH T3 vs T1 (postmeno)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762BA4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7,815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75163C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44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E2C59A" w14:textId="5867C4C3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0.69 (0.47–1.02), </w:t>
            </w:r>
            <w:r>
              <w:rPr>
                <w:rFonts w:eastAsia="Arial"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sz w:val="24"/>
                <w:szCs w:val="24"/>
              </w:rPr>
              <w:t xml:space="preserve"> = .061</w:t>
            </w:r>
          </w:p>
        </w:tc>
        <w:tc>
          <w:tcPr>
            <w:tcW w:w="1061" w:type="pct"/>
            <w:tcBorders>
              <w:left w:val="single" w:sz="4" w:space="0" w:color="auto"/>
              <w:bottom w:val="single" w:sz="6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C37B8F" w14:textId="68BE0E98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 xml:space="preserve">0.65 (0.42–0.99), </w:t>
            </w:r>
            <w:r>
              <w:rPr>
                <w:rFonts w:eastAsia="Arial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 = .049</w:t>
            </w:r>
          </w:p>
        </w:tc>
      </w:tr>
      <w:tr w:rsidR="005B7A52" w:rsidRPr="00520AB1" w14:paraId="79551F8D" w14:textId="77777777" w:rsidTr="00BB6586">
        <w:tc>
          <w:tcPr>
            <w:tcW w:w="983" w:type="pct"/>
            <w:tcBorders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6A10B477" w14:textId="77777777" w:rsidR="009D459F" w:rsidRPr="00520AB1" w:rsidRDefault="009D459F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93" w:type="pct"/>
            <w:tcBorders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E824AE" w14:textId="3B41018B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sz w:val="24"/>
                <w:szCs w:val="24"/>
              </w:rPr>
              <w:t xml:space="preserve"> interaction (menopause × T3)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D3ECD1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—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31044F" w14:textId="77777777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—</w:t>
            </w:r>
          </w:p>
        </w:tc>
        <w:tc>
          <w:tcPr>
            <w:tcW w:w="1037" w:type="pct"/>
            <w:tcBorders>
              <w:top w:val="single" w:sz="4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7F4A9A" w14:textId="5E42C0DF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.086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5DD22F" w14:textId="41EE1B2E" w:rsidR="009D459F" w:rsidRPr="00520AB1" w:rsidRDefault="00B00F83" w:rsidP="005B7A52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.143</w:t>
            </w:r>
          </w:p>
        </w:tc>
      </w:tr>
    </w:tbl>
    <w:p w14:paraId="557FD17F" w14:textId="79644564" w:rsidR="005B7A52" w:rsidRDefault="00B526C0" w:rsidP="00520AB1">
      <w:pPr>
        <w:spacing w:before="60" w:after="240" w:line="48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Note</w:t>
      </w:r>
      <w:r>
        <w:rPr>
          <w:rFonts w:eastAsia="Times New Roman"/>
          <w:sz w:val="24"/>
          <w:szCs w:val="24"/>
        </w:rPr>
        <w:t xml:space="preserve">: All HRs adjusted with Model 2 covariates (age, examination center, examination year, body mass index, menopausal status, parity, age </w:t>
      </w:r>
      <w:r>
        <w:rPr>
          <w:rFonts w:eastAsia="Times New Roman"/>
          <w:sz w:val="24"/>
          <w:szCs w:val="24"/>
        </w:rPr>
        <w:lastRenderedPageBreak/>
        <w:t xml:space="preserve">at menarche, hormone use, family history of breast cancer). Event counts for the C50-only sensitivity column reflect the invasive-only outcome (1,347 events total in the C50-only sensitivity cohort [n = 162,758]; 1,249 within the euthyroid range). The systematic attenuation observed under the primary outcome (C50+D05) relative to the sensitivity outcome (C50-only) is consistent with non-differential dilution of an invasive-specific signal by ductal carcinoma in situ events (Discussion §4.1). The N and Events columns describe the C50-only sensitivity cohort; the corresponding primary-outcome (C50+D05) event counts (580, 573, and 564 across TSH tertiles T1–T3) are those reported in Table 2. </w:t>
      </w:r>
    </w:p>
    <w:p w14:paraId="1EE8750E" w14:textId="77777777" w:rsidR="00B965FA" w:rsidRDefault="005B7A52" w:rsidP="00B965FA">
      <w:pPr>
        <w:spacing w:before="60" w:after="240" w:line="480" w:lineRule="auto"/>
        <w:jc w:val="both"/>
        <w:rPr>
          <w:rFonts w:eastAsia="Times New Roman"/>
          <w:sz w:val="24"/>
          <w:szCs w:val="24"/>
        </w:rPr>
        <w:sectPr w:rsidR="00B965FA" w:rsidSect="005B7A52">
          <w:pgSz w:w="15840" w:h="12240"/>
          <w:pgMar w:top="1080" w:right="1080" w:bottom="1080" w:left="1080" w:header="708" w:footer="708" w:gutter="0"/>
          <w:cols w:space="720"/>
          <w:docGrid w:linePitch="360"/>
        </w:sectPr>
      </w:pPr>
      <w:r>
        <w:rPr>
          <w:rFonts w:eastAsia="Times New Roman"/>
          <w:sz w:val="24"/>
          <w:szCs w:val="24"/>
        </w:rPr>
        <w:t>Abbreviations: CI, confidence interval; FT4, free thyroxine; HR, hazard ratio; SD, standard deviation; TSH, thyroid-stimulating hormone.</w:t>
      </w:r>
    </w:p>
    <w:p w14:paraId="40429C79" w14:textId="77777777" w:rsidR="009D459F" w:rsidRPr="00520AB1" w:rsidRDefault="00B00F83" w:rsidP="00520AB1">
      <w:pPr>
        <w:spacing w:before="240" w:after="120" w:line="480" w:lineRule="auto"/>
        <w:jc w:val="both"/>
        <w:rPr>
          <w:sz w:val="24"/>
          <w:szCs w:val="24"/>
        </w:rPr>
      </w:pPr>
      <w:r>
        <w:rPr>
          <w:rFonts w:eastAsia="Arial"/>
          <w:b/>
          <w:bCs/>
          <w:sz w:val="24"/>
          <w:szCs w:val="24"/>
        </w:rPr>
        <w:lastRenderedPageBreak/>
        <w:t xml:space="preserve">Supplementary Table S2. </w:t>
      </w:r>
      <w:r>
        <w:rPr>
          <w:rFonts w:eastAsia="Arial"/>
          <w:sz w:val="24"/>
          <w:szCs w:val="24"/>
        </w:rPr>
        <w:t>Five-category thyroid function classification with Firth penalized Cox regression (C50-only outcome).</w:t>
      </w:r>
    </w:p>
    <w:tbl>
      <w:tblPr>
        <w:tblW w:w="5000" w:type="pct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76"/>
        <w:gridCol w:w="1012"/>
        <w:gridCol w:w="924"/>
        <w:gridCol w:w="1624"/>
        <w:gridCol w:w="3442"/>
        <w:gridCol w:w="3592"/>
      </w:tblGrid>
      <w:tr w:rsidR="00B965FA" w:rsidRPr="00520AB1" w14:paraId="514A465A" w14:textId="77777777" w:rsidTr="00B965FA">
        <w:trPr>
          <w:tblHeader/>
        </w:trPr>
        <w:tc>
          <w:tcPr>
            <w:tcW w:w="1125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5679B4FB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370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1620F806" w14:textId="77777777" w:rsidR="009D459F" w:rsidRPr="00520AB1" w:rsidRDefault="00B00F83" w:rsidP="00B965FA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338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09D7B4CE" w14:textId="77777777" w:rsidR="009D459F" w:rsidRPr="00520AB1" w:rsidRDefault="00B00F83" w:rsidP="00B965FA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Events</w:t>
            </w:r>
          </w:p>
        </w:tc>
        <w:tc>
          <w:tcPr>
            <w:tcW w:w="594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33400646" w14:textId="77777777" w:rsidR="009D459F" w:rsidRPr="00520AB1" w:rsidRDefault="00B00F83" w:rsidP="00B965FA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IR / 1,000 PY</w:t>
            </w:r>
          </w:p>
        </w:tc>
        <w:tc>
          <w:tcPr>
            <w:tcW w:w="1259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3A3D7130" w14:textId="77777777" w:rsidR="009D459F" w:rsidRPr="00520AB1" w:rsidRDefault="00B00F83" w:rsidP="00B965FA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 xml:space="preserve">Standard Cox HR (95% CI), </w:t>
            </w:r>
            <w:r>
              <w:rPr>
                <w:rFonts w:eastAsia="Arial"/>
                <w:b/>
                <w:bCs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314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622C1C65" w14:textId="77777777" w:rsidR="009D459F" w:rsidRPr="00520AB1" w:rsidRDefault="00B00F83" w:rsidP="00B965FA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 xml:space="preserve">Firth Penalized HR (95% CI), </w:t>
            </w:r>
            <w:r>
              <w:rPr>
                <w:rFonts w:eastAsia="Arial"/>
                <w:b/>
                <w:bCs/>
                <w:i/>
                <w:iCs/>
                <w:sz w:val="24"/>
                <w:szCs w:val="24"/>
              </w:rPr>
              <w:t>p</w:t>
            </w:r>
          </w:p>
        </w:tc>
      </w:tr>
      <w:tr w:rsidR="009D459F" w:rsidRPr="00520AB1" w14:paraId="25E64FF6" w14:textId="77777777" w:rsidTr="00B965FA">
        <w:tc>
          <w:tcPr>
            <w:tcW w:w="1125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2979C79C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Euthyroid (Ref)</w:t>
            </w:r>
          </w:p>
        </w:tc>
        <w:tc>
          <w:tcPr>
            <w:tcW w:w="370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EB6824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150,068</w:t>
            </w:r>
          </w:p>
        </w:tc>
        <w:tc>
          <w:tcPr>
            <w:tcW w:w="338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06F6F5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1,249</w:t>
            </w:r>
          </w:p>
        </w:tc>
        <w:tc>
          <w:tcPr>
            <w:tcW w:w="594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3CF297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1.20</w:t>
            </w:r>
          </w:p>
        </w:tc>
        <w:tc>
          <w:tcPr>
            <w:tcW w:w="1259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335FAD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1.00 (Ref)</w:t>
            </w:r>
          </w:p>
        </w:tc>
        <w:tc>
          <w:tcPr>
            <w:tcW w:w="1314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EA3B01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1.00 (Ref)</w:t>
            </w:r>
          </w:p>
        </w:tc>
      </w:tr>
      <w:tr w:rsidR="009D459F" w:rsidRPr="00520AB1" w14:paraId="3B9FABBD" w14:textId="77777777" w:rsidTr="00B965FA">
        <w:tc>
          <w:tcPr>
            <w:tcW w:w="1125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0F96457F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Subclinical Hypothyroidism</w:t>
            </w:r>
          </w:p>
        </w:tc>
        <w:tc>
          <w:tcPr>
            <w:tcW w:w="370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F4C44C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8,914</w:t>
            </w:r>
          </w:p>
        </w:tc>
        <w:tc>
          <w:tcPr>
            <w:tcW w:w="338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1B6310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78</w:t>
            </w:r>
          </w:p>
        </w:tc>
        <w:tc>
          <w:tcPr>
            <w:tcW w:w="59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B43347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1.29</w:t>
            </w:r>
          </w:p>
        </w:tc>
        <w:tc>
          <w:tcPr>
            <w:tcW w:w="1259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201C2A" w14:textId="32A4C43E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1.03 (0.81–1.32), </w:t>
            </w:r>
            <w:r>
              <w:rPr>
                <w:rFonts w:eastAsia="Arial"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sz w:val="24"/>
                <w:szCs w:val="24"/>
              </w:rPr>
              <w:t xml:space="preserve"> = .797</w:t>
            </w:r>
          </w:p>
        </w:tc>
        <w:tc>
          <w:tcPr>
            <w:tcW w:w="131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E523EA" w14:textId="50DB1808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1.04 (0.81–1.31), </w:t>
            </w:r>
            <w:r>
              <w:rPr>
                <w:rFonts w:eastAsia="Arial"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sz w:val="24"/>
                <w:szCs w:val="24"/>
              </w:rPr>
              <w:t xml:space="preserve"> = .756</w:t>
            </w:r>
          </w:p>
        </w:tc>
      </w:tr>
      <w:tr w:rsidR="009D459F" w:rsidRPr="00520AB1" w14:paraId="69334C4B" w14:textId="77777777" w:rsidTr="00B965FA">
        <w:tc>
          <w:tcPr>
            <w:tcW w:w="1125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778C426E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Overt Hypothyroidism</w:t>
            </w:r>
          </w:p>
        </w:tc>
        <w:tc>
          <w:tcPr>
            <w:tcW w:w="370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DD6ED2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1,310</w:t>
            </w:r>
          </w:p>
        </w:tc>
        <w:tc>
          <w:tcPr>
            <w:tcW w:w="338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F147AD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4</w:t>
            </w:r>
          </w:p>
        </w:tc>
        <w:tc>
          <w:tcPr>
            <w:tcW w:w="59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57AC6F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0.42</w:t>
            </w:r>
          </w:p>
        </w:tc>
        <w:tc>
          <w:tcPr>
            <w:tcW w:w="1259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7F1071" w14:textId="76095C55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 xml:space="preserve">0.35 (0.13–0.94), </w:t>
            </w:r>
            <w:r>
              <w:rPr>
                <w:rFonts w:eastAsia="Arial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 = .037</w:t>
            </w:r>
          </w:p>
        </w:tc>
        <w:tc>
          <w:tcPr>
            <w:tcW w:w="131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A68B1B" w14:textId="0035DE3A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 xml:space="preserve">0.40 (0.13–0.89), </w:t>
            </w:r>
            <w:r>
              <w:rPr>
                <w:rFonts w:eastAsia="Arial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 = .021</w:t>
            </w:r>
          </w:p>
        </w:tc>
      </w:tr>
      <w:tr w:rsidR="009D459F" w:rsidRPr="00520AB1" w14:paraId="75502103" w14:textId="77777777" w:rsidTr="00B965FA">
        <w:tc>
          <w:tcPr>
            <w:tcW w:w="1125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7002D001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Subclinical Hyperthyroidism</w:t>
            </w:r>
          </w:p>
        </w:tc>
        <w:tc>
          <w:tcPr>
            <w:tcW w:w="370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F2B2BF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1,269</w:t>
            </w:r>
          </w:p>
        </w:tc>
        <w:tc>
          <w:tcPr>
            <w:tcW w:w="338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C010F2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5</w:t>
            </w:r>
          </w:p>
        </w:tc>
        <w:tc>
          <w:tcPr>
            <w:tcW w:w="59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56D94C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0.54</w:t>
            </w:r>
          </w:p>
        </w:tc>
        <w:tc>
          <w:tcPr>
            <w:tcW w:w="1259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DB1A18" w14:textId="6028129A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 xml:space="preserve">0.30 (0.10–0.94), </w:t>
            </w:r>
            <w:r>
              <w:rPr>
                <w:rFonts w:eastAsia="Arial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 = .040</w:t>
            </w:r>
          </w:p>
        </w:tc>
        <w:tc>
          <w:tcPr>
            <w:tcW w:w="131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84CA43" w14:textId="2D9AF91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 xml:space="preserve">0.35 (0.10–0.87), </w:t>
            </w:r>
            <w:r>
              <w:rPr>
                <w:rFonts w:eastAsia="Arial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 = .020</w:t>
            </w:r>
          </w:p>
        </w:tc>
      </w:tr>
      <w:tr w:rsidR="009D459F" w:rsidRPr="00520AB1" w14:paraId="44E20706" w14:textId="77777777" w:rsidTr="00B965FA">
        <w:tc>
          <w:tcPr>
            <w:tcW w:w="1125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1E0F6488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Overt Hyperthyroidism</w:t>
            </w:r>
          </w:p>
        </w:tc>
        <w:tc>
          <w:tcPr>
            <w:tcW w:w="370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90735F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1,197</w:t>
            </w:r>
          </w:p>
        </w:tc>
        <w:tc>
          <w:tcPr>
            <w:tcW w:w="338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A6E5AA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11</w:t>
            </w:r>
          </w:p>
        </w:tc>
        <w:tc>
          <w:tcPr>
            <w:tcW w:w="59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C5A903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1.22</w:t>
            </w:r>
          </w:p>
        </w:tc>
        <w:tc>
          <w:tcPr>
            <w:tcW w:w="1259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F1B47B" w14:textId="7C5E832C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0.99 (0.53–1.85), </w:t>
            </w:r>
            <w:r>
              <w:rPr>
                <w:rFonts w:eastAsia="Arial"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sz w:val="24"/>
                <w:szCs w:val="24"/>
              </w:rPr>
              <w:t xml:space="preserve"> = .980</w:t>
            </w:r>
          </w:p>
        </w:tc>
        <w:tc>
          <w:tcPr>
            <w:tcW w:w="131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A584BD" w14:textId="2D52ACAB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1.04 (0.53–1.81), </w:t>
            </w:r>
            <w:r>
              <w:rPr>
                <w:rFonts w:eastAsia="Arial"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sz w:val="24"/>
                <w:szCs w:val="24"/>
              </w:rPr>
              <w:t xml:space="preserve"> = .897</w:t>
            </w:r>
          </w:p>
        </w:tc>
      </w:tr>
    </w:tbl>
    <w:p w14:paraId="5939759A" w14:textId="028FBDC0" w:rsidR="005B7A52" w:rsidRDefault="00B526C0" w:rsidP="00520AB1">
      <w:pPr>
        <w:spacing w:before="60" w:after="240" w:line="48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Note</w:t>
      </w:r>
      <w:r>
        <w:rPr>
          <w:rFonts w:eastAsia="Times New Roman"/>
          <w:sz w:val="24"/>
          <w:szCs w:val="24"/>
        </w:rPr>
        <w:t xml:space="preserve">: Firth penalized Cox regression applied to sparse cells (events &lt; 10) to correct for small-sample bias in maximum likelihood estimation. C50-only outcome shown because sparse-cell event counts (n = 4–5 for Overt Hypothyroidism and Subclinical Hyperthyroidism) are most pronounced under this outcome definition; C50+D05 estimates were directionally consistent but did not reach statistical significance for any category. Model 2 covariate adjustment. </w:t>
      </w:r>
    </w:p>
    <w:p w14:paraId="2E344C25" w14:textId="0C617B9A" w:rsidR="009D459F" w:rsidRPr="00520AB1" w:rsidRDefault="005B7A52" w:rsidP="00520AB1">
      <w:pPr>
        <w:spacing w:before="60" w:after="240" w:line="480" w:lineRule="auto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Abbreviations: CI, confidence interval; HR, hazard ratio; IR, incidence rate; PY, person-years.</w:t>
      </w:r>
    </w:p>
    <w:p w14:paraId="2759EE8D" w14:textId="77777777" w:rsidR="009D459F" w:rsidRPr="00520AB1" w:rsidRDefault="00B00F83" w:rsidP="00520AB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0215929" w14:textId="77777777" w:rsidR="009D459F" w:rsidRPr="00520AB1" w:rsidRDefault="00B00F83" w:rsidP="00520AB1">
      <w:pPr>
        <w:spacing w:before="240" w:after="120" w:line="480" w:lineRule="auto"/>
        <w:jc w:val="both"/>
        <w:rPr>
          <w:sz w:val="24"/>
          <w:szCs w:val="24"/>
        </w:rPr>
      </w:pPr>
      <w:r>
        <w:rPr>
          <w:rFonts w:eastAsia="Arial"/>
          <w:b/>
          <w:bCs/>
          <w:sz w:val="24"/>
          <w:szCs w:val="24"/>
        </w:rPr>
        <w:lastRenderedPageBreak/>
        <w:t xml:space="preserve">Supplementary Table S3. </w:t>
      </w:r>
      <w:r>
        <w:rPr>
          <w:rFonts w:eastAsia="Arial"/>
          <w:sz w:val="24"/>
          <w:szCs w:val="24"/>
        </w:rPr>
        <w:t>Time-varying Cox sensitivity analysis: 12-month exposure lag versus primary 6-month lag (TSH tertile, euthyroid range).</w:t>
      </w:r>
    </w:p>
    <w:tbl>
      <w:tblPr>
        <w:tblW w:w="5000" w:type="pct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5"/>
        <w:gridCol w:w="2499"/>
        <w:gridCol w:w="4413"/>
        <w:gridCol w:w="4413"/>
      </w:tblGrid>
      <w:tr w:rsidR="00B965FA" w:rsidRPr="00520AB1" w14:paraId="7CCC01A9" w14:textId="77777777" w:rsidTr="00B965FA">
        <w:trPr>
          <w:tblHeader/>
        </w:trPr>
        <w:tc>
          <w:tcPr>
            <w:tcW w:w="858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5A664DBD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TSH tertile</w:t>
            </w:r>
          </w:p>
        </w:tc>
        <w:tc>
          <w:tcPr>
            <w:tcW w:w="914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21C12F51" w14:textId="77777777" w:rsidR="009D459F" w:rsidRPr="00520AB1" w:rsidRDefault="00B00F83" w:rsidP="00B965FA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Outcome</w:t>
            </w:r>
          </w:p>
        </w:tc>
        <w:tc>
          <w:tcPr>
            <w:tcW w:w="1614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0B41003C" w14:textId="77777777" w:rsidR="009D459F" w:rsidRPr="00520AB1" w:rsidRDefault="00B00F83" w:rsidP="00B965FA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 xml:space="preserve">6-month lag HR (95% CI), </w:t>
            </w:r>
            <w:r>
              <w:rPr>
                <w:rFonts w:eastAsia="Arial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 (primary)</w:t>
            </w:r>
          </w:p>
        </w:tc>
        <w:tc>
          <w:tcPr>
            <w:tcW w:w="1614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57B2AE0D" w14:textId="77777777" w:rsidR="009D459F" w:rsidRPr="00520AB1" w:rsidRDefault="00B00F83" w:rsidP="00B965FA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 xml:space="preserve">12-month lag HR (95% CI), </w:t>
            </w:r>
            <w:r>
              <w:rPr>
                <w:rFonts w:eastAsia="Arial"/>
                <w:b/>
                <w:bCs/>
                <w:i/>
                <w:iCs/>
                <w:sz w:val="24"/>
                <w:szCs w:val="24"/>
              </w:rPr>
              <w:t>p</w:t>
            </w:r>
          </w:p>
        </w:tc>
      </w:tr>
      <w:tr w:rsidR="00B965FA" w:rsidRPr="00520AB1" w14:paraId="27CF5197" w14:textId="77777777" w:rsidTr="00B965FA">
        <w:tc>
          <w:tcPr>
            <w:tcW w:w="858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3968A189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T1 (≤1.52)</w:t>
            </w:r>
          </w:p>
        </w:tc>
        <w:tc>
          <w:tcPr>
            <w:tcW w:w="914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09E965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C50+D05</w:t>
            </w:r>
          </w:p>
        </w:tc>
        <w:tc>
          <w:tcPr>
            <w:tcW w:w="1614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4BC5B8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1.00 (Ref)</w:t>
            </w:r>
          </w:p>
        </w:tc>
        <w:tc>
          <w:tcPr>
            <w:tcW w:w="1614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ED11C4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1.00 (Ref)</w:t>
            </w:r>
          </w:p>
        </w:tc>
      </w:tr>
      <w:tr w:rsidR="00B965FA" w:rsidRPr="00520AB1" w14:paraId="78BD0799" w14:textId="77777777" w:rsidTr="00B965FA">
        <w:tc>
          <w:tcPr>
            <w:tcW w:w="858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5779C8F9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T2 (1.52–2.42)</w:t>
            </w:r>
          </w:p>
        </w:tc>
        <w:tc>
          <w:tcPr>
            <w:tcW w:w="91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1FDE5B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C50+D05</w:t>
            </w:r>
          </w:p>
        </w:tc>
        <w:tc>
          <w:tcPr>
            <w:tcW w:w="161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A24A76" w14:textId="47B231C9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0.99 (0.87–1.11), </w:t>
            </w:r>
            <w:r>
              <w:rPr>
                <w:rFonts w:eastAsia="Arial"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sz w:val="24"/>
                <w:szCs w:val="24"/>
              </w:rPr>
              <w:t xml:space="preserve"> = .825</w:t>
            </w:r>
          </w:p>
        </w:tc>
        <w:tc>
          <w:tcPr>
            <w:tcW w:w="161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0F5F04" w14:textId="281A3461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0.98 (0.87–1.11), </w:t>
            </w:r>
            <w:r>
              <w:rPr>
                <w:rFonts w:eastAsia="Arial"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sz w:val="24"/>
                <w:szCs w:val="24"/>
              </w:rPr>
              <w:t xml:space="preserve"> = .765</w:t>
            </w:r>
          </w:p>
        </w:tc>
      </w:tr>
      <w:tr w:rsidR="00B965FA" w:rsidRPr="00520AB1" w14:paraId="32B7BC08" w14:textId="77777777" w:rsidTr="00B965FA">
        <w:tc>
          <w:tcPr>
            <w:tcW w:w="858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06D96F0C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T3 (≥2.42)</w:t>
            </w:r>
          </w:p>
        </w:tc>
        <w:tc>
          <w:tcPr>
            <w:tcW w:w="91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85D994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C50+D05</w:t>
            </w:r>
          </w:p>
        </w:tc>
        <w:tc>
          <w:tcPr>
            <w:tcW w:w="161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F8E1C6" w14:textId="23B3E703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0.90 (0.80–1.02), </w:t>
            </w:r>
            <w:r>
              <w:rPr>
                <w:rFonts w:eastAsia="Arial"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sz w:val="24"/>
                <w:szCs w:val="24"/>
              </w:rPr>
              <w:t xml:space="preserve"> = .096</w:t>
            </w:r>
          </w:p>
        </w:tc>
        <w:tc>
          <w:tcPr>
            <w:tcW w:w="161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FA4F0F" w14:textId="1058437C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0.91 (0.80–1.03), </w:t>
            </w:r>
            <w:r>
              <w:rPr>
                <w:rFonts w:eastAsia="Arial"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sz w:val="24"/>
                <w:szCs w:val="24"/>
              </w:rPr>
              <w:t xml:space="preserve"> = .147</w:t>
            </w:r>
          </w:p>
        </w:tc>
      </w:tr>
      <w:tr w:rsidR="00B965FA" w:rsidRPr="00520AB1" w14:paraId="1127B6F8" w14:textId="77777777" w:rsidTr="00B965FA">
        <w:tc>
          <w:tcPr>
            <w:tcW w:w="858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4DB5409E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T1 (≤1.52)</w:t>
            </w:r>
          </w:p>
        </w:tc>
        <w:tc>
          <w:tcPr>
            <w:tcW w:w="91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7CD2B4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C50-only</w:t>
            </w:r>
          </w:p>
        </w:tc>
        <w:tc>
          <w:tcPr>
            <w:tcW w:w="161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AC0D0B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1.00 (Ref)</w:t>
            </w:r>
          </w:p>
        </w:tc>
        <w:tc>
          <w:tcPr>
            <w:tcW w:w="161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7D4E09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1.00 (Ref)</w:t>
            </w:r>
          </w:p>
        </w:tc>
      </w:tr>
      <w:tr w:rsidR="00B965FA" w:rsidRPr="00520AB1" w14:paraId="2FCA1DE9" w14:textId="77777777" w:rsidTr="00B965FA">
        <w:tc>
          <w:tcPr>
            <w:tcW w:w="858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3BA2F9C6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T2 (1.52–2.42)</w:t>
            </w:r>
          </w:p>
        </w:tc>
        <w:tc>
          <w:tcPr>
            <w:tcW w:w="91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54E4D0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C50-only</w:t>
            </w:r>
          </w:p>
        </w:tc>
        <w:tc>
          <w:tcPr>
            <w:tcW w:w="161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DAEF22" w14:textId="0B570051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0.97 (0.84–1.12), </w:t>
            </w:r>
            <w:r>
              <w:rPr>
                <w:rFonts w:eastAsia="Arial"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sz w:val="24"/>
                <w:szCs w:val="24"/>
              </w:rPr>
              <w:t xml:space="preserve"> = .696</w:t>
            </w:r>
          </w:p>
        </w:tc>
        <w:tc>
          <w:tcPr>
            <w:tcW w:w="161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14B0A9" w14:textId="2521A226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0.95 (0.82–1.10), </w:t>
            </w:r>
            <w:r>
              <w:rPr>
                <w:rFonts w:eastAsia="Arial"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sz w:val="24"/>
                <w:szCs w:val="24"/>
              </w:rPr>
              <w:t xml:space="preserve"> = .475</w:t>
            </w:r>
          </w:p>
        </w:tc>
      </w:tr>
      <w:tr w:rsidR="00B965FA" w:rsidRPr="00520AB1" w14:paraId="0BE1235D" w14:textId="77777777" w:rsidTr="00B965FA">
        <w:tc>
          <w:tcPr>
            <w:tcW w:w="858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77EA374D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T3 (≥2.42)</w:t>
            </w:r>
          </w:p>
        </w:tc>
        <w:tc>
          <w:tcPr>
            <w:tcW w:w="91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5885FF" w14:textId="77777777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C50-only</w:t>
            </w:r>
          </w:p>
        </w:tc>
        <w:tc>
          <w:tcPr>
            <w:tcW w:w="161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197FBF" w14:textId="069B3543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0.89 (0.77–1.03), </w:t>
            </w:r>
            <w:r>
              <w:rPr>
                <w:rFonts w:eastAsia="Arial"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sz w:val="24"/>
                <w:szCs w:val="24"/>
              </w:rPr>
              <w:t xml:space="preserve"> = .104</w:t>
            </w:r>
          </w:p>
        </w:tc>
        <w:tc>
          <w:tcPr>
            <w:tcW w:w="161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46A2D2" w14:textId="165644D4" w:rsidR="009D459F" w:rsidRPr="00520AB1" w:rsidRDefault="00B00F83" w:rsidP="00B965FA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0.91 (0.78–1.05), </w:t>
            </w:r>
            <w:r>
              <w:rPr>
                <w:rFonts w:eastAsia="Arial"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sz w:val="24"/>
                <w:szCs w:val="24"/>
              </w:rPr>
              <w:t xml:space="preserve"> = .184</w:t>
            </w:r>
          </w:p>
        </w:tc>
      </w:tr>
    </w:tbl>
    <w:p w14:paraId="2819AC9E" w14:textId="7BC77869" w:rsidR="005B7A52" w:rsidRDefault="00B526C0" w:rsidP="00520AB1">
      <w:pPr>
        <w:spacing w:before="60" w:after="240" w:line="480" w:lineRule="auto"/>
        <w:jc w:val="both"/>
        <w:rPr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Note</w:t>
      </w:r>
      <w:r>
        <w:rPr>
          <w:rFonts w:eastAsia="Times New Roman"/>
          <w:sz w:val="24"/>
          <w:szCs w:val="24"/>
        </w:rPr>
        <w:t xml:space="preserve">: Time-varying Cox models with counting-process data structure. The 6-month exposure lag (primary specification) was extended to 12 months as a sensitivity analysis to assess robustness to reverse-causation concerns. Estimates were essentially unchanged. Model 2 covariate adjustment. </w:t>
      </w:r>
    </w:p>
    <w:p w14:paraId="6B5DD6CC" w14:textId="77777777" w:rsidR="00B965FA" w:rsidRDefault="005B7A52" w:rsidP="00B965FA">
      <w:pPr>
        <w:spacing w:before="60" w:after="240" w:line="480" w:lineRule="auto"/>
        <w:jc w:val="both"/>
        <w:rPr>
          <w:rFonts w:eastAsia="Times New Roman"/>
          <w:sz w:val="24"/>
          <w:szCs w:val="24"/>
        </w:rPr>
        <w:sectPr w:rsidR="00B965FA" w:rsidSect="005B7A52">
          <w:pgSz w:w="15840" w:h="12240"/>
          <w:pgMar w:top="1080" w:right="1080" w:bottom="1080" w:left="1080" w:header="708" w:footer="708" w:gutter="0"/>
          <w:cols w:space="720"/>
          <w:docGrid w:linePitch="360"/>
        </w:sectPr>
      </w:pPr>
      <w:r>
        <w:rPr>
          <w:rFonts w:eastAsia="Times New Roman"/>
          <w:sz w:val="24"/>
          <w:szCs w:val="24"/>
        </w:rPr>
        <w:t>Abbreviations: CI, confidence interval; HR, hazard ratio.</w:t>
      </w:r>
    </w:p>
    <w:p w14:paraId="12A52A94" w14:textId="3AEE847F" w:rsidR="009D459F" w:rsidRPr="00B965FA" w:rsidRDefault="00B00F83" w:rsidP="00B965FA">
      <w:pPr>
        <w:spacing w:before="60" w:after="240" w:line="480" w:lineRule="auto"/>
        <w:jc w:val="both"/>
        <w:rPr>
          <w:sz w:val="24"/>
          <w:szCs w:val="24"/>
        </w:rPr>
      </w:pPr>
      <w:r>
        <w:rPr>
          <w:rFonts w:eastAsia="Arial"/>
          <w:b/>
          <w:bCs/>
          <w:sz w:val="24"/>
          <w:szCs w:val="24"/>
        </w:rPr>
        <w:lastRenderedPageBreak/>
        <w:t xml:space="preserve">Supplementary Table S4. </w:t>
      </w:r>
      <w:r>
        <w:rPr>
          <w:rFonts w:eastAsia="Arial"/>
          <w:sz w:val="24"/>
          <w:szCs w:val="24"/>
        </w:rPr>
        <w:t>Sensitivity analysis including thyroid-medication users (excluded a priori in primary analyses).</w:t>
      </w:r>
    </w:p>
    <w:tbl>
      <w:tblPr>
        <w:tblW w:w="5000" w:type="pct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0"/>
        <w:gridCol w:w="1742"/>
        <w:gridCol w:w="3541"/>
        <w:gridCol w:w="3538"/>
        <w:gridCol w:w="1739"/>
      </w:tblGrid>
      <w:tr w:rsidR="00856C76" w:rsidRPr="00520AB1" w14:paraId="17E76DD7" w14:textId="77777777" w:rsidTr="00856C76">
        <w:trPr>
          <w:tblHeader/>
        </w:trPr>
        <w:tc>
          <w:tcPr>
            <w:tcW w:w="1138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655F3885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TSH tertile</w:t>
            </w:r>
          </w:p>
        </w:tc>
        <w:tc>
          <w:tcPr>
            <w:tcW w:w="637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11082E78" w14:textId="77777777" w:rsidR="009D459F" w:rsidRPr="00520AB1" w:rsidRDefault="00B00F83" w:rsidP="00856C76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Outcome</w:t>
            </w:r>
          </w:p>
        </w:tc>
        <w:tc>
          <w:tcPr>
            <w:tcW w:w="1295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01EB7782" w14:textId="77777777" w:rsidR="009D459F" w:rsidRPr="00520AB1" w:rsidRDefault="00B00F83" w:rsidP="00856C76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Primary excl. (n=139,324)</w:t>
            </w:r>
          </w:p>
        </w:tc>
        <w:tc>
          <w:tcPr>
            <w:tcW w:w="1294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41545566" w14:textId="77777777" w:rsidR="009D459F" w:rsidRPr="00520AB1" w:rsidRDefault="00B00F83" w:rsidP="00856C76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Incl. thyroid med (n=141,211)</w:t>
            </w:r>
          </w:p>
        </w:tc>
        <w:tc>
          <w:tcPr>
            <w:tcW w:w="636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5B5CF31C" w14:textId="77777777" w:rsidR="009D459F" w:rsidRPr="00520AB1" w:rsidRDefault="00B00F83" w:rsidP="00856C76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Difference</w:t>
            </w:r>
          </w:p>
        </w:tc>
      </w:tr>
      <w:tr w:rsidR="00856C76" w:rsidRPr="00520AB1" w14:paraId="18704AD6" w14:textId="77777777" w:rsidTr="00856C76">
        <w:tc>
          <w:tcPr>
            <w:tcW w:w="1138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246D7D77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T2 (1.52–2.42)</w:t>
            </w:r>
          </w:p>
        </w:tc>
        <w:tc>
          <w:tcPr>
            <w:tcW w:w="637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730617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C50-only</w:t>
            </w:r>
          </w:p>
        </w:tc>
        <w:tc>
          <w:tcPr>
            <w:tcW w:w="1295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BD5B40" w14:textId="20237003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0.93 (0.81–1.07), </w:t>
            </w:r>
            <w:r>
              <w:rPr>
                <w:rFonts w:eastAsia="Arial"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sz w:val="24"/>
                <w:szCs w:val="24"/>
              </w:rPr>
              <w:t xml:space="preserve"> = .298</w:t>
            </w:r>
          </w:p>
        </w:tc>
        <w:tc>
          <w:tcPr>
            <w:tcW w:w="1294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627740" w14:textId="4129A8E9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0.94 (0.81–1.08), </w:t>
            </w:r>
            <w:r>
              <w:rPr>
                <w:rFonts w:eastAsia="Arial"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sz w:val="24"/>
                <w:szCs w:val="24"/>
              </w:rPr>
              <w:t xml:space="preserve"> = .348</w:t>
            </w:r>
          </w:p>
        </w:tc>
        <w:tc>
          <w:tcPr>
            <w:tcW w:w="636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85934A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Negligible</w:t>
            </w:r>
          </w:p>
        </w:tc>
      </w:tr>
      <w:tr w:rsidR="00856C76" w:rsidRPr="00520AB1" w14:paraId="233DCEE6" w14:textId="77777777" w:rsidTr="00856C76">
        <w:tc>
          <w:tcPr>
            <w:tcW w:w="1138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26F3BC20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T3 (≥2.42)</w:t>
            </w:r>
          </w:p>
        </w:tc>
        <w:tc>
          <w:tcPr>
            <w:tcW w:w="637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84DCEE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C50-only</w:t>
            </w:r>
          </w:p>
        </w:tc>
        <w:tc>
          <w:tcPr>
            <w:tcW w:w="1295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1C9756" w14:textId="0A8CE076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0.88 (0.76–1.01), </w:t>
            </w:r>
            <w:r>
              <w:rPr>
                <w:rFonts w:eastAsia="Arial"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sz w:val="24"/>
                <w:szCs w:val="24"/>
              </w:rPr>
              <w:t xml:space="preserve"> = .068</w:t>
            </w:r>
          </w:p>
        </w:tc>
        <w:tc>
          <w:tcPr>
            <w:tcW w:w="129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E6A843" w14:textId="7641BEEB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0.89 (0.77–1.02), </w:t>
            </w:r>
            <w:r>
              <w:rPr>
                <w:rFonts w:eastAsia="Arial"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sz w:val="24"/>
                <w:szCs w:val="24"/>
              </w:rPr>
              <w:t xml:space="preserve"> = .091</w:t>
            </w:r>
          </w:p>
        </w:tc>
        <w:tc>
          <w:tcPr>
            <w:tcW w:w="636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D2135D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Negligible</w:t>
            </w:r>
          </w:p>
        </w:tc>
      </w:tr>
      <w:tr w:rsidR="00856C76" w:rsidRPr="00520AB1" w14:paraId="72EA12F0" w14:textId="77777777" w:rsidTr="00856C76">
        <w:tc>
          <w:tcPr>
            <w:tcW w:w="1138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153707A1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T2 (1.52–2.42)</w:t>
            </w:r>
          </w:p>
        </w:tc>
        <w:tc>
          <w:tcPr>
            <w:tcW w:w="637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2C5632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C50+D05</w:t>
            </w:r>
          </w:p>
        </w:tc>
        <w:tc>
          <w:tcPr>
            <w:tcW w:w="1295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F3AA88" w14:textId="598BB946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0.96 (0.85–1.09), </w:t>
            </w:r>
            <w:r>
              <w:rPr>
                <w:rFonts w:eastAsia="Arial"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sz w:val="24"/>
                <w:szCs w:val="24"/>
              </w:rPr>
              <w:t xml:space="preserve"> = .542</w:t>
            </w:r>
          </w:p>
        </w:tc>
        <w:tc>
          <w:tcPr>
            <w:tcW w:w="129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E212AD" w14:textId="53463A20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0.96 (0.85–1.08), </w:t>
            </w:r>
            <w:r>
              <w:rPr>
                <w:rFonts w:eastAsia="Arial"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sz w:val="24"/>
                <w:szCs w:val="24"/>
              </w:rPr>
              <w:t xml:space="preserve"> = .510</w:t>
            </w:r>
          </w:p>
        </w:tc>
        <w:tc>
          <w:tcPr>
            <w:tcW w:w="636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F346A6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Negligible</w:t>
            </w:r>
          </w:p>
        </w:tc>
      </w:tr>
      <w:tr w:rsidR="00856C76" w:rsidRPr="00520AB1" w14:paraId="73386F84" w14:textId="77777777" w:rsidTr="00856C76">
        <w:tc>
          <w:tcPr>
            <w:tcW w:w="1138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18E569B7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T3 (≥2.42)</w:t>
            </w:r>
          </w:p>
        </w:tc>
        <w:tc>
          <w:tcPr>
            <w:tcW w:w="637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1553F1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C50+D05</w:t>
            </w:r>
          </w:p>
        </w:tc>
        <w:tc>
          <w:tcPr>
            <w:tcW w:w="1295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4222D0" w14:textId="604FAB4A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0.95 (0.84–1.07), </w:t>
            </w:r>
            <w:r>
              <w:rPr>
                <w:rFonts w:eastAsia="Arial"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sz w:val="24"/>
                <w:szCs w:val="24"/>
              </w:rPr>
              <w:t xml:space="preserve"> = .403</w:t>
            </w:r>
          </w:p>
        </w:tc>
        <w:tc>
          <w:tcPr>
            <w:tcW w:w="129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3E4C5E" w14:textId="4830C819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 xml:space="preserve">0.95 (0.84–1.07), </w:t>
            </w:r>
            <w:r>
              <w:rPr>
                <w:rFonts w:eastAsia="Arial"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sz w:val="24"/>
                <w:szCs w:val="24"/>
              </w:rPr>
              <w:t xml:space="preserve"> = .372</w:t>
            </w:r>
          </w:p>
        </w:tc>
        <w:tc>
          <w:tcPr>
            <w:tcW w:w="636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04A4F0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Negligible</w:t>
            </w:r>
          </w:p>
        </w:tc>
      </w:tr>
    </w:tbl>
    <w:p w14:paraId="11118227" w14:textId="19598337" w:rsidR="005B7A52" w:rsidRDefault="00B526C0" w:rsidP="00520AB1">
      <w:pPr>
        <w:spacing w:before="60" w:after="240" w:line="48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Note</w:t>
      </w:r>
      <w:r>
        <w:rPr>
          <w:rFonts w:eastAsia="Times New Roman"/>
          <w:sz w:val="24"/>
          <w:szCs w:val="24"/>
        </w:rPr>
        <w:t xml:space="preserve">: Primary analyses excluded participants on thyroid medications (levothyroxine, antithyroid agents, iodine preparations); this sensitivity analysis re-included 1,887 such participants. Effect estimates were essentially unchanged, indicating that the principal exposure-outcome estimates are not materially affected by the medication-exclusion criterion. Model 2 covariate adjustment. Column header N values (139,324 with thyroid-medication users excluded; 141,211 with them included) denote the complete-case participant counts contributing to the respective time-varying TSH-tertile models; their difference equals the 1,887 re-included medication users. </w:t>
      </w:r>
    </w:p>
    <w:p w14:paraId="5E341205" w14:textId="77777777" w:rsidR="00856C76" w:rsidRDefault="005B7A52" w:rsidP="00856C76">
      <w:pPr>
        <w:spacing w:before="60" w:after="240" w:line="480" w:lineRule="auto"/>
        <w:jc w:val="both"/>
        <w:rPr>
          <w:rFonts w:eastAsia="Times New Roman"/>
          <w:sz w:val="24"/>
          <w:szCs w:val="24"/>
        </w:rPr>
        <w:sectPr w:rsidR="00856C76" w:rsidSect="00856C76">
          <w:pgSz w:w="15840" w:h="12240"/>
          <w:pgMar w:top="1080" w:right="1080" w:bottom="1080" w:left="1080" w:header="708" w:footer="708" w:gutter="0"/>
          <w:cols w:space="720"/>
          <w:docGrid w:linePitch="360"/>
        </w:sectPr>
      </w:pPr>
      <w:r>
        <w:rPr>
          <w:rFonts w:eastAsia="Times New Roman"/>
          <w:sz w:val="24"/>
          <w:szCs w:val="24"/>
        </w:rPr>
        <w:t>Abbreviations: CI, confidence interval; HR, hazard ratio.</w:t>
      </w:r>
    </w:p>
    <w:p w14:paraId="0BBB48DE" w14:textId="6CB7B1FC" w:rsidR="009D459F" w:rsidRPr="00856C76" w:rsidRDefault="00B00F83" w:rsidP="00856C76">
      <w:pPr>
        <w:spacing w:before="60" w:after="240" w:line="480" w:lineRule="auto"/>
        <w:jc w:val="both"/>
        <w:rPr>
          <w:sz w:val="24"/>
          <w:szCs w:val="24"/>
        </w:rPr>
      </w:pPr>
      <w:r>
        <w:rPr>
          <w:rFonts w:eastAsia="Arial"/>
          <w:b/>
          <w:bCs/>
          <w:sz w:val="24"/>
          <w:szCs w:val="24"/>
        </w:rPr>
        <w:lastRenderedPageBreak/>
        <w:t xml:space="preserve">Supplementary Table S5. </w:t>
      </w:r>
      <w:r>
        <w:rPr>
          <w:rFonts w:eastAsia="Arial"/>
          <w:sz w:val="24"/>
          <w:szCs w:val="24"/>
        </w:rPr>
        <w:t>TSH and FT4 distributions by examination center.</w:t>
      </w:r>
    </w:p>
    <w:tbl>
      <w:tblPr>
        <w:tblW w:w="5000" w:type="pct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76"/>
        <w:gridCol w:w="1678"/>
        <w:gridCol w:w="3492"/>
        <w:gridCol w:w="3224"/>
      </w:tblGrid>
      <w:tr w:rsidR="00856C76" w:rsidRPr="00520AB1" w14:paraId="3B2678D6" w14:textId="77777777" w:rsidTr="00856C76">
        <w:trPr>
          <w:tblHeader/>
        </w:trPr>
        <w:tc>
          <w:tcPr>
            <w:tcW w:w="832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2AE735DB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Center</w:t>
            </w:r>
          </w:p>
        </w:tc>
        <w:tc>
          <w:tcPr>
            <w:tcW w:w="833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0309D7CC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734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2BA85A4B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TSH (μIU/mL) — Mean ± SD; Median (IQR)</w:t>
            </w:r>
          </w:p>
        </w:tc>
        <w:tc>
          <w:tcPr>
            <w:tcW w:w="1601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749CB707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FT4 (ng/dL) — Mean ± SD; Median (IQR)</w:t>
            </w:r>
          </w:p>
        </w:tc>
      </w:tr>
      <w:tr w:rsidR="00856C76" w:rsidRPr="00520AB1" w14:paraId="670BF973" w14:textId="77777777" w:rsidTr="00856C76">
        <w:tc>
          <w:tcPr>
            <w:tcW w:w="832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4DF675CB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Seoul</w:t>
            </w:r>
          </w:p>
        </w:tc>
        <w:tc>
          <w:tcPr>
            <w:tcW w:w="833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11D49A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70,571</w:t>
            </w:r>
          </w:p>
        </w:tc>
        <w:tc>
          <w:tcPr>
            <w:tcW w:w="1734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15C1FB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2.36 ± 2.70; 1.92 (1.30–2.84)</w:t>
            </w:r>
          </w:p>
        </w:tc>
        <w:tc>
          <w:tcPr>
            <w:tcW w:w="1601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BF9035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1.22 ± 0.23; 1.20 (1.11–1.31)</w:t>
            </w:r>
          </w:p>
        </w:tc>
      </w:tr>
      <w:tr w:rsidR="00856C76" w:rsidRPr="00520AB1" w14:paraId="2E6E312E" w14:textId="77777777" w:rsidTr="00856C76">
        <w:tc>
          <w:tcPr>
            <w:tcW w:w="832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516D9375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Suwon</w:t>
            </w:r>
          </w:p>
        </w:tc>
        <w:tc>
          <w:tcPr>
            <w:tcW w:w="83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BED1CF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92,187</w:t>
            </w:r>
          </w:p>
        </w:tc>
        <w:tc>
          <w:tcPr>
            <w:tcW w:w="173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83D806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2.52 ± 2.96; 2.05 (1.36–3.03)</w:t>
            </w:r>
          </w:p>
        </w:tc>
        <w:tc>
          <w:tcPr>
            <w:tcW w:w="160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0358B0" w14:textId="77777777" w:rsidR="009D459F" w:rsidRPr="00520AB1" w:rsidRDefault="00B00F83" w:rsidP="00856C76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1.24 ± 0.23; 1.22 (1.12–1.33)</w:t>
            </w:r>
          </w:p>
        </w:tc>
      </w:tr>
    </w:tbl>
    <w:p w14:paraId="08C85EEB" w14:textId="3B098AB0" w:rsidR="005B7A52" w:rsidRDefault="00B526C0" w:rsidP="00520AB1">
      <w:pPr>
        <w:spacing w:before="60" w:after="240" w:line="48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Note</w:t>
      </w:r>
      <w:r>
        <w:rPr>
          <w:rFonts w:eastAsia="Times New Roman"/>
          <w:sz w:val="24"/>
          <w:szCs w:val="24"/>
        </w:rPr>
        <w:t xml:space="preserve">: TSH and FT4 distributions are nearly identical between the two KSHS examination centers, supporting pooled analyses with examination center retained as a stratification covariate (see Methods §2.5). </w:t>
      </w:r>
    </w:p>
    <w:p w14:paraId="01BEFB21" w14:textId="77777777" w:rsidR="008634A9" w:rsidRDefault="005B7A52" w:rsidP="00856C76">
      <w:pPr>
        <w:spacing w:before="60" w:after="240" w:line="480" w:lineRule="auto"/>
        <w:jc w:val="both"/>
        <w:rPr>
          <w:rFonts w:eastAsia="Times New Roman"/>
          <w:sz w:val="24"/>
          <w:szCs w:val="24"/>
        </w:rPr>
        <w:sectPr w:rsidR="008634A9" w:rsidSect="00856C76">
          <w:pgSz w:w="12240" w:h="15840" w:orient="landscape"/>
          <w:pgMar w:top="1080" w:right="1080" w:bottom="1080" w:left="1080" w:header="708" w:footer="708" w:gutter="0"/>
          <w:cols w:space="720"/>
          <w:docGrid w:linePitch="360"/>
        </w:sectPr>
      </w:pPr>
      <w:r>
        <w:rPr>
          <w:rFonts w:eastAsia="Times New Roman"/>
          <w:sz w:val="24"/>
          <w:szCs w:val="24"/>
        </w:rPr>
        <w:t>Abbreviations: IQR, interquartile range; SD, standard deviation.</w:t>
      </w:r>
    </w:p>
    <w:p w14:paraId="395F3DFF" w14:textId="6792B1E1" w:rsidR="009D459F" w:rsidRPr="008634A9" w:rsidRDefault="00B00F83" w:rsidP="00856C76">
      <w:pPr>
        <w:spacing w:before="60" w:after="240" w:line="480" w:lineRule="auto"/>
        <w:jc w:val="both"/>
        <w:rPr>
          <w:sz w:val="24"/>
          <w:szCs w:val="24"/>
        </w:rPr>
      </w:pPr>
      <w:r>
        <w:rPr>
          <w:rFonts w:eastAsia="Arial"/>
          <w:b/>
          <w:bCs/>
          <w:sz w:val="24"/>
          <w:szCs w:val="24"/>
        </w:rPr>
        <w:lastRenderedPageBreak/>
        <w:t>Supplementary Table S6</w:t>
      </w:r>
      <w:r>
        <w:rPr>
          <w:rFonts w:eastAsia="Arial"/>
          <w:sz w:val="24"/>
          <w:szCs w:val="24"/>
        </w:rPr>
        <w:t>. Schoenfeld residual tests of proportional hazards assumption (Model 2).</w:t>
      </w:r>
    </w:p>
    <w:tbl>
      <w:tblPr>
        <w:tblW w:w="5000" w:type="pct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41"/>
        <w:gridCol w:w="1496"/>
        <w:gridCol w:w="1498"/>
        <w:gridCol w:w="1635"/>
      </w:tblGrid>
      <w:tr w:rsidR="00992FC7" w:rsidRPr="00520AB1" w14:paraId="145F0417" w14:textId="77777777" w:rsidTr="00992FC7">
        <w:trPr>
          <w:tblHeader/>
        </w:trPr>
        <w:tc>
          <w:tcPr>
            <w:tcW w:w="2701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15DA2ADE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743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6DAB4835" w14:textId="77777777" w:rsidR="009D459F" w:rsidRPr="00520AB1" w:rsidRDefault="00B00F83" w:rsidP="00992FC7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χ²</w:t>
            </w:r>
          </w:p>
        </w:tc>
        <w:tc>
          <w:tcPr>
            <w:tcW w:w="744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5EFE16FB" w14:textId="77777777" w:rsidR="009D459F" w:rsidRPr="00520AB1" w:rsidRDefault="00B00F83" w:rsidP="00992FC7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813" w:type="pct"/>
            <w:tcBorders>
              <w:top w:val="single" w:sz="12" w:space="0" w:color="auto"/>
              <w:bottom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54C49398" w14:textId="61AC2BAC" w:rsidR="009D459F" w:rsidRPr="00520AB1" w:rsidRDefault="00B00F83" w:rsidP="00992FC7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 value</w:t>
            </w:r>
          </w:p>
        </w:tc>
      </w:tr>
      <w:tr w:rsidR="00992FC7" w:rsidRPr="00520AB1" w14:paraId="4F4A74B8" w14:textId="77777777" w:rsidTr="00992FC7">
        <w:tc>
          <w:tcPr>
            <w:tcW w:w="2701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1C2C9FFA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Model A: Thyroid function (3-category)</w:t>
            </w:r>
          </w:p>
        </w:tc>
        <w:tc>
          <w:tcPr>
            <w:tcW w:w="743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020771" w14:textId="77777777" w:rsidR="009D459F" w:rsidRPr="00520AB1" w:rsidRDefault="009D459F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E48126" w14:textId="77777777" w:rsidR="009D459F" w:rsidRPr="00520AB1" w:rsidRDefault="009D459F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single" w:sz="12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3B5577" w14:textId="77777777" w:rsidR="009D459F" w:rsidRPr="00520AB1" w:rsidRDefault="009D459F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992FC7" w:rsidRPr="00520AB1" w14:paraId="4B9F28D1" w14:textId="77777777" w:rsidTr="00992FC7">
        <w:tc>
          <w:tcPr>
            <w:tcW w:w="270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766CA369" w14:textId="4662873A" w:rsidR="009D459F" w:rsidRPr="00520AB1" w:rsidRDefault="00B00F83" w:rsidP="00992FC7">
            <w:pPr>
              <w:spacing w:line="480" w:lineRule="auto"/>
              <w:ind w:firstLineChars="200" w:firstLine="480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thyroid_3cat (exposure)</w:t>
            </w:r>
          </w:p>
        </w:tc>
        <w:tc>
          <w:tcPr>
            <w:tcW w:w="74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C5FAEA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0.11</w:t>
            </w:r>
          </w:p>
        </w:tc>
        <w:tc>
          <w:tcPr>
            <w:tcW w:w="74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37C1F2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2</w:t>
            </w:r>
          </w:p>
        </w:tc>
        <w:tc>
          <w:tcPr>
            <w:tcW w:w="81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1819B6" w14:textId="78CF994A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 xml:space="preserve">.945 </w:t>
            </w:r>
            <w:r>
              <w:rPr>
                <w:rFonts w:ascii="MS Gothic" w:eastAsia="MS Gothic" w:hAnsi="MS Gothic" w:cs="MS Gothic" w:hint="eastAsia"/>
                <w:b/>
                <w:bCs/>
                <w:sz w:val="24"/>
                <w:szCs w:val="24"/>
              </w:rPr>
              <w:t>✓</w:t>
            </w:r>
          </w:p>
        </w:tc>
      </w:tr>
      <w:tr w:rsidR="00992FC7" w:rsidRPr="00520AB1" w14:paraId="2D7390FB" w14:textId="77777777" w:rsidTr="00992FC7">
        <w:tc>
          <w:tcPr>
            <w:tcW w:w="270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33EDC1A1" w14:textId="72FB4AEB" w:rsidR="009D459F" w:rsidRPr="00520AB1" w:rsidRDefault="00B00F83" w:rsidP="00992FC7">
            <w:pPr>
              <w:spacing w:line="480" w:lineRule="auto"/>
              <w:ind w:firstLineChars="200" w:firstLine="480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age</w:t>
            </w:r>
          </w:p>
        </w:tc>
        <w:tc>
          <w:tcPr>
            <w:tcW w:w="74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29FFF3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25.93</w:t>
            </w:r>
          </w:p>
        </w:tc>
        <w:tc>
          <w:tcPr>
            <w:tcW w:w="74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4CEB8A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</w:t>
            </w:r>
          </w:p>
        </w:tc>
        <w:tc>
          <w:tcPr>
            <w:tcW w:w="81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F4D3F1" w14:textId="4F389D8C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&lt;.001</w:t>
            </w:r>
          </w:p>
        </w:tc>
      </w:tr>
      <w:tr w:rsidR="00992FC7" w:rsidRPr="00520AB1" w14:paraId="462E3F54" w14:textId="77777777" w:rsidTr="00992FC7">
        <w:tc>
          <w:tcPr>
            <w:tcW w:w="270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458DAB26" w14:textId="2D761EAC" w:rsidR="009D459F" w:rsidRPr="00520AB1" w:rsidRDefault="00B00F83" w:rsidP="00992FC7">
            <w:pPr>
              <w:spacing w:line="480" w:lineRule="auto"/>
              <w:ind w:firstLineChars="200" w:firstLine="480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examination center</w:t>
            </w:r>
          </w:p>
        </w:tc>
        <w:tc>
          <w:tcPr>
            <w:tcW w:w="74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EBB2F5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0.14</w:t>
            </w:r>
          </w:p>
        </w:tc>
        <w:tc>
          <w:tcPr>
            <w:tcW w:w="74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3D5F41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</w:t>
            </w:r>
          </w:p>
        </w:tc>
        <w:tc>
          <w:tcPr>
            <w:tcW w:w="81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7C4349" w14:textId="4A00F2D4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.710</w:t>
            </w:r>
          </w:p>
        </w:tc>
      </w:tr>
      <w:tr w:rsidR="00992FC7" w:rsidRPr="00520AB1" w14:paraId="42117CC6" w14:textId="77777777" w:rsidTr="00992FC7">
        <w:tc>
          <w:tcPr>
            <w:tcW w:w="270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7740646F" w14:textId="788ED4CF" w:rsidR="009D459F" w:rsidRPr="00520AB1" w:rsidRDefault="00B00F83" w:rsidP="00992FC7">
            <w:pPr>
              <w:spacing w:line="480" w:lineRule="auto"/>
              <w:ind w:firstLineChars="200" w:firstLine="480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examination year</w:t>
            </w:r>
          </w:p>
        </w:tc>
        <w:tc>
          <w:tcPr>
            <w:tcW w:w="74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59FE3E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0.00</w:t>
            </w:r>
          </w:p>
        </w:tc>
        <w:tc>
          <w:tcPr>
            <w:tcW w:w="74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7B7D8C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</w:t>
            </w:r>
          </w:p>
        </w:tc>
        <w:tc>
          <w:tcPr>
            <w:tcW w:w="81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8C226C" w14:textId="2170893B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.956</w:t>
            </w:r>
          </w:p>
        </w:tc>
      </w:tr>
      <w:tr w:rsidR="00992FC7" w:rsidRPr="00520AB1" w14:paraId="77244680" w14:textId="77777777" w:rsidTr="00992FC7">
        <w:tc>
          <w:tcPr>
            <w:tcW w:w="270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33EC9537" w14:textId="47D7194E" w:rsidR="009D459F" w:rsidRPr="00520AB1" w:rsidRDefault="00B00F83" w:rsidP="00992FC7">
            <w:pPr>
              <w:spacing w:line="480" w:lineRule="auto"/>
              <w:ind w:firstLineChars="200" w:firstLine="480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body mass index</w:t>
            </w:r>
          </w:p>
        </w:tc>
        <w:tc>
          <w:tcPr>
            <w:tcW w:w="74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253E4B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1.14</w:t>
            </w:r>
          </w:p>
        </w:tc>
        <w:tc>
          <w:tcPr>
            <w:tcW w:w="74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D37886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</w:t>
            </w:r>
          </w:p>
        </w:tc>
        <w:tc>
          <w:tcPr>
            <w:tcW w:w="81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C365C7" w14:textId="754D6A95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.285</w:t>
            </w:r>
          </w:p>
        </w:tc>
      </w:tr>
      <w:tr w:rsidR="00992FC7" w:rsidRPr="00520AB1" w14:paraId="64E437BC" w14:textId="77777777" w:rsidTr="00992FC7">
        <w:tc>
          <w:tcPr>
            <w:tcW w:w="270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45B19A14" w14:textId="7435EE7D" w:rsidR="009D459F" w:rsidRPr="00520AB1" w:rsidRDefault="00B00F83" w:rsidP="00992FC7">
            <w:pPr>
              <w:spacing w:line="480" w:lineRule="auto"/>
              <w:ind w:firstLineChars="200" w:firstLine="480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postmenopausal status</w:t>
            </w:r>
          </w:p>
        </w:tc>
        <w:tc>
          <w:tcPr>
            <w:tcW w:w="74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70DB97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0.30</w:t>
            </w:r>
          </w:p>
        </w:tc>
        <w:tc>
          <w:tcPr>
            <w:tcW w:w="74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A50008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</w:t>
            </w:r>
          </w:p>
        </w:tc>
        <w:tc>
          <w:tcPr>
            <w:tcW w:w="81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FEF406" w14:textId="35FEC14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.585</w:t>
            </w:r>
          </w:p>
        </w:tc>
      </w:tr>
      <w:tr w:rsidR="00992FC7" w:rsidRPr="00520AB1" w14:paraId="1A91C3EE" w14:textId="77777777" w:rsidTr="00992FC7">
        <w:tc>
          <w:tcPr>
            <w:tcW w:w="270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223B11EC" w14:textId="0E9E64A5" w:rsidR="009D459F" w:rsidRPr="00520AB1" w:rsidRDefault="00B00F83" w:rsidP="00992FC7">
            <w:pPr>
              <w:spacing w:line="480" w:lineRule="auto"/>
              <w:ind w:firstLineChars="200" w:firstLine="480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parity</w:t>
            </w:r>
          </w:p>
        </w:tc>
        <w:tc>
          <w:tcPr>
            <w:tcW w:w="74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2B506B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10.45</w:t>
            </w:r>
          </w:p>
        </w:tc>
        <w:tc>
          <w:tcPr>
            <w:tcW w:w="74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B8EFDD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</w:t>
            </w:r>
          </w:p>
        </w:tc>
        <w:tc>
          <w:tcPr>
            <w:tcW w:w="81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D6C6B5" w14:textId="0949910B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.001</w:t>
            </w:r>
          </w:p>
        </w:tc>
      </w:tr>
      <w:tr w:rsidR="00992FC7" w:rsidRPr="00520AB1" w14:paraId="7FAE9541" w14:textId="77777777" w:rsidTr="00992FC7">
        <w:tc>
          <w:tcPr>
            <w:tcW w:w="270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65164173" w14:textId="74D4C7F1" w:rsidR="009D459F" w:rsidRPr="00520AB1" w:rsidRDefault="00B00F83" w:rsidP="00992FC7">
            <w:pPr>
              <w:spacing w:line="480" w:lineRule="auto"/>
              <w:ind w:firstLineChars="200" w:firstLine="480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age at menarche</w:t>
            </w:r>
          </w:p>
        </w:tc>
        <w:tc>
          <w:tcPr>
            <w:tcW w:w="74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D9B744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2.89</w:t>
            </w:r>
          </w:p>
        </w:tc>
        <w:tc>
          <w:tcPr>
            <w:tcW w:w="74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58610E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</w:t>
            </w:r>
          </w:p>
        </w:tc>
        <w:tc>
          <w:tcPr>
            <w:tcW w:w="81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901627" w14:textId="664E1B13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.089</w:t>
            </w:r>
          </w:p>
        </w:tc>
      </w:tr>
      <w:tr w:rsidR="00992FC7" w:rsidRPr="00520AB1" w14:paraId="0B636177" w14:textId="77777777" w:rsidTr="00992FC7">
        <w:tc>
          <w:tcPr>
            <w:tcW w:w="270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67A0DC91" w14:textId="109AC369" w:rsidR="009D459F" w:rsidRPr="00520AB1" w:rsidRDefault="00B00F83" w:rsidP="00992FC7">
            <w:pPr>
              <w:spacing w:line="480" w:lineRule="auto"/>
              <w:ind w:firstLineChars="200" w:firstLine="480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hormone use</w:t>
            </w:r>
          </w:p>
        </w:tc>
        <w:tc>
          <w:tcPr>
            <w:tcW w:w="74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3A8D8E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1.17</w:t>
            </w:r>
          </w:p>
        </w:tc>
        <w:tc>
          <w:tcPr>
            <w:tcW w:w="74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55431F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</w:t>
            </w:r>
          </w:p>
        </w:tc>
        <w:tc>
          <w:tcPr>
            <w:tcW w:w="81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FCE17E" w14:textId="5D719E10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.279</w:t>
            </w:r>
          </w:p>
        </w:tc>
      </w:tr>
      <w:tr w:rsidR="00992FC7" w:rsidRPr="00520AB1" w14:paraId="694D2843" w14:textId="77777777" w:rsidTr="00992FC7">
        <w:tc>
          <w:tcPr>
            <w:tcW w:w="270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7E9EB8AA" w14:textId="7B6F8363" w:rsidR="009D459F" w:rsidRPr="00520AB1" w:rsidRDefault="00B00F83" w:rsidP="00992FC7">
            <w:pPr>
              <w:spacing w:line="480" w:lineRule="auto"/>
              <w:ind w:firstLineChars="200" w:firstLine="480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family history of breast cancer</w:t>
            </w:r>
          </w:p>
        </w:tc>
        <w:tc>
          <w:tcPr>
            <w:tcW w:w="74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1F58EE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2.44</w:t>
            </w:r>
          </w:p>
        </w:tc>
        <w:tc>
          <w:tcPr>
            <w:tcW w:w="74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A37004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</w:t>
            </w:r>
          </w:p>
        </w:tc>
        <w:tc>
          <w:tcPr>
            <w:tcW w:w="81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CFCDC" w14:textId="6AC9B6CF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.119</w:t>
            </w:r>
          </w:p>
        </w:tc>
      </w:tr>
      <w:tr w:rsidR="00992FC7" w:rsidRPr="00520AB1" w14:paraId="7B2A5B54" w14:textId="77777777" w:rsidTr="00992FC7">
        <w:tc>
          <w:tcPr>
            <w:tcW w:w="270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500E6FDA" w14:textId="4DCB7693" w:rsidR="009D459F" w:rsidRPr="00520AB1" w:rsidRDefault="00B00F83" w:rsidP="00992FC7">
            <w:pPr>
              <w:spacing w:line="480" w:lineRule="auto"/>
              <w:ind w:firstLineChars="200" w:firstLine="480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GLOBAL</w:t>
            </w:r>
          </w:p>
        </w:tc>
        <w:tc>
          <w:tcPr>
            <w:tcW w:w="74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E5CC0B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43.46</w:t>
            </w:r>
          </w:p>
        </w:tc>
        <w:tc>
          <w:tcPr>
            <w:tcW w:w="74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D1B7A3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11</w:t>
            </w:r>
          </w:p>
        </w:tc>
        <w:tc>
          <w:tcPr>
            <w:tcW w:w="81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7EA270" w14:textId="57770BB9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&lt;.001</w:t>
            </w:r>
          </w:p>
        </w:tc>
      </w:tr>
      <w:tr w:rsidR="00992FC7" w:rsidRPr="00520AB1" w14:paraId="3C3CEAA3" w14:textId="77777777" w:rsidTr="00992FC7">
        <w:tc>
          <w:tcPr>
            <w:tcW w:w="270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22FEB202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Model B: TSH tertile (Euthyroid)</w:t>
            </w:r>
          </w:p>
        </w:tc>
        <w:tc>
          <w:tcPr>
            <w:tcW w:w="74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FFC062" w14:textId="77777777" w:rsidR="009D459F" w:rsidRPr="00520AB1" w:rsidRDefault="009D459F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4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843849" w14:textId="77777777" w:rsidR="009D459F" w:rsidRPr="00520AB1" w:rsidRDefault="009D459F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1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700357" w14:textId="77777777" w:rsidR="009D459F" w:rsidRPr="00520AB1" w:rsidRDefault="009D459F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</w:p>
        </w:tc>
      </w:tr>
      <w:tr w:rsidR="00992FC7" w:rsidRPr="00520AB1" w14:paraId="68EE6348" w14:textId="77777777" w:rsidTr="00992FC7">
        <w:tc>
          <w:tcPr>
            <w:tcW w:w="270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08023461" w14:textId="6D2DA0E5" w:rsidR="009D459F" w:rsidRPr="00520AB1" w:rsidRDefault="00B00F83" w:rsidP="00992FC7">
            <w:pPr>
              <w:spacing w:line="480" w:lineRule="auto"/>
              <w:ind w:firstLineChars="200" w:firstLine="480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TSH tertile (exposure)</w:t>
            </w:r>
          </w:p>
        </w:tc>
        <w:tc>
          <w:tcPr>
            <w:tcW w:w="74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A01373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0.27</w:t>
            </w:r>
          </w:p>
        </w:tc>
        <w:tc>
          <w:tcPr>
            <w:tcW w:w="74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17150B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2</w:t>
            </w:r>
          </w:p>
        </w:tc>
        <w:tc>
          <w:tcPr>
            <w:tcW w:w="81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8F20EA" w14:textId="0D09A109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 xml:space="preserve">.875 </w:t>
            </w:r>
            <w:r>
              <w:rPr>
                <w:rFonts w:ascii="MS Gothic" w:eastAsia="MS Gothic" w:hAnsi="MS Gothic" w:cs="MS Gothic" w:hint="eastAsia"/>
                <w:b/>
                <w:bCs/>
                <w:sz w:val="24"/>
                <w:szCs w:val="24"/>
              </w:rPr>
              <w:t>✓</w:t>
            </w:r>
          </w:p>
        </w:tc>
      </w:tr>
      <w:tr w:rsidR="00992FC7" w:rsidRPr="00520AB1" w14:paraId="55BDDD4C" w14:textId="77777777" w:rsidTr="00992FC7">
        <w:tc>
          <w:tcPr>
            <w:tcW w:w="270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1C63BCCA" w14:textId="4665228C" w:rsidR="009D459F" w:rsidRPr="00520AB1" w:rsidRDefault="00B00F83" w:rsidP="00992FC7">
            <w:pPr>
              <w:spacing w:line="480" w:lineRule="auto"/>
              <w:ind w:firstLineChars="200" w:firstLine="480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age</w:t>
            </w:r>
          </w:p>
        </w:tc>
        <w:tc>
          <w:tcPr>
            <w:tcW w:w="74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4E5FFC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27.10</w:t>
            </w:r>
          </w:p>
        </w:tc>
        <w:tc>
          <w:tcPr>
            <w:tcW w:w="74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C50EC8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</w:t>
            </w:r>
          </w:p>
        </w:tc>
        <w:tc>
          <w:tcPr>
            <w:tcW w:w="81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D4C607" w14:textId="45738E2B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&lt;.001</w:t>
            </w:r>
          </w:p>
        </w:tc>
      </w:tr>
      <w:tr w:rsidR="00992FC7" w:rsidRPr="00520AB1" w14:paraId="0A39858C" w14:textId="77777777" w:rsidTr="00992FC7">
        <w:tc>
          <w:tcPr>
            <w:tcW w:w="270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6FDF95E2" w14:textId="4785908E" w:rsidR="009D459F" w:rsidRPr="00520AB1" w:rsidRDefault="00B00F83" w:rsidP="00992FC7">
            <w:pPr>
              <w:spacing w:line="480" w:lineRule="auto"/>
              <w:ind w:firstLineChars="200" w:firstLine="480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parity</w:t>
            </w:r>
          </w:p>
        </w:tc>
        <w:tc>
          <w:tcPr>
            <w:tcW w:w="74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85E0CE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7.40</w:t>
            </w:r>
          </w:p>
        </w:tc>
        <w:tc>
          <w:tcPr>
            <w:tcW w:w="74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0E39A4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</w:t>
            </w:r>
          </w:p>
        </w:tc>
        <w:tc>
          <w:tcPr>
            <w:tcW w:w="81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C63DB2" w14:textId="7D21CE6D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.007</w:t>
            </w:r>
          </w:p>
        </w:tc>
      </w:tr>
      <w:tr w:rsidR="00992FC7" w:rsidRPr="00520AB1" w14:paraId="57620C56" w14:textId="77777777" w:rsidTr="00992FC7">
        <w:tc>
          <w:tcPr>
            <w:tcW w:w="270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5BC501F5" w14:textId="3B690AD4" w:rsidR="009D459F" w:rsidRPr="00520AB1" w:rsidRDefault="00B00F83" w:rsidP="00992FC7">
            <w:pPr>
              <w:spacing w:line="480" w:lineRule="auto"/>
              <w:ind w:firstLineChars="200" w:firstLine="480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family history of breast cancer</w:t>
            </w:r>
          </w:p>
        </w:tc>
        <w:tc>
          <w:tcPr>
            <w:tcW w:w="74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E90A62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4.59</w:t>
            </w:r>
          </w:p>
        </w:tc>
        <w:tc>
          <w:tcPr>
            <w:tcW w:w="74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401BDC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</w:t>
            </w:r>
          </w:p>
        </w:tc>
        <w:tc>
          <w:tcPr>
            <w:tcW w:w="81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797AA0" w14:textId="14F91E64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.032</w:t>
            </w:r>
          </w:p>
        </w:tc>
      </w:tr>
      <w:tr w:rsidR="00992FC7" w:rsidRPr="00520AB1" w14:paraId="235F1CAC" w14:textId="77777777" w:rsidTr="00992FC7">
        <w:tc>
          <w:tcPr>
            <w:tcW w:w="2701" w:type="pct"/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678032A1" w14:textId="42897988" w:rsidR="009D459F" w:rsidRPr="00520AB1" w:rsidRDefault="00B00F83" w:rsidP="00992FC7">
            <w:pPr>
              <w:spacing w:line="480" w:lineRule="auto"/>
              <w:ind w:firstLineChars="200" w:firstLine="480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lastRenderedPageBreak/>
              <w:t>GLOBAL</w:t>
            </w:r>
          </w:p>
        </w:tc>
        <w:tc>
          <w:tcPr>
            <w:tcW w:w="74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234034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45.51</w:t>
            </w:r>
          </w:p>
        </w:tc>
        <w:tc>
          <w:tcPr>
            <w:tcW w:w="744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62CC14" w14:textId="77777777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11</w:t>
            </w:r>
          </w:p>
        </w:tc>
        <w:tc>
          <w:tcPr>
            <w:tcW w:w="813" w:type="pc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3BF626" w14:textId="340FA04B" w:rsidR="009D459F" w:rsidRPr="00520AB1" w:rsidRDefault="00B00F83" w:rsidP="00992FC7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&lt;.001</w:t>
            </w:r>
          </w:p>
        </w:tc>
      </w:tr>
    </w:tbl>
    <w:p w14:paraId="50DE2A4F" w14:textId="421141B5" w:rsidR="00992FC7" w:rsidRDefault="00B526C0" w:rsidP="00520AB1">
      <w:pPr>
        <w:spacing w:before="60" w:after="240" w:line="48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Note</w:t>
      </w:r>
      <w:r>
        <w:rPr>
          <w:rFonts w:eastAsia="Times New Roman"/>
          <w:sz w:val="24"/>
          <w:szCs w:val="24"/>
        </w:rPr>
        <w:t>: Schoenfeld residual tests evaluate whether the proportional hazards (PH) assumption holds for each variable in the Cox model. The principal exposure variables (thyroid 3-category and TSH tertile) showed strong PH compliance (</w:t>
      </w:r>
      <w:r>
        <w:rPr>
          <w:rFonts w:eastAsia="Times New Roman"/>
          <w:i/>
          <w:iCs/>
          <w:sz w:val="24"/>
          <w:szCs w:val="24"/>
        </w:rPr>
        <w:t>p</w:t>
      </w:r>
      <w:r>
        <w:rPr>
          <w:rFonts w:eastAsia="Times New Roman"/>
          <w:sz w:val="24"/>
          <w:szCs w:val="24"/>
        </w:rPr>
        <w:t xml:space="preserve"> = .945 and </w:t>
      </w:r>
      <w:r>
        <w:rPr>
          <w:rFonts w:eastAsia="Times New Roman"/>
          <w:i/>
          <w:iCs/>
          <w:sz w:val="24"/>
          <w:szCs w:val="24"/>
        </w:rPr>
        <w:t>p</w:t>
      </w:r>
      <w:r>
        <w:rPr>
          <w:rFonts w:eastAsia="Times New Roman"/>
          <w:sz w:val="24"/>
          <w:szCs w:val="24"/>
        </w:rPr>
        <w:t xml:space="preserve"> = .875 respectively, marked </w:t>
      </w:r>
      <w:r>
        <w:rPr>
          <w:rFonts w:ascii="MS Gothic" w:eastAsia="MS Gothic" w:hAnsi="MS Gothic" w:cs="MS Gothic" w:hint="eastAsia"/>
          <w:sz w:val="24"/>
          <w:szCs w:val="24"/>
        </w:rPr>
        <w:t>✓</w:t>
      </w:r>
      <w:r>
        <w:rPr>
          <w:rFonts w:eastAsia="Times New Roman"/>
          <w:sz w:val="24"/>
          <w:szCs w:val="24"/>
        </w:rPr>
        <w:t xml:space="preserve">). Variable-specific tests indicated PH violation for age and parity (and, in Model B, family history of breast cancer); consequently, the global test of proportional hazards was significant. The principal hazard ratio estimates for the exposure variables are therefore considered unbiased, although residual time-dependent confounding by age and parity cannot be entirely excluded (Discussion §4.4). For each model, only the exposure term and the covariates with notable departures from proportional hazards are displayed; the GLOBAL row (df = 11) reflects all terms in the model—the exposure plus the nine covariates specified in Methods §2.5. </w:t>
      </w:r>
    </w:p>
    <w:p w14:paraId="12DBB88C" w14:textId="39BD83B1" w:rsidR="009D459F" w:rsidRPr="00520AB1" w:rsidRDefault="00992FC7" w:rsidP="00520AB1">
      <w:pPr>
        <w:spacing w:before="60" w:after="240" w:line="480" w:lineRule="auto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Abbreviations: df, degrees of freedom.</w:t>
      </w:r>
    </w:p>
    <w:sectPr w:rsidR="009D459F" w:rsidRPr="00520AB1" w:rsidSect="00856C76">
      <w:pgSz w:w="12240" w:h="15840" w:orient="landscape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23A63" w14:textId="77777777" w:rsidR="00B524AA" w:rsidRDefault="00B524AA">
      <w:r>
        <w:separator/>
      </w:r>
    </w:p>
  </w:endnote>
  <w:endnote w:type="continuationSeparator" w:id="0">
    <w:p w14:paraId="45F23B58" w14:textId="77777777" w:rsidR="00B524AA" w:rsidRDefault="00B52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3DD8D" w14:textId="77777777" w:rsidR="009D459F" w:rsidRDefault="00B00F83">
    <w:pPr>
      <w:jc w:val="center"/>
    </w:pPr>
    <w:r>
      <w:rPr>
        <w:rFonts w:ascii="Arial" w:eastAsia="Arial" w:hAnsi="Arial" w:cs="Arial"/>
        <w:color w:val="888888"/>
        <w:sz w:val="18"/>
        <w:szCs w:val="18"/>
      </w:rPr>
      <w:fldChar w:fldCharType="begin"/>
    </w:r>
    <w:r>
      <w:rPr>
        <w:rFonts w:ascii="Arial" w:eastAsia="Arial" w:hAnsi="Arial" w:cs="Arial"/>
        <w:color w:val="888888"/>
        <w:sz w:val="18"/>
        <w:szCs w:val="18"/>
      </w:rPr>
      <w:instrText>PAGE</w:instrText>
    </w:r>
    <w:r>
      <w:rPr>
        <w:rFonts w:ascii="Arial" w:eastAsia="Arial" w:hAnsi="Arial" w:cs="Arial"/>
        <w:color w:val="888888"/>
        <w:sz w:val="18"/>
        <w:szCs w:val="18"/>
      </w:rPr>
      <w:fldChar w:fldCharType="separate"/>
    </w:r>
    <w:r>
      <w:rPr>
        <w:rFonts w:ascii="Arial" w:eastAsia="Arial" w:hAnsi="Arial" w:cs="Arial"/>
        <w:noProof/>
        <w:color w:val="888888"/>
        <w:sz w:val="18"/>
        <w:szCs w:val="18"/>
      </w:rPr>
      <w:t>1</w:t>
    </w:r>
    <w:r>
      <w:rPr>
        <w:rFonts w:ascii="Arial" w:eastAsia="Arial" w:hAnsi="Arial" w:cs="Arial"/>
        <w:color w:val="888888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44E0E" w14:textId="77777777" w:rsidR="00B524AA" w:rsidRDefault="00B524AA">
      <w:r>
        <w:separator/>
      </w:r>
    </w:p>
  </w:footnote>
  <w:footnote w:type="continuationSeparator" w:id="0">
    <w:p w14:paraId="2EE44D16" w14:textId="77777777" w:rsidR="00B524AA" w:rsidRDefault="00B52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07331C"/>
    <w:multiLevelType w:val="hybridMultilevel"/>
    <w:tmpl w:val="F440F5DE"/>
    <w:lvl w:ilvl="0" w:tplc="05C816D6">
      <w:start w:val="1"/>
      <w:numFmt w:val="bullet"/>
      <w:lvlText w:val="●"/>
      <w:lvlJc w:val="left"/>
      <w:pPr>
        <w:ind w:left="720" w:hanging="360"/>
      </w:pPr>
    </w:lvl>
    <w:lvl w:ilvl="1" w:tplc="55DA1B7C">
      <w:start w:val="1"/>
      <w:numFmt w:val="bullet"/>
      <w:lvlText w:val="○"/>
      <w:lvlJc w:val="left"/>
      <w:pPr>
        <w:ind w:left="1440" w:hanging="360"/>
      </w:pPr>
    </w:lvl>
    <w:lvl w:ilvl="2" w:tplc="ADDC3E74">
      <w:start w:val="1"/>
      <w:numFmt w:val="bullet"/>
      <w:lvlText w:val="■"/>
      <w:lvlJc w:val="left"/>
      <w:pPr>
        <w:ind w:left="2160" w:hanging="360"/>
      </w:pPr>
    </w:lvl>
    <w:lvl w:ilvl="3" w:tplc="4D9816D0">
      <w:start w:val="1"/>
      <w:numFmt w:val="bullet"/>
      <w:lvlText w:val="●"/>
      <w:lvlJc w:val="left"/>
      <w:pPr>
        <w:ind w:left="2880" w:hanging="360"/>
      </w:pPr>
    </w:lvl>
    <w:lvl w:ilvl="4" w:tplc="72CA0D3A">
      <w:start w:val="1"/>
      <w:numFmt w:val="bullet"/>
      <w:lvlText w:val="○"/>
      <w:lvlJc w:val="left"/>
      <w:pPr>
        <w:ind w:left="3600" w:hanging="360"/>
      </w:pPr>
    </w:lvl>
    <w:lvl w:ilvl="5" w:tplc="E1EE1048">
      <w:start w:val="1"/>
      <w:numFmt w:val="bullet"/>
      <w:lvlText w:val="■"/>
      <w:lvlJc w:val="left"/>
      <w:pPr>
        <w:ind w:left="4320" w:hanging="360"/>
      </w:pPr>
    </w:lvl>
    <w:lvl w:ilvl="6" w:tplc="F320C0AA">
      <w:start w:val="1"/>
      <w:numFmt w:val="bullet"/>
      <w:lvlText w:val="●"/>
      <w:lvlJc w:val="left"/>
      <w:pPr>
        <w:ind w:left="5040" w:hanging="360"/>
      </w:pPr>
    </w:lvl>
    <w:lvl w:ilvl="7" w:tplc="E6947ECC">
      <w:start w:val="1"/>
      <w:numFmt w:val="bullet"/>
      <w:lvlText w:val="●"/>
      <w:lvlJc w:val="left"/>
      <w:pPr>
        <w:ind w:left="5760" w:hanging="360"/>
      </w:pPr>
    </w:lvl>
    <w:lvl w:ilvl="8" w:tplc="C5445942">
      <w:start w:val="1"/>
      <w:numFmt w:val="bullet"/>
      <w:lvlText w:val="●"/>
      <w:lvlJc w:val="left"/>
      <w:pPr>
        <w:ind w:left="6480" w:hanging="360"/>
      </w:pPr>
    </w:lvl>
  </w:abstractNum>
  <w:num w:numId="1" w16cid:durableId="7638380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59F"/>
    <w:rsid w:val="00043F39"/>
    <w:rsid w:val="00071EF5"/>
    <w:rsid w:val="00326D5B"/>
    <w:rsid w:val="003F4262"/>
    <w:rsid w:val="004570E4"/>
    <w:rsid w:val="00474DEC"/>
    <w:rsid w:val="00520AB1"/>
    <w:rsid w:val="005B7A52"/>
    <w:rsid w:val="007178DD"/>
    <w:rsid w:val="007A20F4"/>
    <w:rsid w:val="00856C76"/>
    <w:rsid w:val="008634A9"/>
    <w:rsid w:val="008C2633"/>
    <w:rsid w:val="00992FC7"/>
    <w:rsid w:val="009D459F"/>
    <w:rsid w:val="00A4537D"/>
    <w:rsid w:val="00B00F83"/>
    <w:rsid w:val="00B517DF"/>
    <w:rsid w:val="00B524AA"/>
    <w:rsid w:val="00B526C0"/>
    <w:rsid w:val="00B965FA"/>
    <w:rsid w:val="00BB6586"/>
    <w:rsid w:val="00C4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9BFE1B"/>
  <w15:docId w15:val="{C6B08BFC-BE96-4E37-A648-15A731FE5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520AB1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520AB1"/>
  </w:style>
  <w:style w:type="paragraph" w:styleId="ab">
    <w:name w:val="footer"/>
    <w:basedOn w:val="a"/>
    <w:link w:val="Char2"/>
    <w:uiPriority w:val="99"/>
    <w:unhideWhenUsed/>
    <w:rsid w:val="00520AB1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520AB1"/>
  </w:style>
  <w:style w:type="character" w:styleId="ac">
    <w:name w:val="annotation reference"/>
    <w:basedOn w:val="a0"/>
    <w:uiPriority w:val="99"/>
    <w:semiHidden/>
    <w:unhideWhenUsed/>
    <w:rsid w:val="00520AB1"/>
    <w:rPr>
      <w:sz w:val="18"/>
      <w:szCs w:val="18"/>
    </w:rPr>
  </w:style>
  <w:style w:type="paragraph" w:styleId="ad">
    <w:name w:val="annotation text"/>
    <w:basedOn w:val="a"/>
    <w:link w:val="Char3"/>
    <w:uiPriority w:val="99"/>
    <w:semiHidden/>
    <w:unhideWhenUsed/>
    <w:rsid w:val="00520AB1"/>
  </w:style>
  <w:style w:type="character" w:customStyle="1" w:styleId="Char3">
    <w:name w:val="메모 텍스트 Char"/>
    <w:basedOn w:val="a0"/>
    <w:link w:val="ad"/>
    <w:uiPriority w:val="99"/>
    <w:semiHidden/>
    <w:rsid w:val="00520AB1"/>
  </w:style>
  <w:style w:type="paragraph" w:styleId="ae">
    <w:name w:val="annotation subject"/>
    <w:basedOn w:val="ad"/>
    <w:next w:val="ad"/>
    <w:link w:val="Char4"/>
    <w:uiPriority w:val="99"/>
    <w:semiHidden/>
    <w:unhideWhenUsed/>
    <w:rsid w:val="008634A9"/>
    <w:rPr>
      <w:b/>
      <w:bCs/>
    </w:rPr>
  </w:style>
  <w:style w:type="character" w:customStyle="1" w:styleId="Char4">
    <w:name w:val="메모 주제 Char"/>
    <w:basedOn w:val="Char3"/>
    <w:link w:val="ae"/>
    <w:uiPriority w:val="99"/>
    <w:semiHidden/>
    <w:rsid w:val="008634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22E21-A709-46CA-BA2E-C8F50E005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1390</Words>
  <Characters>7926</Characters>
  <Application>Microsoft Office Word</Application>
  <DocSecurity>0</DocSecurity>
  <Lines>66</Lines>
  <Paragraphs>18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KWANHO LEE</cp:lastModifiedBy>
  <cp:revision>2</cp:revision>
  <dcterms:created xsi:type="dcterms:W3CDTF">2026-06-19T22:50:00Z</dcterms:created>
  <dcterms:modified xsi:type="dcterms:W3CDTF">2026-06-19T22:50:00Z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