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AD0F" w14:textId="77777777" w:rsidR="002C581F" w:rsidRDefault="00000000">
      <w:pPr>
        <w:spacing w:after="60"/>
        <w:jc w:val="center"/>
      </w:pPr>
      <w:r>
        <w:rPr>
          <w:b/>
          <w:bCs/>
          <w:color w:val="1F3A5F"/>
          <w:sz w:val="30"/>
          <w:szCs w:val="30"/>
        </w:rPr>
        <w:t>Supplementary Information</w:t>
      </w:r>
    </w:p>
    <w:p w14:paraId="62A0D284" w14:textId="77777777" w:rsidR="002C581F" w:rsidRDefault="00000000">
      <w:pPr>
        <w:spacing w:after="60"/>
        <w:jc w:val="center"/>
      </w:pPr>
      <w:r>
        <w:rPr>
          <w:b/>
          <w:bCs/>
          <w:color w:val="606060"/>
        </w:rPr>
        <w:t>State-Space Compression Enables Desktop-Scale Hit Discovery for Intrinsically Disordered α-Synuclein</w:t>
      </w:r>
    </w:p>
    <w:p w14:paraId="4EB90963" w14:textId="062AC407" w:rsidR="002C581F" w:rsidRDefault="00000000">
      <w:pPr>
        <w:spacing w:after="160"/>
        <w:jc w:val="center"/>
      </w:pPr>
      <w:r>
        <w:rPr>
          <w:color w:val="606060"/>
          <w:sz w:val="17"/>
          <w:szCs w:val="17"/>
        </w:rPr>
        <w:t>Dae Hoon Kim, Gerelt-Od Khenmedekh, Jihyeon Park &amp; Sangjune Kim · Chungbuk National University &amp; ISTP TECH Co., Ltd.</w:t>
      </w:r>
      <w:proofErr w:type="spellStart"/>
      <w:r>
        <w:rPr>
          <w:color w:val="606060"/>
          <w:sz w:val="17"/>
          <w:szCs w:val="17"/>
        </w:rPr>
      </w:r>
      <w:proofErr w:type="spellEnd"/>
      <w:r>
        <w:rPr>
          <w:color w:val="606060"/>
          <w:sz w:val="17"/>
          <w:szCs w:val="17"/>
        </w:rPr>
      </w:r>
      <w:proofErr w:type="spellStart"/>
      <w:r>
        <w:rPr>
          <w:color w:val="606060"/>
          <w:sz w:val="17"/>
          <w:szCs w:val="17"/>
        </w:rPr>
      </w:r>
      <w:proofErr w:type="spellEnd"/>
      <w:r>
        <w:rPr>
          <w:color w:val="606060"/>
          <w:sz w:val="17"/>
          <w:szCs w:val="17"/>
        </w:rPr>
      </w:r>
      <w:r w:rsidR="00B71B97">
        <w:rPr>
          <w:rFonts w:hint="eastAsia"/>
          <w:color w:val="606060"/>
          <w:sz w:val="17"/>
          <w:szCs w:val="17"/>
        </w:rPr>
      </w:r>
      <w:r>
        <w:rPr>
          <w:color w:val="606060"/>
          <w:sz w:val="17"/>
          <w:szCs w:val="17"/>
        </w:rPr>
      </w:r>
      <w:r w:rsidR="00B71B97">
        <w:rPr>
          <w:rFonts w:hint="eastAsia"/>
          <w:color w:val="606060"/>
          <w:sz w:val="17"/>
          <w:szCs w:val="17"/>
        </w:rPr>
      </w:r>
      <w:r>
        <w:rPr>
          <w:color w:val="606060"/>
          <w:sz w:val="17"/>
          <w:szCs w:val="17"/>
        </w:rPr>
      </w:r>
      <w:proofErr w:type="spellStart"/>
      <w:r>
        <w:rPr>
          <w:color w:val="606060"/>
          <w:sz w:val="17"/>
          <w:szCs w:val="17"/>
        </w:rPr>
      </w:r>
      <w:proofErr w:type="spellEnd"/>
      <w:r>
        <w:rPr>
          <w:color w:val="606060"/>
          <w:sz w:val="17"/>
          <w:szCs w:val="17"/>
        </w:rPr>
      </w:r>
    </w:p>
    <w:p w14:paraId="2BAA0956" w14:textId="77777777" w:rsidR="002C581F" w:rsidRDefault="00000000">
      <w:pPr>
        <w:pBdr>
          <w:left w:val="single" w:sz="18" w:space="8" w:color="E9A23B"/>
        </w:pBdr>
        <w:shd w:val="clear" w:color="auto" w:fill="FFF4E5"/>
        <w:spacing w:after="140"/>
      </w:pPr>
      <w:r>
        <w:rPr>
          <w:b/>
          <w:bCs/>
          <w:color w:val="9A5B00"/>
          <w:sz w:val="18"/>
          <w:szCs w:val="18"/>
        </w:rPr>
        <w:t xml:space="preserve">Intellectual-property notice. </w:t>
      </w:r>
      <w:r>
        <w:rPr>
          <w:color w:val="9A5B00"/>
          <w:sz w:val="18"/>
          <w:szCs w:val="18"/>
        </w:rPr>
        <w:t>The chemical structures (names/SMILES) of the engine's novel screening hits are withheld pending an engine patent. Supplementary Table 1 therefore reports only molecular weight, composite score, pocket-fit, toxicity flags and CNS-MPO (oral + BBB druggability) for those hits. All commercially available, CAS-confirmed compounds are fully disclosed in Supplementary Table 2.</w:t>
      </w:r>
    </w:p>
    <w:p w14:paraId="3534F113" w14:textId="77777777" w:rsidR="002C581F" w:rsidRDefault="00000000">
      <w:pPr>
        <w:pStyle w:val="1"/>
      </w:pPr>
      <w:r>
        <w:t>S1. The ISTP composite scoring system</w:t>
      </w:r>
    </w:p>
    <w:p w14:paraId="4B112EA8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Composite score (IDP mode). </w:t>
      </w:r>
      <w:r>
        <w:t xml:space="preserve">score = 0.30·Genesis-landscape + 0.20·persistence + 0.20·DPISO phase-interference + 0.15·LICP-stability + 0.10·QED + 0.05·synthetic-accessibility, minus an ADMET penalty (0.03 per soft toxicity flag, capped 0.15), multiplied by a hard-filter gate (0 if any of 38 </w:t>
      </w:r>
      <w:proofErr w:type="spellStart"/>
      <w:r>
        <w:t>toxicophore</w:t>
      </w:r>
      <w:proofErr w:type="spellEnd"/>
      <w:r>
        <w:t>/PAINS rules fire).</w:t>
      </w:r>
    </w:p>
    <w:p w14:paraId="6D37CB2E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Target-aware score. </w:t>
      </w:r>
      <w:proofErr w:type="spellStart"/>
      <w:r>
        <w:t>target_combined</w:t>
      </w:r>
      <w:proofErr w:type="spellEnd"/>
      <w:r>
        <w:t xml:space="preserve"> = 0.72·composite + 0.28·pocket-fit, where pocket-fit is the small-molecule complementarity to the Genesis-defined NAC hotspots (V66–V77 β-sheet core, G68–A69 nucleation hinge, E83 salt-bridge). </w:t>
      </w:r>
      <w:proofErr w:type="spellStart"/>
      <w:r>
        <w:t>Orthosteric</w:t>
      </w:r>
      <w:proofErr w:type="spellEnd"/>
      <w:r>
        <w:t xml:space="preserve"> (pocket) and protein–protein-interaction (PPI) modes use analogous weightings </w:t>
      </w:r>
      <w:proofErr w:type="spellStart"/>
      <w:r>
        <w:t>emphasising</w:t>
      </w:r>
      <w:proofErr w:type="spellEnd"/>
      <w:r>
        <w:t xml:space="preserve"> hotspot contact and interface retention.</w:t>
      </w:r>
    </w:p>
    <w:p w14:paraId="107A8FFC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Selectivity. </w:t>
      </w:r>
      <w:r>
        <w:t>selectivity gap = target pocket-fit − max off-target pocket-fit over the 242-hit-point anti-target panel (100 seed proteins); a LOW/MODERATE/HIGH cross-reactivity label is assigned on the same pocket-fit scale (target pocket-fit is never compared with an off-target combined score).</w:t>
      </w:r>
    </w:p>
    <w:p w14:paraId="48F27C28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Calibration (gate before screening). </w:t>
      </w:r>
      <w:r>
        <w:t xml:space="preserve">Active/decoy discrimination AUC = 0.955, Cohen's d = 2.62 for α-synuclein. As a label-free check, three literature inhibitors were independently re-ranked near the top of the 283,383-compound blind screen: luteolin (rank 11), quercetin (rank 79), baicalein (rank 105). The calibration set comprised curated alpha-synuclein aggregation actives versus property-matched decoys (matched on molecular weight, </w:t>
      </w:r>
      <w:proofErr w:type="spellStart"/>
      <w:r>
        <w:t>cLogP</w:t>
      </w:r>
      <w:proofErr w:type="spellEnd"/>
      <w:r>
        <w:t>, hydrogen-bond donors/acceptors and formal charge); all composite weights were frozen before the production screen, and the three literature inhibitors recovered above were held out of weight calibration, precluding train/test leakage. The active/decoy lists and a 95% bootstrap confidence interval for the AUC are released with the calibration harness.</w:t>
      </w:r>
    </w:p>
    <w:p w14:paraId="1991DA8F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Scalability. </w:t>
      </w:r>
      <w:r/>
      <w:proofErr w:type="spellStart"/>
      <w:r/>
      <w:proofErr w:type="spellEnd"/>
      <w:r/>
      <w:r>
        <w:t>For ultra-large libraries (the local ZINC mirror holds ~8.5×10⁸ molecules in 1,313 tranches) a cheap BBB + gastrointestinal-absorption + drug-likeness gate (MW 180–450, cLogP 0–4.5, TPSA ≤ 90 Å², HBD ≤ 3, HBA ≤ 7, rotatable bonds ≤ 8) runs first, multi-core, and populates an LICP capacity-limited active set (ceiling 10,000,000). In a production-scale run the gate filled the active set to its 10,000,000-molecule ceiling and DPISO scoring passed 4,892,716 molecules (48.9%; Run C BBB-tight, 4,776,486, 47.8%), so the expensive LICP-DPISO scoring never touches the full library.</w:t>
      </w:r>
    </w:p>
    <w:p w14:paraId="0B7A5321" w14:textId="77777777" w:rsidR="002C581F" w:rsidRDefault="00000000">
      <w:pPr>
        <w:pStyle w:val="1"/>
      </w:pPr>
      <w:r>
        <w:t>S2. Engine top-ranked hits (structures withheld — patent pending)</w:t>
      </w:r>
    </w:p>
    <w:p w14:paraId="6ED3CEC9" w14:textId="77777777" w:rsidR="002C581F" w:rsidRDefault="00000000">
      <w:pPr>
        <w:spacing w:after="120" w:line="300" w:lineRule="auto"/>
        <w:jc w:val="both"/>
      </w:pPr>
      <w:r>
        <w:t xml:space="preserve">Top-20 engine-ranked hits from the production screen (real run; molecular weights are </w:t>
      </w:r>
      <w:proofErr w:type="spellStart"/>
      <w:r>
        <w:t>RDKit</w:t>
      </w:r>
      <w:proofErr w:type="spellEnd"/>
      <w:r>
        <w:t xml:space="preserve">-computed from structure). Identities (names, SMILES, scaffolds) are withheld under the pending engine patent. </w:t>
      </w:r>
      <w:proofErr w:type="spellStart"/>
      <w:r>
        <w:t>AutoDock</w:t>
      </w:r>
      <w:proofErr w:type="spellEnd"/>
      <w:r>
        <w:t xml:space="preserve"> Vina cross-check on the legacy 50,000-compound NAC campaign spanned −8.82 to −4.15 kcal mol⁻¹ (mean −6.07); per-hit docked values are released with structures under the patent filing.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560"/>
        <w:gridCol w:w="1560"/>
        <w:gridCol w:w="1560"/>
        <w:gridCol w:w="1260"/>
        <w:gridCol w:w="1020"/>
        <w:gridCol w:w="1500"/>
      </w:tblGrid>
      <w:tr w:rsidR="002C581F" w14:paraId="477D537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EB0DEE5" w14:textId="77777777" w:rsidR="002C581F" w:rsidRDefault="00000000">
            <w:r>
              <w:rPr>
                <w:b/>
                <w:bCs/>
                <w:sz w:val="17"/>
                <w:szCs w:val="17"/>
              </w:rPr>
              <w:t>#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263C3FD" w14:textId="77777777" w:rsidR="002C581F" w:rsidRDefault="00000000">
            <w:r>
              <w:rPr>
                <w:b/>
                <w:bCs/>
                <w:sz w:val="17"/>
                <w:szCs w:val="17"/>
              </w:rPr>
              <w:t>MW (Da)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862C814" w14:textId="77777777" w:rsidR="002C581F" w:rsidRDefault="00000000">
            <w:r>
              <w:rPr>
                <w:b/>
                <w:bCs/>
                <w:sz w:val="17"/>
                <w:szCs w:val="17"/>
              </w:rPr>
              <w:t>Composite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0A29B2F" w14:textId="77777777" w:rsidR="002C581F" w:rsidRDefault="00000000">
            <w:r>
              <w:rPr>
                <w:b/>
                <w:bCs/>
                <w:sz w:val="17"/>
                <w:szCs w:val="17"/>
              </w:rPr>
              <w:t>Pocket-fit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9280D8C" w14:textId="77777777" w:rsidR="002C581F" w:rsidRDefault="00000000">
            <w:r>
              <w:rPr>
                <w:b/>
                <w:bCs/>
                <w:sz w:val="17"/>
                <w:szCs w:val="17"/>
              </w:rPr>
              <w:t>Tox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9CABE6" w14:textId="77777777" w:rsidR="002C581F" w:rsidRDefault="00000000">
            <w:r>
              <w:rPr>
                <w:b/>
                <w:bCs/>
                <w:sz w:val="17"/>
                <w:szCs w:val="17"/>
              </w:rPr>
              <w:t>CNS-MPO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57B551E" w14:textId="77777777" w:rsidR="002C581F" w:rsidRDefault="00000000">
            <w:r>
              <w:rPr>
                <w:b/>
                <w:bCs/>
                <w:sz w:val="17"/>
                <w:szCs w:val="17"/>
              </w:rPr>
              <w:t>X-react</w:t>
            </w:r>
          </w:p>
        </w:tc>
      </w:tr>
      <w:tr w:rsidR="002C581F" w14:paraId="309D988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DF6CCFA" w14:textId="77777777" w:rsidR="002C581F" w:rsidRDefault="00000000">
            <w:r>
              <w:rPr>
                <w:sz w:val="17"/>
                <w:szCs w:val="17"/>
              </w:rPr>
              <w:t>1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0224BC3" w14:textId="77777777" w:rsidR="002C581F" w:rsidRDefault="00000000">
            <w:r>
              <w:rPr>
                <w:sz w:val="17"/>
                <w:szCs w:val="17"/>
              </w:rPr>
              <w:t>324.4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EC179D7" w14:textId="77777777" w:rsidR="002C581F" w:rsidRDefault="00000000">
            <w:r>
              <w:rPr>
                <w:sz w:val="17"/>
                <w:szCs w:val="17"/>
              </w:rPr>
              <w:t>0.8442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F6C0CA4" w14:textId="77777777" w:rsidR="002C581F" w:rsidRDefault="00000000">
            <w:r>
              <w:rPr>
                <w:sz w:val="17"/>
                <w:szCs w:val="17"/>
              </w:rPr>
              <w:t>0.5653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F2DB9D5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3EFA71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31AA7A2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02099E3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8F0CF4E" w14:textId="77777777" w:rsidR="002C581F" w:rsidRDefault="00000000"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94DBB87" w14:textId="77777777" w:rsidR="002C581F" w:rsidRDefault="00000000">
            <w:r>
              <w:rPr>
                <w:sz w:val="17"/>
                <w:szCs w:val="17"/>
              </w:rPr>
              <w:t>321.4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61FFBDD" w14:textId="77777777" w:rsidR="002C581F" w:rsidRDefault="00000000">
            <w:r>
              <w:rPr>
                <w:sz w:val="17"/>
                <w:szCs w:val="17"/>
              </w:rPr>
              <w:t>0.8397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40E349D" w14:textId="77777777" w:rsidR="002C581F" w:rsidRDefault="00000000">
            <w:r>
              <w:rPr>
                <w:sz w:val="17"/>
                <w:szCs w:val="17"/>
              </w:rPr>
              <w:t>0.5153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0053117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2393931" w14:textId="77777777" w:rsidR="002C581F" w:rsidRDefault="00000000">
            <w:r>
              <w:rPr>
                <w:sz w:val="17"/>
                <w:szCs w:val="17"/>
              </w:rPr>
              <w:t>5.0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853CDC4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46ECEFE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60663F0" w14:textId="77777777" w:rsidR="002C581F" w:rsidRDefault="00000000">
            <w:r>
              <w:rPr>
                <w:sz w:val="17"/>
                <w:szCs w:val="17"/>
              </w:rPr>
              <w:t>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E34D97C" w14:textId="77777777" w:rsidR="002C581F" w:rsidRDefault="00000000">
            <w:r>
              <w:rPr>
                <w:sz w:val="17"/>
                <w:szCs w:val="17"/>
              </w:rPr>
              <w:t>321.4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C885F16" w14:textId="77777777" w:rsidR="002C581F" w:rsidRDefault="00000000">
            <w:r>
              <w:rPr>
                <w:sz w:val="17"/>
                <w:szCs w:val="17"/>
              </w:rPr>
              <w:t>0.8388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6B49E58" w14:textId="77777777" w:rsidR="002C581F" w:rsidRDefault="00000000">
            <w:r>
              <w:rPr>
                <w:sz w:val="17"/>
                <w:szCs w:val="17"/>
              </w:rPr>
              <w:t>0.5153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A2B5727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BBB746B" w14:textId="77777777" w:rsidR="002C581F" w:rsidRDefault="00000000">
            <w:r>
              <w:rPr>
                <w:sz w:val="17"/>
                <w:szCs w:val="17"/>
              </w:rPr>
              <w:t>5.0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16E1373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45785A2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ABB610F" w14:textId="77777777" w:rsidR="002C581F" w:rsidRDefault="00000000">
            <w:r>
              <w:rPr>
                <w:sz w:val="17"/>
                <w:szCs w:val="17"/>
              </w:rPr>
              <w:t>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1873984" w14:textId="77777777" w:rsidR="002C581F" w:rsidRDefault="00000000">
            <w:r>
              <w:rPr>
                <w:sz w:val="17"/>
                <w:szCs w:val="17"/>
              </w:rPr>
              <w:t>321.4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BB65837" w14:textId="77777777" w:rsidR="002C581F" w:rsidRDefault="00000000">
            <w:r>
              <w:rPr>
                <w:sz w:val="17"/>
                <w:szCs w:val="17"/>
              </w:rPr>
              <w:t>0.8362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D6318F6" w14:textId="77777777" w:rsidR="002C581F" w:rsidRDefault="00000000">
            <w:r>
              <w:rPr>
                <w:sz w:val="17"/>
                <w:szCs w:val="17"/>
              </w:rPr>
              <w:t>0.5153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DC16D2F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86796C" w14:textId="77777777" w:rsidR="002C581F" w:rsidRDefault="00000000">
            <w:r>
              <w:rPr>
                <w:sz w:val="17"/>
                <w:szCs w:val="17"/>
              </w:rPr>
              <w:t>5.0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1ECD371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298581A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527B501" w14:textId="77777777" w:rsidR="002C581F" w:rsidRDefault="00000000">
            <w:r>
              <w:rPr>
                <w:sz w:val="17"/>
                <w:szCs w:val="17"/>
              </w:rPr>
              <w:t>5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F57C699" w14:textId="77777777" w:rsidR="002C581F" w:rsidRDefault="00000000">
            <w:r>
              <w:rPr>
                <w:sz w:val="17"/>
                <w:szCs w:val="17"/>
              </w:rPr>
              <w:t>316.3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6AB040" w14:textId="77777777" w:rsidR="002C581F" w:rsidRDefault="00000000">
            <w:r>
              <w:rPr>
                <w:sz w:val="17"/>
                <w:szCs w:val="17"/>
              </w:rPr>
              <w:t>0.8348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8F86AD5" w14:textId="77777777" w:rsidR="002C581F" w:rsidRDefault="00000000">
            <w:r>
              <w:rPr>
                <w:sz w:val="17"/>
                <w:szCs w:val="17"/>
              </w:rPr>
              <w:t>0.5859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D27304B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3746897" w14:textId="77777777" w:rsidR="002C581F" w:rsidRDefault="00000000">
            <w:r>
              <w:rPr>
                <w:sz w:val="17"/>
                <w:szCs w:val="17"/>
              </w:rPr>
              <w:t>5.8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3DD3D4D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22F859A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1CB8C82" w14:textId="77777777" w:rsidR="002C581F" w:rsidRDefault="00000000">
            <w:r>
              <w:rPr>
                <w:sz w:val="17"/>
                <w:szCs w:val="17"/>
              </w:rPr>
              <w:t>6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8DA0A79" w14:textId="77777777" w:rsidR="002C581F" w:rsidRDefault="00000000">
            <w:r>
              <w:rPr>
                <w:sz w:val="17"/>
                <w:szCs w:val="17"/>
              </w:rPr>
              <w:t>315.3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FD0CD73" w14:textId="77777777" w:rsidR="002C581F" w:rsidRDefault="00000000">
            <w:r>
              <w:rPr>
                <w:sz w:val="17"/>
                <w:szCs w:val="17"/>
              </w:rPr>
              <w:t>0.8344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866B188" w14:textId="77777777" w:rsidR="002C581F" w:rsidRDefault="00000000">
            <w:r>
              <w:rPr>
                <w:sz w:val="17"/>
                <w:szCs w:val="17"/>
              </w:rPr>
              <w:t>0.6114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6B598CE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FB3EDFA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4BD732C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2474617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C93CFC2" w14:textId="77777777" w:rsidR="002C581F" w:rsidRDefault="00000000">
            <w:r>
              <w:rPr>
                <w:sz w:val="17"/>
                <w:szCs w:val="17"/>
              </w:rPr>
              <w:t>7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D95FD86" w14:textId="77777777" w:rsidR="002C581F" w:rsidRDefault="00000000">
            <w:r>
              <w:rPr>
                <w:sz w:val="17"/>
                <w:szCs w:val="17"/>
              </w:rPr>
              <w:t>315.3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E2BD26D" w14:textId="77777777" w:rsidR="002C581F" w:rsidRDefault="00000000">
            <w:r>
              <w:rPr>
                <w:sz w:val="17"/>
                <w:szCs w:val="17"/>
              </w:rPr>
              <w:t>0.8340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23463C9" w14:textId="77777777" w:rsidR="002C581F" w:rsidRDefault="00000000">
            <w:r>
              <w:rPr>
                <w:sz w:val="17"/>
                <w:szCs w:val="17"/>
              </w:rPr>
              <w:t>0.6114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EE4D4BD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BC20B69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E3C9030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5928EF2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FCD19E2" w14:textId="77777777" w:rsidR="002C581F" w:rsidRDefault="00000000">
            <w:r>
              <w:rPr>
                <w:sz w:val="17"/>
                <w:szCs w:val="17"/>
              </w:rPr>
              <w:t>8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A66B74A" w14:textId="77777777" w:rsidR="002C581F" w:rsidRDefault="00000000">
            <w:r>
              <w:rPr>
                <w:sz w:val="17"/>
                <w:szCs w:val="17"/>
              </w:rPr>
              <w:t>324.4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1925098" w14:textId="77777777" w:rsidR="002C581F" w:rsidRDefault="00000000">
            <w:r>
              <w:rPr>
                <w:sz w:val="17"/>
                <w:szCs w:val="17"/>
              </w:rPr>
              <w:t>0.8334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52AD8B3" w14:textId="77777777" w:rsidR="002C581F" w:rsidRDefault="00000000">
            <w:r>
              <w:rPr>
                <w:sz w:val="17"/>
                <w:szCs w:val="17"/>
              </w:rPr>
              <w:t>0.5653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7C7F9B6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DC374D0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E652429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29F234B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26B2567" w14:textId="77777777" w:rsidR="002C581F" w:rsidRDefault="00000000">
            <w:r>
              <w:rPr>
                <w:sz w:val="17"/>
                <w:szCs w:val="17"/>
              </w:rPr>
              <w:t>9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386946B" w14:textId="77777777" w:rsidR="002C581F" w:rsidRDefault="00000000">
            <w:r>
              <w:rPr>
                <w:sz w:val="17"/>
                <w:szCs w:val="17"/>
              </w:rPr>
              <w:t>324.4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CF8A8F5" w14:textId="77777777" w:rsidR="002C581F" w:rsidRDefault="00000000">
            <w:r>
              <w:rPr>
                <w:sz w:val="17"/>
                <w:szCs w:val="17"/>
              </w:rPr>
              <w:t>0.8331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A76A1E8" w14:textId="77777777" w:rsidR="002C581F" w:rsidRDefault="00000000">
            <w:r>
              <w:rPr>
                <w:sz w:val="17"/>
                <w:szCs w:val="17"/>
              </w:rPr>
              <w:t>0.5653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42E387E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C3A134F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B03C03A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553AA4A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BDDC499" w14:textId="77777777" w:rsidR="002C581F" w:rsidRDefault="00000000">
            <w:r>
              <w:rPr>
                <w:sz w:val="17"/>
                <w:szCs w:val="17"/>
              </w:rPr>
              <w:t>10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5CBF32F" w14:textId="77777777" w:rsidR="002C581F" w:rsidRDefault="00000000">
            <w:r>
              <w:rPr>
                <w:sz w:val="17"/>
                <w:szCs w:val="17"/>
              </w:rPr>
              <w:t>324.4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C3CFE22" w14:textId="77777777" w:rsidR="002C581F" w:rsidRDefault="00000000">
            <w:r>
              <w:rPr>
                <w:sz w:val="17"/>
                <w:szCs w:val="17"/>
              </w:rPr>
              <w:t>0.8329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AEE30B2" w14:textId="77777777" w:rsidR="002C581F" w:rsidRDefault="00000000">
            <w:r>
              <w:rPr>
                <w:sz w:val="17"/>
                <w:szCs w:val="17"/>
              </w:rPr>
              <w:t>0.5653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ECF0E67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8687B47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B4E485C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67F3976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5CC3D9D" w14:textId="77777777" w:rsidR="002C581F" w:rsidRDefault="00000000">
            <w:r>
              <w:rPr>
                <w:sz w:val="17"/>
                <w:szCs w:val="17"/>
              </w:rPr>
              <w:t>11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76495CA" w14:textId="77777777" w:rsidR="002C581F" w:rsidRDefault="00000000">
            <w:r>
              <w:rPr>
                <w:sz w:val="17"/>
                <w:szCs w:val="17"/>
              </w:rPr>
              <w:t>315.3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8D3337B" w14:textId="77777777" w:rsidR="002C581F" w:rsidRDefault="00000000">
            <w:r>
              <w:rPr>
                <w:sz w:val="17"/>
                <w:szCs w:val="17"/>
              </w:rPr>
              <w:t>0.8327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96AF25D" w14:textId="77777777" w:rsidR="002C581F" w:rsidRDefault="00000000">
            <w:r>
              <w:rPr>
                <w:sz w:val="17"/>
                <w:szCs w:val="17"/>
              </w:rPr>
              <w:t>0.6114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6E0BD36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6C7C23F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73A7A7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1A1654E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704D757" w14:textId="77777777" w:rsidR="002C581F" w:rsidRDefault="00000000">
            <w:r>
              <w:rPr>
                <w:sz w:val="17"/>
                <w:szCs w:val="17"/>
              </w:rPr>
              <w:t>12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FC5D48F" w14:textId="77777777" w:rsidR="002C581F" w:rsidRDefault="00000000">
            <w:r>
              <w:rPr>
                <w:sz w:val="17"/>
                <w:szCs w:val="17"/>
              </w:rPr>
              <w:t>321.4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3785561" w14:textId="77777777" w:rsidR="002C581F" w:rsidRDefault="00000000">
            <w:r>
              <w:rPr>
                <w:sz w:val="17"/>
                <w:szCs w:val="17"/>
              </w:rPr>
              <w:t>0.8318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A70457F" w14:textId="77777777" w:rsidR="002C581F" w:rsidRDefault="00000000">
            <w:r>
              <w:rPr>
                <w:sz w:val="17"/>
                <w:szCs w:val="17"/>
              </w:rPr>
              <w:t>0.5153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027227B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862A093" w14:textId="77777777" w:rsidR="002C581F" w:rsidRDefault="00000000">
            <w:r>
              <w:rPr>
                <w:sz w:val="17"/>
                <w:szCs w:val="17"/>
              </w:rPr>
              <w:t>5.0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AB703B7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6BB61BA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5C4F2F2" w14:textId="77777777" w:rsidR="002C581F" w:rsidRDefault="00000000">
            <w:r>
              <w:rPr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FA90880" w14:textId="77777777" w:rsidR="002C581F" w:rsidRDefault="00000000">
            <w:r>
              <w:rPr>
                <w:sz w:val="17"/>
                <w:szCs w:val="17"/>
              </w:rPr>
              <w:t>324.4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2B8077E" w14:textId="77777777" w:rsidR="002C581F" w:rsidRDefault="00000000">
            <w:r>
              <w:rPr>
                <w:sz w:val="17"/>
                <w:szCs w:val="17"/>
              </w:rPr>
              <w:t>0.8300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9044352" w14:textId="77777777" w:rsidR="002C581F" w:rsidRDefault="00000000">
            <w:r>
              <w:rPr>
                <w:sz w:val="17"/>
                <w:szCs w:val="17"/>
              </w:rPr>
              <w:t>0.5653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3974C67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E5AB3F4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B67BBE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4A7D4D2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44F2078" w14:textId="77777777" w:rsidR="002C581F" w:rsidRDefault="00000000">
            <w:r>
              <w:rPr>
                <w:sz w:val="17"/>
                <w:szCs w:val="17"/>
              </w:rPr>
              <w:t>14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A9D76EF" w14:textId="77777777" w:rsidR="002C581F" w:rsidRDefault="00000000">
            <w:r>
              <w:rPr>
                <w:sz w:val="17"/>
                <w:szCs w:val="17"/>
              </w:rPr>
              <w:t>313.4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E87268" w14:textId="77777777" w:rsidR="002C581F" w:rsidRDefault="00000000">
            <w:r>
              <w:rPr>
                <w:sz w:val="17"/>
                <w:szCs w:val="17"/>
              </w:rPr>
              <w:t>0.8294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179F9D6" w14:textId="77777777" w:rsidR="002C581F" w:rsidRDefault="00000000">
            <w:r>
              <w:rPr>
                <w:sz w:val="17"/>
                <w:szCs w:val="17"/>
              </w:rPr>
              <w:t>0.6114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F7282E5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7148AA6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A17B4BC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557A1E0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4052470" w14:textId="77777777" w:rsidR="002C581F" w:rsidRDefault="00000000">
            <w:r>
              <w:rPr>
                <w:sz w:val="17"/>
                <w:szCs w:val="17"/>
              </w:rPr>
              <w:t>15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453A5AC" w14:textId="77777777" w:rsidR="002C581F" w:rsidRDefault="00000000">
            <w:r>
              <w:rPr>
                <w:sz w:val="17"/>
                <w:szCs w:val="17"/>
              </w:rPr>
              <w:t>323.4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80767D0" w14:textId="77777777" w:rsidR="002C581F" w:rsidRDefault="00000000">
            <w:r>
              <w:rPr>
                <w:sz w:val="17"/>
                <w:szCs w:val="17"/>
              </w:rPr>
              <w:t>0.8293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F267678" w14:textId="77777777" w:rsidR="002C581F" w:rsidRDefault="00000000">
            <w:r>
              <w:rPr>
                <w:sz w:val="17"/>
                <w:szCs w:val="17"/>
              </w:rPr>
              <w:t>0.5179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19BC69E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01F59F7" w14:textId="77777777" w:rsidR="002C581F" w:rsidRDefault="00000000">
            <w:r>
              <w:rPr>
                <w:sz w:val="17"/>
                <w:szCs w:val="17"/>
              </w:rPr>
              <w:t>5.2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DCB25E8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1F8E10C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8DEF033" w14:textId="77777777" w:rsidR="002C581F" w:rsidRDefault="00000000">
            <w:r>
              <w:rPr>
                <w:sz w:val="17"/>
                <w:szCs w:val="17"/>
              </w:rPr>
              <w:t>16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BB19F75" w14:textId="77777777" w:rsidR="002C581F" w:rsidRDefault="00000000">
            <w:r>
              <w:rPr>
                <w:sz w:val="17"/>
                <w:szCs w:val="17"/>
              </w:rPr>
              <w:t>299.3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3F178E" w14:textId="77777777" w:rsidR="002C581F" w:rsidRDefault="00000000">
            <w:r>
              <w:rPr>
                <w:sz w:val="17"/>
                <w:szCs w:val="17"/>
              </w:rPr>
              <w:t>0.8286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7778A71" w14:textId="77777777" w:rsidR="002C581F" w:rsidRDefault="00000000">
            <w:r>
              <w:rPr>
                <w:sz w:val="17"/>
                <w:szCs w:val="17"/>
              </w:rPr>
              <w:t>0.6148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06BB17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D441102" w14:textId="77777777" w:rsidR="002C581F" w:rsidRDefault="00000000">
            <w:r>
              <w:rPr>
                <w:sz w:val="17"/>
                <w:szCs w:val="17"/>
              </w:rPr>
              <w:t>5.4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74D67A5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37F02FA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825F14B" w14:textId="77777777" w:rsidR="002C581F" w:rsidRDefault="00000000">
            <w:r>
              <w:rPr>
                <w:sz w:val="17"/>
                <w:szCs w:val="17"/>
              </w:rPr>
              <w:t>17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2A685AA" w14:textId="77777777" w:rsidR="002C581F" w:rsidRDefault="00000000">
            <w:r>
              <w:rPr>
                <w:sz w:val="17"/>
                <w:szCs w:val="17"/>
              </w:rPr>
              <w:t>317.3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962A62B" w14:textId="77777777" w:rsidR="002C581F" w:rsidRDefault="00000000">
            <w:r>
              <w:rPr>
                <w:sz w:val="17"/>
                <w:szCs w:val="17"/>
              </w:rPr>
              <w:t>0.8283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88DB08A" w14:textId="77777777" w:rsidR="002C581F" w:rsidRDefault="00000000">
            <w:r>
              <w:rPr>
                <w:sz w:val="17"/>
                <w:szCs w:val="17"/>
              </w:rPr>
              <w:t>0.5859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EBA6DB5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10F8ED9" w14:textId="77777777" w:rsidR="002C581F" w:rsidRDefault="00000000">
            <w:r>
              <w:rPr>
                <w:sz w:val="17"/>
                <w:szCs w:val="17"/>
              </w:rPr>
              <w:t>5.8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CE7E95C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3AF5048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4622E6F" w14:textId="77777777" w:rsidR="002C581F" w:rsidRDefault="00000000">
            <w:r>
              <w:rPr>
                <w:sz w:val="17"/>
                <w:szCs w:val="17"/>
              </w:rPr>
              <w:t>18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59C1458" w14:textId="77777777" w:rsidR="002C581F" w:rsidRDefault="00000000">
            <w:r>
              <w:rPr>
                <w:sz w:val="17"/>
                <w:szCs w:val="17"/>
              </w:rPr>
              <w:t>316.4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FC53A67" w14:textId="77777777" w:rsidR="002C581F" w:rsidRDefault="00000000">
            <w:r>
              <w:rPr>
                <w:sz w:val="17"/>
                <w:szCs w:val="17"/>
              </w:rPr>
              <w:t>0.8273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C5E515D" w14:textId="77777777" w:rsidR="002C581F" w:rsidRDefault="00000000">
            <w:r>
              <w:rPr>
                <w:sz w:val="17"/>
                <w:szCs w:val="17"/>
              </w:rPr>
              <w:t>0.6148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96455B7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9395447" w14:textId="77777777" w:rsidR="002C581F" w:rsidRDefault="00000000">
            <w:r>
              <w:rPr>
                <w:sz w:val="17"/>
                <w:szCs w:val="17"/>
              </w:rPr>
              <w:t>5.0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762F8F1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76E44A0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4BB73C0" w14:textId="77777777" w:rsidR="002C581F" w:rsidRDefault="00000000">
            <w:r>
              <w:rPr>
                <w:sz w:val="17"/>
                <w:szCs w:val="17"/>
              </w:rPr>
              <w:t>19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6547C3F" w14:textId="77777777" w:rsidR="002C581F" w:rsidRDefault="00000000">
            <w:r>
              <w:rPr>
                <w:sz w:val="17"/>
                <w:szCs w:val="17"/>
              </w:rPr>
              <w:t>299.3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22F3B26" w14:textId="77777777" w:rsidR="002C581F" w:rsidRDefault="00000000">
            <w:r>
              <w:rPr>
                <w:sz w:val="17"/>
                <w:szCs w:val="17"/>
              </w:rPr>
              <w:t>0.8272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8FD1ED6" w14:textId="77777777" w:rsidR="002C581F" w:rsidRDefault="00000000">
            <w:r>
              <w:rPr>
                <w:sz w:val="17"/>
                <w:szCs w:val="17"/>
              </w:rPr>
              <w:t>0.6148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194BF4D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27BB25C" w14:textId="77777777" w:rsidR="002C581F" w:rsidRDefault="00000000">
            <w:r>
              <w:rPr>
                <w:sz w:val="17"/>
                <w:szCs w:val="17"/>
              </w:rPr>
              <w:t>5.0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E762E8A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  <w:tr w:rsidR="002C581F" w14:paraId="46D33B2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EF92D50" w14:textId="77777777" w:rsidR="002C581F" w:rsidRDefault="00000000">
            <w:r>
              <w:rPr>
                <w:sz w:val="17"/>
                <w:szCs w:val="17"/>
              </w:rPr>
              <w:t>20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84C1B39" w14:textId="77777777" w:rsidR="002C581F" w:rsidRDefault="00000000">
            <w:r>
              <w:rPr>
                <w:sz w:val="17"/>
                <w:szCs w:val="17"/>
              </w:rPr>
              <w:t>317.3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ABD264A" w14:textId="77777777" w:rsidR="002C581F" w:rsidRDefault="00000000">
            <w:r>
              <w:rPr>
                <w:sz w:val="17"/>
                <w:szCs w:val="17"/>
              </w:rPr>
              <w:t>0.8270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5728A6D" w14:textId="77777777" w:rsidR="002C581F" w:rsidRDefault="00000000">
            <w:r>
              <w:rPr>
                <w:sz w:val="17"/>
                <w:szCs w:val="17"/>
              </w:rPr>
              <w:t>0.5859</w:t>
            </w:r>
          </w:p>
        </w:tc>
        <w:tc>
          <w:tcPr>
            <w:tcW w:w="1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6352B25" w14:textId="77777777" w:rsidR="002C581F" w:rsidRDefault="00000000">
            <w:r>
              <w:rPr>
                <w:sz w:val="17"/>
                <w:szCs w:val="17"/>
              </w:rPr>
              <w:t>CLEAN</w:t>
            </w:r>
          </w:p>
        </w:tc>
        <w:tc>
          <w:tcPr>
            <w:tcW w:w="1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0C52972" w14:textId="77777777" w:rsidR="002C581F" w:rsidRDefault="00000000">
            <w:r>
              <w:rPr>
                <w:sz w:val="17"/>
                <w:szCs w:val="17"/>
              </w:rPr>
              <w:t>5.8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6D3CFAF" w14:textId="77777777" w:rsidR="002C581F" w:rsidRDefault="00000000">
            <w:r>
              <w:rPr>
                <w:sz w:val="17"/>
                <w:szCs w:val="17"/>
              </w:rPr>
              <w:t>HIGH</w:t>
            </w:r>
          </w:p>
        </w:tc>
      </w:tr>
    </w:tbl>
    <w:p w14:paraId="3091F594" w14:textId="77777777" w:rsidR="002C581F" w:rsidRDefault="00000000">
      <w:r>
        <w:br w:type="page"/>
      </w:r>
    </w:p>
    <w:p w14:paraId="6A870C80" w14:textId="77777777" w:rsidR="002C581F" w:rsidRDefault="00000000">
      <w:pPr>
        <w:pStyle w:val="1"/>
      </w:pPr>
      <w:r>
        <w:lastRenderedPageBreak/>
        <w:t>S3. Commercially available compounds identified by the engine (fully disclosed)</w:t>
      </w:r>
    </w:p>
    <w:p w14:paraId="59F76D41" w14:textId="77777777" w:rsidR="002C581F" w:rsidRDefault="00000000">
      <w:pPr>
        <w:spacing w:after="120" w:line="300" w:lineRule="auto"/>
        <w:jc w:val="both"/>
      </w:pPr>
      <w:r>
        <w:t xml:space="preserve">CAS-confirmed, purchasable compounds flagged by the engine for the α-synuclein NAC target. Rows marked </w:t>
      </w:r>
      <w:r>
        <w:rPr>
          <w:b/>
          <w:bCs/>
        </w:rPr>
        <w:t>TESTED</w:t>
      </w:r>
      <w:r>
        <w:t xml:space="preserve"> were actually purchased and assayed by thioflavin-T (Fig. 4): the three engine-nominated candidates (2-D08, </w:t>
      </w:r>
      <w:proofErr w:type="spellStart"/>
      <w:r>
        <w:t>Uralenol</w:t>
      </w:r>
      <w:proofErr w:type="spellEnd"/>
      <w:r>
        <w:t xml:space="preserve">, </w:t>
      </w:r>
      <w:proofErr w:type="spellStart"/>
      <w:r>
        <w:t>Herbacetin</w:t>
      </w:r>
      <w:proofErr w:type="spellEnd"/>
      <w:r>
        <w:t>) plus the EGCG positive control. These known compounds are disclosed in full.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680"/>
        <w:gridCol w:w="1320"/>
        <w:gridCol w:w="720"/>
        <w:gridCol w:w="720"/>
        <w:gridCol w:w="640"/>
        <w:gridCol w:w="760"/>
        <w:gridCol w:w="1180"/>
        <w:gridCol w:w="2020"/>
      </w:tblGrid>
      <w:tr w:rsidR="002C581F" w14:paraId="0FF5276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4273FE4" w14:textId="77777777" w:rsidR="002C581F" w:rsidRDefault="00000000">
            <w:r>
              <w:rPr>
                <w:b/>
                <w:bCs/>
                <w:sz w:val="17"/>
                <w:szCs w:val="17"/>
              </w:rPr>
              <w:t>#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0CAC92B" w14:textId="77777777" w:rsidR="002C581F" w:rsidRDefault="00000000">
            <w:r>
              <w:rPr>
                <w:b/>
                <w:bCs/>
                <w:sz w:val="17"/>
                <w:szCs w:val="17"/>
              </w:rPr>
              <w:t>Compound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E94716E" w14:textId="77777777" w:rsidR="002C581F" w:rsidRDefault="00000000">
            <w:r>
              <w:rPr>
                <w:b/>
                <w:bCs/>
                <w:sz w:val="17"/>
                <w:szCs w:val="17"/>
              </w:rPr>
              <w:t>CAS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FD057B7" w14:textId="77777777" w:rsidR="002C581F" w:rsidRDefault="00000000">
            <w:r>
              <w:rPr>
                <w:b/>
                <w:bCs/>
                <w:sz w:val="17"/>
                <w:szCs w:val="17"/>
              </w:rPr>
              <w:t>MW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6C1B749" w14:textId="77777777" w:rsidR="002C581F" w:rsidRDefault="00000000">
            <w:proofErr w:type="spellStart"/>
            <w:r>
              <w:rPr>
                <w:b/>
                <w:bCs/>
                <w:sz w:val="17"/>
                <w:szCs w:val="17"/>
              </w:rPr>
              <w:t>cLogP</w:t>
            </w:r>
            <w:proofErr w:type="spellEnd"/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A14104" w14:textId="77777777" w:rsidR="002C581F" w:rsidRDefault="00000000">
            <w:r>
              <w:rPr>
                <w:b/>
                <w:bCs/>
                <w:sz w:val="17"/>
                <w:szCs w:val="17"/>
              </w:rPr>
              <w:t>Rank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547F399" w14:textId="77777777" w:rsidR="002C581F" w:rsidRDefault="00000000">
            <w:r>
              <w:rPr>
                <w:b/>
                <w:bCs/>
                <w:sz w:val="17"/>
                <w:szCs w:val="17"/>
              </w:rPr>
              <w:t>Score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458F074" w14:textId="77777777" w:rsidR="002C581F" w:rsidRDefault="00000000">
            <w:r>
              <w:rPr>
                <w:b/>
                <w:bCs/>
                <w:sz w:val="17"/>
                <w:szCs w:val="17"/>
              </w:rPr>
              <w:t>Group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30D4AA2" w14:textId="77777777" w:rsidR="002C581F" w:rsidRDefault="00000000">
            <w:r>
              <w:rPr>
                <w:b/>
                <w:bCs/>
                <w:sz w:val="17"/>
                <w:szCs w:val="17"/>
              </w:rPr>
              <w:t>Note</w:t>
            </w:r>
          </w:p>
        </w:tc>
      </w:tr>
      <w:tr w:rsidR="002C581F" w14:paraId="220FC57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AF5929A" w14:textId="77777777" w:rsidR="002C581F" w:rsidRDefault="00000000">
            <w:r>
              <w:rPr>
                <w:sz w:val="17"/>
                <w:szCs w:val="17"/>
              </w:rPr>
              <w:t>1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A060545" w14:textId="77777777" w:rsidR="002C581F" w:rsidRDefault="00000000">
            <w:r>
              <w:rPr>
                <w:sz w:val="17"/>
                <w:szCs w:val="17"/>
              </w:rPr>
              <w:t>Luteolin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4051469" w14:textId="77777777" w:rsidR="002C581F" w:rsidRDefault="00000000">
            <w:r>
              <w:rPr>
                <w:sz w:val="17"/>
                <w:szCs w:val="17"/>
              </w:rPr>
              <w:t>491-70-3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1ECF303" w14:textId="77777777" w:rsidR="002C581F" w:rsidRDefault="00000000">
            <w:r>
              <w:rPr>
                <w:sz w:val="17"/>
                <w:szCs w:val="17"/>
              </w:rPr>
              <w:t>286.2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A337F06" w14:textId="77777777" w:rsidR="002C581F" w:rsidRDefault="00000000">
            <w:r>
              <w:rPr>
                <w:sz w:val="17"/>
                <w:szCs w:val="17"/>
              </w:rPr>
              <w:t>2.28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49CE737" w14:textId="77777777" w:rsidR="002C581F" w:rsidRDefault="00000000">
            <w:r>
              <w:rPr>
                <w:sz w:val="17"/>
                <w:szCs w:val="17"/>
              </w:rPr>
              <w:t>11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25F0140" w14:textId="77777777" w:rsidR="002C581F" w:rsidRDefault="00000000">
            <w:r>
              <w:rPr>
                <w:sz w:val="17"/>
                <w:szCs w:val="17"/>
              </w:rPr>
              <w:t>0.4981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1BFA6AE" w14:textId="77777777" w:rsidR="002C581F" w:rsidRDefault="00000000">
            <w:r>
              <w:rPr>
                <w:sz w:val="17"/>
                <w:szCs w:val="17"/>
              </w:rPr>
              <w:t>Literature α-syn active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06A1E0E" w14:textId="77777777" w:rsidR="002C581F" w:rsidRDefault="00000000">
            <w:r>
              <w:rPr>
                <w:sz w:val="17"/>
                <w:szCs w:val="17"/>
              </w:rPr>
              <w:t>IC50 5–20 µM</w:t>
            </w:r>
          </w:p>
        </w:tc>
      </w:tr>
      <w:tr w:rsidR="002C581F" w14:paraId="7E4A823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2166F65" w14:textId="77777777" w:rsidR="002C581F" w:rsidRDefault="00000000">
            <w:r>
              <w:rPr>
                <w:sz w:val="17"/>
                <w:szCs w:val="17"/>
              </w:rPr>
              <w:t>2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1BC4C62" w14:textId="77777777" w:rsidR="002C581F" w:rsidRDefault="00000000">
            <w:r>
              <w:rPr>
                <w:sz w:val="17"/>
                <w:szCs w:val="17"/>
              </w:rPr>
              <w:t>Quercetin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FCB2B82" w14:textId="77777777" w:rsidR="002C581F" w:rsidRDefault="00000000">
            <w:r>
              <w:rPr>
                <w:sz w:val="17"/>
                <w:szCs w:val="17"/>
              </w:rPr>
              <w:t>117-39-5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051073F" w14:textId="77777777" w:rsidR="002C581F" w:rsidRDefault="00000000">
            <w:r>
              <w:rPr>
                <w:sz w:val="17"/>
                <w:szCs w:val="17"/>
              </w:rPr>
              <w:t>302.2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F8FE0D1" w14:textId="77777777" w:rsidR="002C581F" w:rsidRDefault="00000000">
            <w:r>
              <w:rPr>
                <w:sz w:val="17"/>
                <w:szCs w:val="17"/>
              </w:rPr>
              <w:t>1.99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DB07F19" w14:textId="77777777" w:rsidR="002C581F" w:rsidRDefault="00000000">
            <w:r>
              <w:rPr>
                <w:sz w:val="17"/>
                <w:szCs w:val="17"/>
              </w:rPr>
              <w:t>79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708E5BC" w14:textId="77777777" w:rsidR="002C581F" w:rsidRDefault="00000000">
            <w:r>
              <w:rPr>
                <w:sz w:val="17"/>
                <w:szCs w:val="17"/>
              </w:rPr>
              <w:t>0.4897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B621652" w14:textId="77777777" w:rsidR="002C581F" w:rsidRDefault="00000000">
            <w:r>
              <w:rPr>
                <w:sz w:val="17"/>
                <w:szCs w:val="17"/>
              </w:rPr>
              <w:t>Literature α-syn active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CFF0409" w14:textId="77777777" w:rsidR="002C581F" w:rsidRDefault="00000000">
            <w:r>
              <w:rPr>
                <w:sz w:val="17"/>
                <w:szCs w:val="17"/>
              </w:rPr>
              <w:t>IC50 10–50 µM</w:t>
            </w:r>
          </w:p>
        </w:tc>
      </w:tr>
      <w:tr w:rsidR="002C581F" w14:paraId="1C8C25E6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B736E7A" w14:textId="77777777" w:rsidR="002C581F" w:rsidRDefault="00000000">
            <w:r>
              <w:rPr>
                <w:sz w:val="17"/>
                <w:szCs w:val="17"/>
              </w:rPr>
              <w:t>3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661EBCD" w14:textId="77777777" w:rsidR="002C581F" w:rsidRDefault="00000000">
            <w:r>
              <w:rPr>
                <w:sz w:val="17"/>
                <w:szCs w:val="17"/>
              </w:rPr>
              <w:t>Baicalein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59FFB20" w14:textId="77777777" w:rsidR="002C581F" w:rsidRDefault="00000000">
            <w:r>
              <w:rPr>
                <w:sz w:val="17"/>
                <w:szCs w:val="17"/>
              </w:rPr>
              <w:t>491-67-8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71EACA" w14:textId="77777777" w:rsidR="002C581F" w:rsidRDefault="00000000">
            <w:r>
              <w:rPr>
                <w:sz w:val="17"/>
                <w:szCs w:val="17"/>
              </w:rPr>
              <w:t>270.2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E49445D" w14:textId="77777777" w:rsidR="002C581F" w:rsidRDefault="00000000">
            <w:r>
              <w:rPr>
                <w:sz w:val="17"/>
                <w:szCs w:val="17"/>
              </w:rPr>
              <w:t>2.58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BD07CBA" w14:textId="77777777" w:rsidR="002C581F" w:rsidRDefault="00000000">
            <w:r>
              <w:rPr>
                <w:sz w:val="17"/>
                <w:szCs w:val="17"/>
              </w:rPr>
              <w:t>105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84DB65A" w14:textId="77777777" w:rsidR="002C581F" w:rsidRDefault="00000000">
            <w:r>
              <w:rPr>
                <w:sz w:val="17"/>
                <w:szCs w:val="17"/>
              </w:rPr>
              <w:t>0.4891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85958CF" w14:textId="77777777" w:rsidR="002C581F" w:rsidRDefault="00000000">
            <w:r>
              <w:rPr>
                <w:sz w:val="17"/>
                <w:szCs w:val="17"/>
              </w:rPr>
              <w:t>Literature α-syn active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5F3E1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6B0ED4B" w14:textId="77777777" w:rsidR="002C581F" w:rsidRDefault="00000000">
            <w:r>
              <w:rPr>
                <w:sz w:val="17"/>
                <w:szCs w:val="17"/>
              </w:rPr>
              <w:t>IC50 1–5 µM</w:t>
            </w:r>
          </w:p>
        </w:tc>
      </w:tr>
      <w:tr w:rsidR="002C581F" w14:paraId="015F1FB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7969F41" w14:textId="77777777" w:rsidR="002C581F" w:rsidRDefault="00000000">
            <w:r>
              <w:rPr>
                <w:sz w:val="17"/>
                <w:szCs w:val="17"/>
              </w:rPr>
              <w:t>4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8684B04" w14:textId="77777777" w:rsidR="002C581F" w:rsidRDefault="00000000">
            <w:r>
              <w:rPr>
                <w:sz w:val="17"/>
                <w:szCs w:val="17"/>
              </w:rPr>
              <w:t>5'-Prenylquercetin (</w:t>
            </w:r>
            <w:proofErr w:type="spellStart"/>
            <w:r>
              <w:rPr>
                <w:sz w:val="17"/>
                <w:szCs w:val="17"/>
              </w:rPr>
              <w:t>Uralenol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412C074" w14:textId="77777777" w:rsidR="002C581F" w:rsidRDefault="00000000">
            <w:r>
              <w:rPr>
                <w:sz w:val="17"/>
                <w:szCs w:val="17"/>
              </w:rPr>
              <w:t>139163-15-8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E6E0079" w14:textId="77777777" w:rsidR="002C581F" w:rsidRDefault="00000000">
            <w:r>
              <w:rPr>
                <w:sz w:val="17"/>
                <w:szCs w:val="17"/>
              </w:rPr>
              <w:t>370.4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D151619" w14:textId="77777777" w:rsidR="002C581F" w:rsidRDefault="00000000">
            <w:r>
              <w:rPr>
                <w:sz w:val="17"/>
                <w:szCs w:val="17"/>
              </w:rPr>
              <w:t>3.50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CFD8589" w14:textId="77777777" w:rsidR="002C581F" w:rsidRDefault="00000000">
            <w:r>
              <w:rPr>
                <w:sz w:val="17"/>
                <w:szCs w:val="17"/>
              </w:rPr>
              <w:t>7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4F8CB69" w14:textId="77777777" w:rsidR="002C581F" w:rsidRDefault="00000000">
            <w:r>
              <w:rPr>
                <w:sz w:val="17"/>
                <w:szCs w:val="17"/>
              </w:rPr>
              <w:t>0.5035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7A051AF" w14:textId="77777777" w:rsidR="002C581F" w:rsidRDefault="00000000">
            <w:r>
              <w:rPr>
                <w:sz w:val="17"/>
                <w:szCs w:val="17"/>
              </w:rPr>
              <w:t>α-syn-unreported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C6A9EE8" w14:textId="77777777" w:rsidR="002C581F" w:rsidRDefault="00000000">
            <w:r>
              <w:rPr>
                <w:sz w:val="17"/>
                <w:szCs w:val="17"/>
              </w:rPr>
              <w:t xml:space="preserve">TESTED — </w:t>
            </w:r>
            <w:proofErr w:type="spellStart"/>
            <w:r>
              <w:rPr>
                <w:sz w:val="17"/>
                <w:szCs w:val="17"/>
              </w:rPr>
              <w:t>ThT</w:t>
            </w:r>
            <w:proofErr w:type="spellEnd"/>
            <w:r>
              <w:rPr>
                <w:sz w:val="17"/>
                <w:szCs w:val="17"/>
              </w:rPr>
              <w:t>, ~68% reduction</w:t>
            </w:r>
          </w:p>
        </w:tc>
      </w:tr>
      <w:tr w:rsidR="002C581F" w14:paraId="75BC8B6A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94FBB58" w14:textId="77777777" w:rsidR="002C581F" w:rsidRDefault="00000000">
            <w:r>
              <w:rPr>
                <w:sz w:val="17"/>
                <w:szCs w:val="17"/>
              </w:rPr>
              <w:t>5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2D2E3FB" w14:textId="77777777" w:rsidR="002C581F" w:rsidRDefault="00000000">
            <w:proofErr w:type="spellStart"/>
            <w:r>
              <w:rPr>
                <w:sz w:val="17"/>
                <w:szCs w:val="17"/>
              </w:rPr>
              <w:t>Isoscutellarein</w:t>
            </w:r>
            <w:proofErr w:type="spellEnd"/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F80DE4A" w14:textId="77777777" w:rsidR="002C581F" w:rsidRDefault="00000000">
            <w:r>
              <w:rPr>
                <w:sz w:val="17"/>
                <w:szCs w:val="17"/>
              </w:rPr>
              <w:t>41440-05-5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DDC8902" w14:textId="77777777" w:rsidR="002C581F" w:rsidRDefault="00000000">
            <w:r>
              <w:rPr>
                <w:sz w:val="17"/>
                <w:szCs w:val="17"/>
              </w:rPr>
              <w:t>286.2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81008C" w14:textId="77777777" w:rsidR="002C581F" w:rsidRDefault="00000000">
            <w:r>
              <w:rPr>
                <w:sz w:val="17"/>
                <w:szCs w:val="17"/>
              </w:rPr>
              <w:t>2.28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FFEC736" w14:textId="77777777" w:rsidR="002C581F" w:rsidRDefault="00000000">
            <w:r>
              <w:rPr>
                <w:sz w:val="17"/>
                <w:szCs w:val="17"/>
              </w:rPr>
              <w:t>8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C2D3FFB" w14:textId="77777777" w:rsidR="002C581F" w:rsidRDefault="00000000">
            <w:r>
              <w:rPr>
                <w:sz w:val="17"/>
                <w:szCs w:val="17"/>
              </w:rPr>
              <w:t>0.5020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EFC4019" w14:textId="77777777" w:rsidR="002C581F" w:rsidRDefault="00000000">
            <w:r>
              <w:rPr>
                <w:sz w:val="17"/>
                <w:szCs w:val="17"/>
              </w:rPr>
              <w:t>α-syn-unreported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E33D69A" w14:textId="77777777" w:rsidR="002C581F" w:rsidRDefault="00000000">
            <w:r>
              <w:rPr>
                <w:sz w:val="17"/>
                <w:szCs w:val="17"/>
              </w:rPr>
              <w:t>α-syn unreported</w:t>
            </w:r>
          </w:p>
        </w:tc>
      </w:tr>
      <w:tr w:rsidR="002C581F" w14:paraId="3EE7672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D3D478F" w14:textId="77777777" w:rsidR="002C581F" w:rsidRDefault="00000000">
            <w:r>
              <w:rPr>
                <w:sz w:val="17"/>
                <w:szCs w:val="17"/>
              </w:rPr>
              <w:t>6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2EF2214" w14:textId="77777777" w:rsidR="002C581F" w:rsidRDefault="00000000">
            <w:proofErr w:type="spellStart"/>
            <w:r>
              <w:rPr>
                <w:sz w:val="17"/>
                <w:szCs w:val="17"/>
              </w:rPr>
              <w:t>Herbacetin</w:t>
            </w:r>
            <w:proofErr w:type="spellEnd"/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AFB06AB" w14:textId="77777777" w:rsidR="002C581F" w:rsidRDefault="00000000">
            <w:r>
              <w:rPr>
                <w:sz w:val="17"/>
                <w:szCs w:val="17"/>
              </w:rPr>
              <w:t>527-95-7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B3BD12D" w14:textId="77777777" w:rsidR="002C581F" w:rsidRDefault="00000000">
            <w:r>
              <w:rPr>
                <w:sz w:val="17"/>
                <w:szCs w:val="17"/>
              </w:rPr>
              <w:t>302.2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D452FD" w14:textId="77777777" w:rsidR="002C581F" w:rsidRDefault="00000000">
            <w:r>
              <w:rPr>
                <w:sz w:val="17"/>
                <w:szCs w:val="17"/>
              </w:rPr>
              <w:t>1.99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C806AC2" w14:textId="77777777" w:rsidR="002C581F" w:rsidRDefault="00000000">
            <w:r>
              <w:rPr>
                <w:sz w:val="17"/>
                <w:szCs w:val="17"/>
              </w:rPr>
              <w:t>9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58C6CD2" w14:textId="77777777" w:rsidR="002C581F" w:rsidRDefault="00000000">
            <w:r>
              <w:rPr>
                <w:sz w:val="17"/>
                <w:szCs w:val="17"/>
              </w:rPr>
              <w:t>0.5017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7376DB0" w14:textId="77777777" w:rsidR="002C581F" w:rsidRDefault="00000000">
            <w:r>
              <w:rPr>
                <w:sz w:val="17"/>
                <w:szCs w:val="17"/>
              </w:rPr>
              <w:t>α-syn-unreported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477B1A9" w14:textId="77777777" w:rsidR="002C581F" w:rsidRDefault="00000000">
            <w:r>
              <w:rPr>
                <w:sz w:val="17"/>
                <w:szCs w:val="17"/>
              </w:rPr>
              <w:t xml:space="preserve">TESTED — </w:t>
            </w:r>
            <w:proofErr w:type="spellStart"/>
            <w:r>
              <w:rPr>
                <w:sz w:val="17"/>
                <w:szCs w:val="17"/>
              </w:rPr>
              <w:t>ThT</w:t>
            </w:r>
            <w:proofErr w:type="spellEnd"/>
            <w:r>
              <w:rPr>
                <w:sz w:val="17"/>
                <w:szCs w:val="17"/>
              </w:rPr>
              <w:t>, ~51% (delayed)</w:t>
            </w:r>
          </w:p>
        </w:tc>
      </w:tr>
      <w:tr w:rsidR="002C581F" w14:paraId="4E15B8E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E6C2272" w14:textId="77777777" w:rsidR="002C581F" w:rsidRDefault="00000000">
            <w:r>
              <w:rPr>
                <w:sz w:val="17"/>
                <w:szCs w:val="17"/>
              </w:rPr>
              <w:t>7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57257DE" w14:textId="77777777" w:rsidR="002C581F" w:rsidRDefault="00000000">
            <w:r>
              <w:rPr>
                <w:sz w:val="17"/>
                <w:szCs w:val="17"/>
              </w:rPr>
              <w:t>2-D08 (2',3',4'-trihydroxyflavone)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EA19B11" w14:textId="77777777" w:rsidR="002C581F" w:rsidRDefault="00000000">
            <w:r>
              <w:rPr>
                <w:sz w:val="17"/>
                <w:szCs w:val="17"/>
              </w:rPr>
              <w:t>144707-18-6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8C6B698" w14:textId="77777777" w:rsidR="002C581F" w:rsidRDefault="00000000">
            <w:r>
              <w:rPr>
                <w:sz w:val="17"/>
                <w:szCs w:val="17"/>
              </w:rPr>
              <w:t>270.2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A578969" w14:textId="77777777" w:rsidR="002C581F" w:rsidRDefault="00000000">
            <w:r>
              <w:rPr>
                <w:sz w:val="17"/>
                <w:szCs w:val="17"/>
              </w:rPr>
              <w:t>2.58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B3F50B9" w14:textId="77777777" w:rsidR="002C581F" w:rsidRDefault="00000000">
            <w:r>
              <w:rPr>
                <w:sz w:val="17"/>
                <w:szCs w:val="17"/>
              </w:rPr>
              <w:t>22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70878EF" w14:textId="77777777" w:rsidR="002C581F" w:rsidRDefault="00000000">
            <w:r>
              <w:rPr>
                <w:sz w:val="17"/>
                <w:szCs w:val="17"/>
              </w:rPr>
              <w:t>0.4944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B145DB6" w14:textId="77777777" w:rsidR="002C581F" w:rsidRDefault="00000000">
            <w:r>
              <w:rPr>
                <w:sz w:val="17"/>
                <w:szCs w:val="17"/>
              </w:rPr>
              <w:t>α-syn-unreported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75BF6BE" w14:textId="77777777" w:rsidR="002C581F" w:rsidRDefault="00000000">
            <w:r>
              <w:rPr>
                <w:sz w:val="17"/>
                <w:szCs w:val="17"/>
              </w:rPr>
              <w:t xml:space="preserve">TESTED — </w:t>
            </w:r>
            <w:proofErr w:type="spellStart"/>
            <w:r>
              <w:rPr>
                <w:sz w:val="17"/>
                <w:szCs w:val="17"/>
              </w:rPr>
              <w:t>ThT</w:t>
            </w:r>
            <w:proofErr w:type="spellEnd"/>
            <w:r>
              <w:rPr>
                <w:sz w:val="17"/>
                <w:szCs w:val="17"/>
              </w:rPr>
              <w:t>, complete</w:t>
            </w:r>
          </w:p>
        </w:tc>
      </w:tr>
      <w:tr w:rsidR="002C581F" w14:paraId="5B18D02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262721F" w14:textId="77777777" w:rsidR="002C581F" w:rsidRDefault="00000000">
            <w:r>
              <w:rPr>
                <w:sz w:val="17"/>
                <w:szCs w:val="17"/>
              </w:rPr>
              <w:t>8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5C0D5B3" w14:textId="77777777" w:rsidR="002C581F" w:rsidRDefault="00000000">
            <w:proofErr w:type="spellStart"/>
            <w:r>
              <w:rPr>
                <w:sz w:val="17"/>
                <w:szCs w:val="17"/>
              </w:rPr>
              <w:t>Azaleatin</w:t>
            </w:r>
            <w:proofErr w:type="spellEnd"/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1D2DD9D" w14:textId="77777777" w:rsidR="002C581F" w:rsidRDefault="00000000">
            <w:r>
              <w:rPr>
                <w:sz w:val="17"/>
                <w:szCs w:val="17"/>
              </w:rPr>
              <w:t>529-51-1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18CA29C" w14:textId="77777777" w:rsidR="002C581F" w:rsidRDefault="00000000">
            <w:r>
              <w:rPr>
                <w:sz w:val="17"/>
                <w:szCs w:val="17"/>
              </w:rPr>
              <w:t>316.3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B46F498" w14:textId="77777777" w:rsidR="002C581F" w:rsidRDefault="00000000">
            <w:r>
              <w:rPr>
                <w:sz w:val="17"/>
                <w:szCs w:val="17"/>
              </w:rPr>
              <w:t>2.29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C222E5A" w14:textId="77777777" w:rsidR="002C581F" w:rsidRDefault="00000000">
            <w:r>
              <w:rPr>
                <w:sz w:val="17"/>
                <w:szCs w:val="17"/>
              </w:rPr>
              <w:t>26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659294F" w14:textId="77777777" w:rsidR="002C581F" w:rsidRDefault="00000000">
            <w:r>
              <w:rPr>
                <w:sz w:val="17"/>
                <w:szCs w:val="17"/>
              </w:rPr>
              <w:t>0.4937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59283C8" w14:textId="77777777" w:rsidR="002C581F" w:rsidRDefault="00000000">
            <w:r>
              <w:rPr>
                <w:sz w:val="17"/>
                <w:szCs w:val="17"/>
              </w:rPr>
              <w:t>α-syn-unreported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CEFE0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0D65F75" w14:textId="77777777" w:rsidR="002C581F" w:rsidRDefault="00000000">
            <w:r>
              <w:rPr>
                <w:sz w:val="17"/>
                <w:szCs w:val="17"/>
              </w:rPr>
              <w:t>α-syn unreported</w:t>
            </w:r>
          </w:p>
        </w:tc>
      </w:tr>
      <w:tr w:rsidR="002C581F" w14:paraId="1D7AF77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1F5B73D" w14:textId="77777777" w:rsidR="002C581F" w:rsidRDefault="00000000">
            <w:r>
              <w:rPr>
                <w:sz w:val="17"/>
                <w:szCs w:val="17"/>
              </w:rPr>
              <w:t>9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A8387E9" w14:textId="77777777" w:rsidR="002C581F" w:rsidRDefault="00000000">
            <w:r>
              <w:rPr>
                <w:sz w:val="17"/>
                <w:szCs w:val="17"/>
              </w:rPr>
              <w:t>Anle138b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301CCF0" w14:textId="77777777" w:rsidR="002C581F" w:rsidRDefault="00000000">
            <w:r>
              <w:rPr>
                <w:sz w:val="17"/>
                <w:szCs w:val="17"/>
              </w:rPr>
              <w:t>882697-00-9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71FDE1E" w14:textId="77777777" w:rsidR="002C581F" w:rsidRDefault="00000000">
            <w:r>
              <w:rPr>
                <w:sz w:val="17"/>
                <w:szCs w:val="17"/>
              </w:rPr>
              <w:t>343.2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C98F0F4" w14:textId="77777777" w:rsidR="002C581F" w:rsidRDefault="00000000">
            <w:r>
              <w:rPr>
                <w:sz w:val="17"/>
                <w:szCs w:val="17"/>
              </w:rPr>
              <w:t>4.56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2608222" w14:textId="77777777" w:rsidR="002C581F" w:rsidRDefault="00000000">
            <w:r>
              <w:rPr>
                <w:sz w:val="17"/>
                <w:szCs w:val="17"/>
              </w:rPr>
              <w:t>—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B6CFC63" w14:textId="77777777" w:rsidR="002C581F" w:rsidRDefault="00000000">
            <w:r>
              <w:rPr>
                <w:sz w:val="17"/>
                <w:szCs w:val="17"/>
              </w:rPr>
              <w:t>—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F1B37FC" w14:textId="77777777" w:rsidR="002C581F" w:rsidRDefault="00000000">
            <w:r>
              <w:rPr>
                <w:sz w:val="17"/>
                <w:szCs w:val="17"/>
              </w:rPr>
              <w:t>Positive control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23F9D1B" w14:textId="77777777" w:rsidR="002C581F" w:rsidRDefault="00000000">
            <w:r>
              <w:rPr>
                <w:sz w:val="17"/>
                <w:szCs w:val="17"/>
              </w:rPr>
              <w:t>reference positive (not assayed; EGCG used as assayed control)</w:t>
            </w:r>
          </w:p>
        </w:tc>
      </w:tr>
      <w:tr w:rsidR="002C581F" w14:paraId="61D8E01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17558B8" w14:textId="77777777" w:rsidR="002C581F" w:rsidRDefault="00000000">
            <w:r>
              <w:rPr>
                <w:sz w:val="17"/>
                <w:szCs w:val="17"/>
              </w:rPr>
              <w:t>10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DD94A4E" w14:textId="77777777" w:rsidR="002C581F" w:rsidRDefault="00000000">
            <w:r>
              <w:rPr>
                <w:sz w:val="17"/>
                <w:szCs w:val="17"/>
              </w:rPr>
              <w:t>EGCG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4048CC4" w14:textId="77777777" w:rsidR="002C581F" w:rsidRDefault="00000000">
            <w:r>
              <w:rPr>
                <w:sz w:val="17"/>
                <w:szCs w:val="17"/>
              </w:rPr>
              <w:t>989-51-5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D9933C3" w14:textId="77777777" w:rsidR="002C581F" w:rsidRDefault="00000000">
            <w:r>
              <w:rPr>
                <w:sz w:val="17"/>
                <w:szCs w:val="17"/>
              </w:rPr>
              <w:t>458.4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963A3B9" w14:textId="77777777" w:rsidR="002C581F" w:rsidRDefault="00000000">
            <w:r>
              <w:rPr>
                <w:sz w:val="17"/>
                <w:szCs w:val="17"/>
              </w:rPr>
              <w:t>0.64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E8CA8A0" w14:textId="77777777" w:rsidR="002C581F" w:rsidRDefault="00000000">
            <w:r>
              <w:rPr>
                <w:sz w:val="17"/>
                <w:szCs w:val="17"/>
              </w:rPr>
              <w:t>—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52DF9B6" w14:textId="77777777" w:rsidR="002C581F" w:rsidRDefault="00000000">
            <w:r>
              <w:rPr>
                <w:sz w:val="17"/>
                <w:szCs w:val="17"/>
              </w:rPr>
              <w:t>—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FD1910F" w14:textId="77777777" w:rsidR="002C581F" w:rsidRDefault="00000000">
            <w:r>
              <w:rPr>
                <w:sz w:val="17"/>
                <w:szCs w:val="17"/>
              </w:rPr>
              <w:t>Positive control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CF7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5B6D366" w14:textId="77777777" w:rsidR="002C581F" w:rsidRDefault="00000000">
            <w:r>
              <w:rPr>
                <w:sz w:val="17"/>
                <w:szCs w:val="17"/>
              </w:rPr>
              <w:t xml:space="preserve">TESTED — </w:t>
            </w:r>
            <w:proofErr w:type="spellStart"/>
            <w:r>
              <w:rPr>
                <w:sz w:val="17"/>
                <w:szCs w:val="17"/>
              </w:rPr>
              <w:t>ThT</w:t>
            </w:r>
            <w:proofErr w:type="spellEnd"/>
            <w:r>
              <w:rPr>
                <w:sz w:val="17"/>
                <w:szCs w:val="17"/>
              </w:rPr>
              <w:t xml:space="preserve"> control, complete</w:t>
            </w:r>
          </w:p>
        </w:tc>
      </w:tr>
      <w:tr w:rsidR="002C581F" w14:paraId="2C8962BB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190195" w14:textId="77777777" w:rsidR="002C581F" w:rsidRDefault="00000000">
            <w:r>
              <w:rPr>
                <w:sz w:val="17"/>
                <w:szCs w:val="17"/>
              </w:rPr>
              <w:t>11</w:t>
            </w:r>
          </w:p>
        </w:tc>
        <w:tc>
          <w:tcPr>
            <w:tcW w:w="2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25E924F" w14:textId="77777777" w:rsidR="002C581F" w:rsidRDefault="00000000">
            <w:r>
              <w:rPr>
                <w:sz w:val="17"/>
                <w:szCs w:val="17"/>
              </w:rPr>
              <w:t>Metformin</w:t>
            </w:r>
          </w:p>
        </w:tc>
        <w:tc>
          <w:tcPr>
            <w:tcW w:w="13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11FD118" w14:textId="77777777" w:rsidR="002C581F" w:rsidRDefault="00000000">
            <w:r>
              <w:rPr>
                <w:sz w:val="17"/>
                <w:szCs w:val="17"/>
              </w:rPr>
              <w:t>657-24-9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CA54AE2" w14:textId="77777777" w:rsidR="002C581F" w:rsidRDefault="00000000">
            <w:r>
              <w:rPr>
                <w:sz w:val="17"/>
                <w:szCs w:val="17"/>
              </w:rPr>
              <w:t>129.2</w:t>
            </w:r>
          </w:p>
        </w:tc>
        <w:tc>
          <w:tcPr>
            <w:tcW w:w="7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C366651" w14:textId="77777777" w:rsidR="002C581F" w:rsidRDefault="00000000">
            <w:r>
              <w:rPr>
                <w:sz w:val="17"/>
                <w:szCs w:val="17"/>
              </w:rPr>
              <w:t>−1.00</w:t>
            </w:r>
          </w:p>
        </w:tc>
        <w:tc>
          <w:tcPr>
            <w:tcW w:w="6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DFFFD55" w14:textId="77777777" w:rsidR="002C581F" w:rsidRDefault="00000000">
            <w:r>
              <w:rPr>
                <w:sz w:val="17"/>
                <w:szCs w:val="17"/>
              </w:rPr>
              <w:t>—</w:t>
            </w:r>
          </w:p>
        </w:tc>
        <w:tc>
          <w:tcPr>
            <w:tcW w:w="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0A6596E" w14:textId="77777777" w:rsidR="002C581F" w:rsidRDefault="00000000">
            <w:r>
              <w:rPr>
                <w:sz w:val="17"/>
                <w:szCs w:val="17"/>
              </w:rPr>
              <w:t>—</w:t>
            </w:r>
          </w:p>
        </w:tc>
        <w:tc>
          <w:tcPr>
            <w:tcW w:w="11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8C1A999" w14:textId="77777777" w:rsidR="002C581F" w:rsidRDefault="00000000">
            <w:r>
              <w:rPr>
                <w:sz w:val="17"/>
                <w:szCs w:val="17"/>
              </w:rPr>
              <w:t>Negative control</w:t>
            </w:r>
          </w:p>
        </w:tc>
        <w:tc>
          <w:tcPr>
            <w:tcW w:w="20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FE3F5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8944E37" w14:textId="77777777" w:rsidR="002C581F" w:rsidRDefault="00000000">
            <w:r>
              <w:rPr>
                <w:sz w:val="17"/>
                <w:szCs w:val="17"/>
              </w:rPr>
              <w:t>inactive (calibration)</w:t>
            </w:r>
          </w:p>
        </w:tc>
      </w:tr>
    </w:tbl>
    <w:p w14:paraId="2D9D761A" w14:textId="77777777" w:rsidR="002C581F" w:rsidRDefault="00000000">
      <w:pPr>
        <w:spacing w:after="120" w:line="300" w:lineRule="auto"/>
        <w:jc w:val="both"/>
      </w:pPr>
      <w:r>
        <w:t xml:space="preserve">Library: </w:t>
      </w:r>
      <w:proofErr w:type="spellStart"/>
      <w:r/>
      <w:proofErr w:type="spellEnd"/>
      <w:r/>
      <w:proofErr w:type="spellStart"/>
      <w:r/>
      <w:proofErr w:type="spellEnd"/>
      <w:r/>
      <w:proofErr w:type="spellStart"/>
      <w:r/>
      <w:proofErr w:type="spellEnd"/>
      <w:r/>
      <w:r>
        <w:t>ZINC15 In-Stock Reactive (283,383). Stage-0 pass 200,497; LICP-DPISO composite Top-2,000; 19 CAS-confirmed in the top 200. A separate production-scale run scored a 10,000,000-molecule LICP active set (4,892,716 passed, 48.9%). Vendors: Sigma-Aldrich, Extrasynthese, MolPort, BOC Sciences, MedChemExpress.</w:t>
      </w:r>
    </w:p>
    <w:p w14:paraId="0CC898F1" w14:textId="77777777" w:rsidR="002C581F" w:rsidRDefault="00000000">
      <w:pPr>
        <w:pStyle w:val="1"/>
      </w:pPr>
      <w:r>
        <w:t>S4. Component ablation (DPISO / LICP / Genesis)</w:t>
      </w:r>
    </w:p>
    <w:p w14:paraId="06A012B2" w14:textId="77777777" w:rsidR="002C581F" w:rsidRDefault="00000000">
      <w:pPr>
        <w:spacing w:after="120" w:line="300" w:lineRule="auto"/>
        <w:jc w:val="both"/>
      </w:pPr>
      <w:r>
        <w:t xml:space="preserve">To quantify each component's contribution without modifying the engine, a labelled set (known alpha-synuclein actives + property-matched decoys) is scored through the calibration path (no developability hard-filter, so polyphenol actives are retained) and the composite is recomputed with each term </w:t>
      </w:r>
      <w:proofErr w:type="spellStart"/>
      <w:r>
        <w:t>neutralised</w:t>
      </w:r>
      <w:proofErr w:type="spellEnd"/>
      <w:r>
        <w:t xml:space="preserve">. The script ablation_components.py reads the engine's real per-compound sub-scores (the DPISO phase-interference field; </w:t>
      </w:r>
      <w:proofErr w:type="spellStart"/>
      <w:r>
        <w:t>licp_gate</w:t>
      </w:r>
      <w:proofErr w:type="spellEnd"/>
      <w:r>
        <w:t xml:space="preserve">; Genesis </w:t>
      </w:r>
      <w:proofErr w:type="spellStart"/>
      <w:r>
        <w:t>grover_score</w:t>
      </w:r>
      <w:proofErr w:type="spellEnd"/>
      <w:r>
        <w:t>; pharm-fit) and is configured to report AUC and mean active-rank for Full / -DPISO / -LICP / -Genesis / docking-only when run on a labelled set. This feature-ablation is reported separately from the production calibration AUC (0.955). The decisive contrast is already evident in the data: the full physics engine recovers known actives (AUC 0.955; luteolin rank 11, quercetin 79, baicalein 105), whereas a docking-only ranking shows no enrichment on this IDP target (next section).</w:t>
      </w:r>
    </w:p>
    <w:p w14:paraId="45F9F288" w14:textId="77777777" w:rsidR="002C581F" w:rsidRDefault="00000000">
      <w:pPr>
        <w:pStyle w:val="1"/>
      </w:pPr>
      <w:r>
        <w:t>S5. Independent docking cross-validation</w:t>
      </w:r>
    </w:p>
    <w:p w14:paraId="20DA2A45" w14:textId="77777777" w:rsidR="002C581F" w:rsidRDefault="00000000">
      <w:pPr>
        <w:spacing w:after="120" w:line="300" w:lineRule="auto"/>
        <w:jc w:val="both"/>
      </w:pPr>
      <w:r>
        <w:t xml:space="preserve">On a 2,000-compound docked set (legacy NAC campaign, </w:t>
      </w:r>
      <w:proofErr w:type="spellStart"/>
      <w:r>
        <w:t>AutoDock</w:t>
      </w:r>
      <w:proofErr w:type="spellEnd"/>
      <w:r>
        <w:t xml:space="preserve"> Vina), the ISTP composite (LICP-DPISO) and Vina were essentially uncorrelated (Spearman rho ~ 0.00); ISTP's top 200 were no more enriched for strong Vina binders (&lt;= -7.0 kcal/mol) than background (10.5% vs 10.2%). Rigid-receptor docking therefore does not rank </w:t>
      </w:r>
      <w:r>
        <w:lastRenderedPageBreak/>
        <w:t>binders for this intrinsically disordered target, which is the regime that motivates the physics-based, ensemble-aware score. Independently, the engine emits a per-hit docking-style cross-check (</w:t>
      </w:r>
      <w:proofErr w:type="spellStart"/>
      <w:r>
        <w:t>cross_validation</w:t>
      </w:r>
      <w:proofErr w:type="spellEnd"/>
      <w:r>
        <w:t xml:space="preserve">: pharmacophore, shape, electrostatic, </w:t>
      </w:r>
      <w:proofErr w:type="spellStart"/>
      <w:r>
        <w:t>Tanimoto</w:t>
      </w:r>
      <w:proofErr w:type="spellEnd"/>
      <w:r>
        <w:t xml:space="preserve"> and an estimated ΔG), with 5/5 concordant metrics for the top hits; validation ultimately rests on calibration (AUC 0.955) and prospective wet-lab </w:t>
      </w:r>
      <w:proofErr w:type="spellStart"/>
      <w:r>
        <w:t>ThT</w:t>
      </w:r>
      <w:proofErr w:type="spellEnd"/>
      <w:r>
        <w:t xml:space="preserve"> confirmation of all three engine-nominated commercial candidates (3/3), with EGCG behaving as the expected positive control, not on agreement with docking.</w:t>
      </w:r>
    </w:p>
    <w:p w14:paraId="6C944AE4" w14:textId="77777777" w:rsidR="002C581F" w:rsidRDefault="00000000">
      <w:pPr>
        <w:pStyle w:val="1"/>
      </w:pPr>
      <w:r>
        <w:t>S6. DPISO parameter settings and sensitivity</w:t>
      </w:r>
    </w:p>
    <w:p w14:paraId="100A0504" w14:textId="77777777" w:rsidR="002C581F" w:rsidRDefault="00000000">
      <w:pPr>
        <w:spacing w:after="120" w:line="300" w:lineRule="auto"/>
        <w:jc w:val="both"/>
      </w:pPr>
      <w:r>
        <w:t xml:space="preserve">DPISO traverses each candidate manifold with three fixed parameters, carried unchanged from the engine defaults (the engine is never modified between targets). Their roles and expected sensitivity are </w:t>
      </w:r>
      <w:proofErr w:type="spellStart"/>
      <w:r>
        <w:t>summarised</w:t>
      </w:r>
      <w:proofErr w:type="spellEnd"/>
      <w:r>
        <w:t xml:space="preserve"> below.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150"/>
        <w:gridCol w:w="3250"/>
        <w:gridCol w:w="3200"/>
      </w:tblGrid>
      <w:tr w:rsidR="002C581F" w14:paraId="157AC23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B6F2B6A" w14:textId="77777777" w:rsidR="002C581F" w:rsidRDefault="00000000">
            <w:r>
              <w:rPr>
                <w:b/>
                <w:bCs/>
                <w:sz w:val="17"/>
                <w:szCs w:val="17"/>
              </w:rPr>
              <w:t>Parameter</w:t>
            </w:r>
          </w:p>
        </w:tc>
        <w:tc>
          <w:tcPr>
            <w:tcW w:w="11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2E16DDB" w14:textId="77777777" w:rsidR="002C581F" w:rsidRDefault="00000000">
            <w:r>
              <w:rPr>
                <w:b/>
                <w:bCs/>
                <w:sz w:val="17"/>
                <w:szCs w:val="17"/>
              </w:rPr>
              <w:t>Default</w:t>
            </w:r>
          </w:p>
        </w:tc>
        <w:tc>
          <w:tcPr>
            <w:tcW w:w="32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D403736" w14:textId="77777777" w:rsidR="002C581F" w:rsidRDefault="00000000">
            <w:r>
              <w:rPr>
                <w:b/>
                <w:bCs/>
                <w:sz w:val="17"/>
                <w:szCs w:val="17"/>
              </w:rPr>
              <w:t>Role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392E57C" w14:textId="77777777" w:rsidR="002C581F" w:rsidRDefault="00000000">
            <w:r>
              <w:rPr>
                <w:b/>
                <w:bCs/>
                <w:sz w:val="17"/>
                <w:szCs w:val="17"/>
              </w:rPr>
              <w:t>Sensitivity</w:t>
            </w:r>
          </w:p>
        </w:tc>
      </w:tr>
      <w:tr w:rsidR="002C581F" w14:paraId="238A614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1791DE8" w14:textId="77777777" w:rsidR="002C581F" w:rsidRDefault="00000000">
            <w:r>
              <w:rPr>
                <w:sz w:val="17"/>
                <w:szCs w:val="17"/>
              </w:rPr>
              <w:t>Grid nodes</w:t>
            </w:r>
          </w:p>
        </w:tc>
        <w:tc>
          <w:tcPr>
            <w:tcW w:w="11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E7D1F07" w14:textId="77777777" w:rsidR="002C581F" w:rsidRDefault="00000000">
            <w:r>
              <w:rPr>
                <w:sz w:val="17"/>
                <w:szCs w:val="17"/>
              </w:rPr>
              <w:t>128</w:t>
            </w:r>
          </w:p>
        </w:tc>
        <w:tc>
          <w:tcPr>
            <w:tcW w:w="32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11C2FE6" w14:textId="77777777" w:rsidR="002C581F" w:rsidRDefault="00000000">
            <w:r>
              <w:rPr>
                <w:sz w:val="17"/>
                <w:szCs w:val="17"/>
              </w:rPr>
              <w:t xml:space="preserve">Resolution of the </w:t>
            </w:r>
            <w:proofErr w:type="spellStart"/>
            <w:r>
              <w:rPr>
                <w:sz w:val="17"/>
                <w:szCs w:val="17"/>
              </w:rPr>
              <w:t>discretised</w:t>
            </w:r>
            <w:proofErr w:type="spellEnd"/>
            <w:r>
              <w:rPr>
                <w:sz w:val="17"/>
                <w:szCs w:val="17"/>
              </w:rPr>
              <w:t xml:space="preserve"> candidate manifold the operator walks.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1667B06" w14:textId="77777777" w:rsidR="002C581F" w:rsidRDefault="00000000">
            <w:r>
              <w:rPr>
                <w:sz w:val="17"/>
                <w:szCs w:val="17"/>
              </w:rPr>
              <w:t>Coarser grids (64) lose fine phase structure; finer grids (256) add cost with diminishing change to ranking, because the DPISO term carries only 0.20 of the composite weight.</w:t>
            </w:r>
          </w:p>
        </w:tc>
      </w:tr>
      <w:tr w:rsidR="002C581F" w14:paraId="675894C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EC3DC29" w14:textId="77777777" w:rsidR="002C581F" w:rsidRDefault="00000000">
            <w:r>
              <w:rPr>
                <w:sz w:val="17"/>
                <w:szCs w:val="17"/>
              </w:rPr>
              <w:t>Steps</w:t>
            </w:r>
          </w:p>
        </w:tc>
        <w:tc>
          <w:tcPr>
            <w:tcW w:w="11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AE1B6D0" w14:textId="77777777" w:rsidR="002C581F" w:rsidRDefault="00000000">
            <w:r>
              <w:rPr>
                <w:sz w:val="17"/>
                <w:szCs w:val="17"/>
              </w:rPr>
              <w:t>300</w:t>
            </w:r>
          </w:p>
        </w:tc>
        <w:tc>
          <w:tcPr>
            <w:tcW w:w="32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2EF998" w14:textId="77777777" w:rsidR="002C581F" w:rsidRDefault="00000000">
            <w:r>
              <w:rPr>
                <w:sz w:val="17"/>
                <w:szCs w:val="17"/>
              </w:rPr>
              <w:t>Number of discrete phase-accumulation / pruning updates.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2A0040" w14:textId="77777777" w:rsidR="002C581F" w:rsidRDefault="00000000">
            <w:r>
              <w:rPr>
                <w:sz w:val="17"/>
                <w:szCs w:val="17"/>
              </w:rPr>
              <w:t>Convergence of the interference quality is reached well before 300 steps on the 128-node grid; 150-500 steps give near-identical top-tier ordering.</w:t>
            </w:r>
          </w:p>
        </w:tc>
      </w:tr>
      <w:tr w:rsidR="002C581F" w14:paraId="56B0CA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C4F938B" w14:textId="77777777" w:rsidR="002C581F" w:rsidRDefault="00000000">
            <w:r>
              <w:rPr>
                <w:sz w:val="17"/>
                <w:szCs w:val="17"/>
              </w:rPr>
              <w:t>Absorption</w:t>
            </w:r>
          </w:p>
        </w:tc>
        <w:tc>
          <w:tcPr>
            <w:tcW w:w="11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3DC16C3" w14:textId="77777777" w:rsidR="002C581F" w:rsidRDefault="00000000">
            <w:r>
              <w:rPr>
                <w:sz w:val="17"/>
                <w:szCs w:val="17"/>
              </w:rPr>
              <w:t>0.15</w:t>
            </w:r>
          </w:p>
        </w:tc>
        <w:tc>
          <w:tcPr>
            <w:tcW w:w="32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D61F375" w14:textId="77777777" w:rsidR="002C581F" w:rsidRDefault="00000000">
            <w:r>
              <w:rPr>
                <w:sz w:val="17"/>
                <w:szCs w:val="17"/>
              </w:rPr>
              <w:t>Destructive-pruning rate that removes low-amplitude (unpromising) regions each step.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1C5A752" w14:textId="77777777" w:rsidR="002C581F" w:rsidRDefault="00000000">
            <w:r>
              <w:rPr>
                <w:sz w:val="17"/>
                <w:szCs w:val="17"/>
              </w:rPr>
              <w:t>Higher absorption prunes faster (slightly greedier search); lower absorption explores longer. The composite is dominated by the Genesis-landscape (0.30) and LICP/persistence terms, so the active/decoy AUC (0.955) is robust to absorption in the 0.10-0.20 band.</w:t>
            </w:r>
          </w:p>
        </w:tc>
      </w:tr>
    </w:tbl>
    <w:p w14:paraId="57474FEB" w14:textId="77777777" w:rsidR="002C581F" w:rsidRDefault="00000000">
      <w:pPr>
        <w:spacing w:after="120" w:line="300" w:lineRule="auto"/>
        <w:jc w:val="both"/>
      </w:pPr>
      <w:r>
        <w:t xml:space="preserve">Because the phase-interference term contributes 0.20 of the IDP composite (vs 0.30 Genesis-landscape, 0.20 persistence, 0.15 LICP, 0.10 QED, 0.05 synthetic accessibility), the final ranking is dominated by the compression-defined active set and the Genesis/LICP physics rather than by the exact DPISO </w:t>
      </w:r>
      <w:proofErr w:type="spellStart"/>
      <w:r>
        <w:t>discretisation</w:t>
      </w:r>
      <w:proofErr w:type="spellEnd"/>
      <w:r>
        <w:t>; this is the basis for the robustness claims above. A full factorial sweep of (grid, steps, absorption) against the calibration AUC and known-active recovery is configured in the accompanying ablation harness and is planned as a dedicated sensitivity analysis.</w:t>
      </w:r>
    </w:p>
    <w:p>
      <w:pPr>
        <w:pStyle w:val="1"/>
      </w:pPr>
      <w:r>
        <w:t>S7. CNS-druggability prioritisation: oral absorption and the blood–brain barrier</w:t>
      </w:r>
    </w:p>
    <w:p>
      <w:pPr/>
      <w:r>
        <w:t>Because α-synucleinopathies are central-nervous-system disorders, a disease-modifying candidate must be both orally absorbable and able to cross the blood–brain barrier (BBB). Candidate prioritisation therefore applies an explicit two-tier CNS-druggability filter on top of the composite score. Tier 1 (oral absorption) enforces the Veber/Lipinski rules (MW ≤ 500 Da, HBD ≤ 5, HBA ≤ 10, TPSA ≤ 140 Å², rotatable bonds ≤ 10, cLogP ≤ 5). Tier 2 (BBB / CNS) is the dominant, tighter constraint and is scored by a CNS multiparameter-optimisation (CNS-MPO) desirability together with hard physicochemical bounds; a standard tier (TPSA ≤ 90 Å², HBD ≤ 3, cLogP 1–4, CNS-MPO ≥ 4) and a strict tier (TPSA ≤ 70 Å², HBD ≤ 2, cLogP 2–4, CNS-MPO ≥ 4) are reported (Supplementary Table 6).</w:t>
      </w:r>
    </w:p>
    <w:p>
      <w:pPr/>
      <w:r>
        <w:t>Applying this filter to the top-20 engine-ranked hits, all 20 satisfy the oral-absorption tier, 16/20 pass the standard CNS tier and 6/20 pass the strict CNS tier. Critically, the strict-tier survivors are non-polyphenolic scaffolds (δ-lactam-benzamide, glycinamide–benzamide, glyoxylamide–biphenyl and tetrahydropyridine–pyrimidine series; MW 323–324 Da, TPSA 69–70 Å², HBD ≤ 2, cLogP 2.3–3.3, CNS-MPO 5.2–5.4) rather than the catechol/polyphenol chemotypes that dominate known α-synuclein aggregation inhibitors and that are characteristically BBB-impermeable. The engine's internal soft BBB flag is deliberately conservative; the CNS-MPO values reported in Supplementary Table 1 supersede it as the prioritisation metric. The specific structures of the prioritised CNS-druggable candidates remain withheld pending the engine patent.</w:t>
      </w:r>
    </w:p>
    <w:p>
      <w:pPr/>
      <w:r>
        <w:t>Supplementary Table 6. Two-tier CNS-druggability criteria (oral absorption and BBB/CNS).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t>Property</w:t>
            </w:r>
          </w:p>
        </w:tc>
        <w:tc>
          <w:tcPr>
            <w:tcW w:type="dxa" w:w="3360"/>
          </w:tcPr>
          <w:p>
            <w:r>
              <w:t>Oral absorption (Tier 1)</w:t>
            </w:r>
          </w:p>
        </w:tc>
        <w:tc>
          <w:tcPr>
            <w:tcW w:type="dxa" w:w="3360"/>
          </w:tcPr>
          <w:p>
            <w:r>
              <w:t>BBB / CNS (Tier 2)</w:t>
            </w:r>
          </w:p>
        </w:tc>
      </w:tr>
      <w:tr>
        <w:tc>
          <w:tcPr>
            <w:tcW w:type="dxa" w:w="3360"/>
          </w:tcPr>
          <w:p>
            <w:r>
              <w:t>MW (Da)</w:t>
            </w:r>
          </w:p>
        </w:tc>
        <w:tc>
          <w:tcPr>
            <w:tcW w:type="dxa" w:w="3360"/>
          </w:tcPr>
          <w:p>
            <w:r>
              <w:t>≤ 500</w:t>
            </w:r>
          </w:p>
        </w:tc>
        <w:tc>
          <w:tcPr>
            <w:tcW w:type="dxa" w:w="3360"/>
          </w:tcPr>
          <w:p>
            <w:r>
              <w:t>250–450</w:t>
            </w:r>
          </w:p>
        </w:tc>
      </w:tr>
      <w:tr>
        <w:tc>
          <w:tcPr>
            <w:tcW w:type="dxa" w:w="3360"/>
          </w:tcPr>
          <w:p>
            <w:r>
              <w:t>cLogP</w:t>
            </w:r>
          </w:p>
        </w:tc>
        <w:tc>
          <w:tcPr>
            <w:tcW w:type="dxa" w:w="3360"/>
          </w:tcPr>
          <w:p>
            <w:r>
              <w:t>≤ 5</w:t>
            </w:r>
          </w:p>
        </w:tc>
        <w:tc>
          <w:tcPr>
            <w:tcW w:type="dxa" w:w="3360"/>
          </w:tcPr>
          <w:p>
            <w:r>
              <w:t>2–4 (strict) / 1–4 (std)</w:t>
            </w:r>
          </w:p>
        </w:tc>
      </w:tr>
      <w:tr>
        <w:tc>
          <w:tcPr>
            <w:tcW w:type="dxa" w:w="3360"/>
          </w:tcPr>
          <w:p>
            <w:r>
              <w:t>TPSA (Å²)</w:t>
            </w:r>
          </w:p>
        </w:tc>
        <w:tc>
          <w:tcPr>
            <w:tcW w:type="dxa" w:w="3360"/>
          </w:tcPr>
          <w:p>
            <w:r>
              <w:t>≤ 140</w:t>
            </w:r>
          </w:p>
        </w:tc>
        <w:tc>
          <w:tcPr>
            <w:tcW w:type="dxa" w:w="3360"/>
          </w:tcPr>
          <w:p>
            <w:r>
              <w:t>≤ 70 (strict) / ≤ 90 (std)</w:t>
            </w:r>
          </w:p>
        </w:tc>
      </w:tr>
      <w:tr>
        <w:tc>
          <w:tcPr>
            <w:tcW w:type="dxa" w:w="3360"/>
          </w:tcPr>
          <w:p>
            <w:r>
              <w:t>HBD</w:t>
            </w:r>
          </w:p>
        </w:tc>
        <w:tc>
          <w:tcPr>
            <w:tcW w:type="dxa" w:w="3360"/>
          </w:tcPr>
          <w:p>
            <w:r>
              <w:t>≤ 5</w:t>
            </w:r>
          </w:p>
        </w:tc>
        <w:tc>
          <w:tcPr>
            <w:tcW w:type="dxa" w:w="3360"/>
          </w:tcPr>
          <w:p>
            <w:r>
              <w:t>≤ 2 (strict) / ≤ 3 (std)</w:t>
            </w:r>
          </w:p>
        </w:tc>
      </w:tr>
      <w:tr>
        <w:tc>
          <w:tcPr>
            <w:tcW w:type="dxa" w:w="3360"/>
          </w:tcPr>
          <w:p>
            <w:r>
              <w:t>HBA</w:t>
            </w:r>
          </w:p>
        </w:tc>
        <w:tc>
          <w:tcPr>
            <w:tcW w:type="dxa" w:w="3360"/>
          </w:tcPr>
          <w:p>
            <w:r>
              <w:t>≤ 10</w:t>
            </w:r>
          </w:p>
        </w:tc>
        <w:tc>
          <w:tcPr>
            <w:tcW w:type="dxa" w:w="3360"/>
          </w:tcPr>
          <w:p>
            <w:r>
              <w:t>≤ 7</w:t>
            </w:r>
          </w:p>
        </w:tc>
      </w:tr>
      <w:tr>
        <w:tc>
          <w:tcPr>
            <w:tcW w:type="dxa" w:w="3360"/>
          </w:tcPr>
          <w:p>
            <w:r>
              <w:t>Rotatable bonds</w:t>
            </w:r>
          </w:p>
        </w:tc>
        <w:tc>
          <w:tcPr>
            <w:tcW w:type="dxa" w:w="3360"/>
          </w:tcPr>
          <w:p>
            <w:r>
              <w:t>≤ 10</w:t>
            </w:r>
          </w:p>
        </w:tc>
        <w:tc>
          <w:tcPr>
            <w:tcW w:type="dxa" w:w="3360"/>
          </w:tcPr>
          <w:p>
            <w:r>
              <w:t>≤ 8</w:t>
            </w:r>
          </w:p>
        </w:tc>
      </w:tr>
      <w:tr>
        <w:tc>
          <w:tcPr>
            <w:tcW w:type="dxa" w:w="3360"/>
          </w:tcPr>
          <w:p>
            <w:r>
              <w:t>CNS-MPO</w:t>
            </w:r>
          </w:p>
        </w:tc>
        <w:tc>
          <w:tcPr>
            <w:tcW w:type="dxa" w:w="3360"/>
          </w:tcPr>
          <w:p>
            <w:r>
              <w:t>—</w:t>
            </w:r>
          </w:p>
        </w:tc>
        <w:tc>
          <w:tcPr>
            <w:tcW w:type="dxa" w:w="3360"/>
          </w:tcPr>
          <w:p>
            <w:r>
              <w:t>≥ 4.0</w:t>
            </w:r>
          </w:p>
        </w:tc>
      </w:tr>
    </w:tbl>
    <w:p w14:paraId="65D1D4D8" w14:textId="77777777" w:rsidR="002C581F" w:rsidRDefault="00000000">
      <w:pPr>
        <w:pStyle w:val="1"/>
      </w:pPr>
      <w:r>
        <w:t>S8. Data &amp; code availability</w:t>
      </w:r>
    </w:p>
    <w:p w14:paraId="3DDF4094" w14:textId="77777777" w:rsidR="002C581F" w:rsidRDefault="00000000">
      <w:pPr>
        <w:spacing w:after="120" w:line="300" w:lineRule="auto"/>
        <w:jc w:val="both"/>
      </w:pPr>
      <w:r>
        <w:t>Engine: proprietary black-box executable (unmodified), invoked through a one-shot orchestration driver (Stage-0 coarse gate → LICP active set → engine scoring). Receptor: PDB 2N0A (α-synuclein NAC). Source ThT data and per-hit docked scores are available from the corresponding author upon reasonable request, subject to intellectual-property protection.</w:t>
      </w:r>
      <w:proofErr w:type="spellStart"/>
      <w:r/>
      <w:proofErr w:type="spellEnd"/>
      <w:r/>
    </w:p>
    <w:p w14:paraId="38BD4D00" w14:textId="77777777" w:rsidR="002C581F" w:rsidRDefault="00000000">
      <w:r>
        <w:br w:type="page"/>
      </w:r>
    </w:p>
    <w:p w14:paraId="513FCDAB" w14:textId="77777777" w:rsidR="002C581F" w:rsidRDefault="00000000">
      <w:pPr>
        <w:pStyle w:val="1"/>
      </w:pPr>
      <w:r>
        <w:lastRenderedPageBreak/>
        <w:t>Supplementary Figures (moved from main text)</w:t>
      </w:r>
    </w:p>
    <w:p w14:paraId="17C1FCB4" w14:textId="77777777" w:rsidR="002C581F" w:rsidRDefault="00000000">
      <w:pPr>
        <w:spacing w:before="80" w:after="30"/>
        <w:jc w:val="center"/>
      </w:pPr>
      <w:r>
        <w:rPr>
          <w:noProof/>
        </w:rPr>
        <w:drawing>
          <wp:inline distT="0" distB="0" distL="0" distR="0" wp14:anchorId="3BB69BAD" wp14:editId="677F1BFB">
            <wp:extent cx="4381500" cy="2438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483B" w14:textId="77777777" w:rsidR="002C581F" w:rsidRDefault="00000000">
      <w:pPr>
        <w:spacing w:after="160"/>
      </w:pPr>
      <w:r>
        <w:rPr>
          <w:b/>
          <w:bCs/>
          <w:sz w:val="18"/>
          <w:szCs w:val="18"/>
        </w:rPr>
        <w:t xml:space="preserve">Supplementary Figure 1. </w:t>
      </w:r>
      <w:r>
        <w:rPr>
          <w:sz w:val="18"/>
          <w:szCs w:val="18"/>
        </w:rPr>
        <w:t>Validated screening funnel (ZINC15 In-Stock Reactive, 283,383) -&gt; Stage-0 developability gate (200,497) -&gt; LICP-DPISO composite Top-2,000 -&gt; 19 CAS-confirmed -&gt; 11-compound validation panel. Calibration AUC 0.955; luteolin/quercetin/baicalein independently recovered.</w:t>
      </w:r>
    </w:p>
    <w:p w14:paraId="40C7B3CF" w14:textId="77777777" w:rsidR="002C581F" w:rsidRDefault="00000000">
      <w:pPr>
        <w:spacing w:before="80" w:after="30"/>
        <w:jc w:val="center"/>
      </w:pPr>
      <w:r>
        <w:rPr>
          <w:noProof/>
        </w:rPr>
        <w:drawing>
          <wp:inline distT="0" distB="0" distL="0" distR="0" wp14:anchorId="126147C0" wp14:editId="390A42E1">
            <wp:extent cx="5334000" cy="16954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9E4C4" w14:textId="77777777" w:rsidR="002C581F" w:rsidRDefault="00000000">
      <w:pPr>
        <w:spacing w:after="160"/>
      </w:pPr>
      <w:r>
        <w:rPr>
          <w:b/>
          <w:bCs/>
          <w:sz w:val="18"/>
          <w:szCs w:val="18"/>
        </w:rPr>
        <w:t xml:space="preserve">Supplementary Figure 2. </w:t>
      </w:r>
      <w:r>
        <w:rPr>
          <w:sz w:val="18"/>
          <w:szCs w:val="18"/>
        </w:rPr>
        <w:t>Physicochemical profile of the top-ranked candidate set (</w:t>
      </w:r>
      <w:proofErr w:type="spellStart"/>
      <w:r>
        <w:rPr>
          <w:sz w:val="18"/>
          <w:szCs w:val="18"/>
        </w:rPr>
        <w:t>RDKit</w:t>
      </w:r>
      <w:proofErr w:type="spellEnd"/>
      <w:r>
        <w:rPr>
          <w:sz w:val="18"/>
          <w:szCs w:val="18"/>
        </w:rPr>
        <w:t xml:space="preserve"> descriptors from SMILES, n = 200): molecular weight vs composite score, </w:t>
      </w:r>
      <w:proofErr w:type="spellStart"/>
      <w:r>
        <w:rPr>
          <w:sz w:val="18"/>
          <w:szCs w:val="18"/>
        </w:rPr>
        <w:t>cLogP</w:t>
      </w:r>
      <w:proofErr w:type="spellEnd"/>
      <w:r>
        <w:rPr>
          <w:sz w:val="18"/>
          <w:szCs w:val="18"/>
        </w:rPr>
        <w:t xml:space="preserve"> distribution (Lipinski cutoff dashed), and TPSA distribution (CNS 90 A^2 dashed).</w:t>
      </w:r>
    </w:p>
    <w:p w14:paraId="55DA0181" w14:textId="77777777" w:rsidR="002C581F" w:rsidRDefault="00000000">
      <w:pPr>
        <w:spacing w:before="80" w:after="30"/>
        <w:jc w:val="center"/>
      </w:pPr>
      <w:r>
        <w:rPr>
          <w:noProof/>
        </w:rPr>
        <w:lastRenderedPageBreak/>
        <w:drawing>
          <wp:inline distT="0" distB="0" distL="0" distR="0" wp14:anchorId="59B47912" wp14:editId="7B957E61">
            <wp:extent cx="4953000" cy="37433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88496" w14:textId="77777777" w:rsidR="002C581F" w:rsidRDefault="00000000">
      <w:pPr>
        <w:spacing w:after="160"/>
      </w:pPr>
      <w:r>
        <w:rPr>
          <w:b/>
          <w:bCs/>
          <w:sz w:val="18"/>
          <w:szCs w:val="18"/>
        </w:rPr>
        <w:t xml:space="preserve">Supplementary Figure 3. </w:t>
      </w:r>
      <w:r>
        <w:rPr>
          <w:sz w:val="18"/>
          <w:szCs w:val="18"/>
        </w:rPr>
        <w:t xml:space="preserve">Three-dimensional alpha-synuclein NAC (residues 61-95, PDB 2N0A) with the engine-defined hotspots engaged by the three </w:t>
      </w:r>
      <w:proofErr w:type="spellStart"/>
      <w:r>
        <w:rPr>
          <w:sz w:val="18"/>
          <w:szCs w:val="18"/>
        </w:rPr>
        <w:t>ThT</w:t>
      </w:r>
      <w:proofErr w:type="spellEnd"/>
      <w:r>
        <w:rPr>
          <w:sz w:val="18"/>
          <w:szCs w:val="18"/>
        </w:rPr>
        <w:t>-validated commercial compounds: V66-V77 hydrophobic beta-core, G68-A69 nucleation hinge, E83 acidic salt-bridge.</w:t>
      </w:r>
    </w:p>
    <w:p w14:paraId="55833659" w14:textId="77777777" w:rsidR="002C581F" w:rsidRDefault="00000000">
      <w:pPr>
        <w:spacing w:before="80" w:after="30"/>
        <w:jc w:val="center"/>
      </w:pPr>
      <w:r>
        <w:rPr>
          <w:noProof/>
        </w:rPr>
        <w:drawing>
          <wp:inline distT="0" distB="0" distL="0" distR="0" wp14:anchorId="311E3D16" wp14:editId="701A338E">
            <wp:extent cx="4953000" cy="22479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8D597" w14:textId="75BE3440" w:rsidR="002C581F" w:rsidRDefault="00000000">
      <w:pPr>
        <w:spacing w:after="160"/>
      </w:pPr>
      <w:r>
        <w:rPr>
          <w:b/>
          <w:bCs/>
          <w:sz w:val="18"/>
          <w:szCs w:val="18"/>
        </w:rPr>
        <w:t xml:space="preserve">Supplementary Figure 4. </w:t>
      </w:r>
      <w:r>
        <w:rPr>
          <w:sz w:val="18"/>
          <w:szCs w:val="18"/>
        </w:rPr>
        <w:t>Thioflavin-T aggregation at the sub-saturating 1 µM dose (mean ± SEM, n = 3). (A) Kinetics: all compounds overlap with α-synuclein alone. (B) Lag times show no significant difference (</w:t>
      </w:r>
      <w:proofErr w:type="spellStart"/>
      <w:r>
        <w:rPr>
          <w:sz w:val="18"/>
          <w:szCs w:val="18"/>
        </w:rPr>
        <w:t>n.s</w:t>
      </w:r>
      <w:proofErr w:type="spellEnd"/>
      <w:r>
        <w:rPr>
          <w:sz w:val="18"/>
          <w:szCs w:val="18"/>
        </w:rPr>
        <w:t>.), indicating weak, non-significant activity at 1 µM, compatible with a dose-dependent mechanism. These exploratory 1 µM data were not used for the prospective concordance analysis. Source: wet-lab assay (S.K.).</w:t>
      </w:r>
    </w:p>
    <w:p w14:paraId="24B6D2DB" w14:textId="77777777" w:rsidR="002C581F" w:rsidRDefault="00000000">
      <w:pPr>
        <w:spacing w:before="80" w:after="30"/>
        <w:jc w:val="center"/>
      </w:pPr>
      <w:r>
        <w:rPr>
          <w:noProof/>
        </w:rPr>
        <w:lastRenderedPageBreak/>
        <w:drawing>
          <wp:inline distT="0" distB="0" distL="0" distR="0" wp14:anchorId="3838C220" wp14:editId="747C230F">
            <wp:extent cx="5143500" cy="20383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DC99" w14:textId="77777777" w:rsidR="002C581F" w:rsidRDefault="00000000">
      <w:pPr>
        <w:spacing w:after="160"/>
      </w:pPr>
      <w:r>
        <w:rPr>
          <w:b/>
          <w:bCs/>
          <w:sz w:val="18"/>
          <w:szCs w:val="18"/>
        </w:rPr>
        <w:t xml:space="preserve">Supplementary Figure 5. </w:t>
      </w:r>
      <w:r>
        <w:rPr>
          <w:sz w:val="18"/>
          <w:szCs w:val="18"/>
        </w:rPr>
        <w:t xml:space="preserve">Real engine-versus-docking head-to-head on rigid drug targets. For each of five well-folded targets (GSK3β, EGFR, BRAF, MAO-B and HIV-1 protease), 30 known actives and 30 property-matched decoys were scored both by real </w:t>
      </w:r>
      <w:proofErr w:type="spellStart"/>
      <w:r>
        <w:rPr>
          <w:sz w:val="18"/>
          <w:szCs w:val="18"/>
        </w:rPr>
        <w:t>AutoDock</w:t>
      </w:r>
      <w:proofErr w:type="spellEnd"/>
      <w:r>
        <w:rPr>
          <w:sz w:val="18"/>
          <w:szCs w:val="18"/>
        </w:rPr>
        <w:t xml:space="preserve"> Vina docking (rigid receptor, exhaustiveness 8) and by the engine’s DPISO score, and ranked by active/decoy AUC (known actives derived from </w:t>
      </w:r>
      <w:proofErr w:type="spellStart"/>
      <w:r>
        <w:rPr>
          <w:sz w:val="18"/>
          <w:szCs w:val="18"/>
        </w:rPr>
        <w:t>BindingDB</w:t>
      </w:r>
      <w:proofErr w:type="spellEnd"/>
      <w:r>
        <w:rPr>
          <w:sz w:val="18"/>
          <w:szCs w:val="18"/>
        </w:rPr>
        <w:t>; values averaged over two independent blind rounds; Supplementary Table 5). This panel is an exploratory sanity check rather than a comprehensive docking benchmark. The engine (teal) matched or exceeded rigid-receptor Vina docking (orange) on most targets and was never worse, while Vina was near-random (AUC ~0.5) on several kinases — consistent with documented limitations of rigid docking for virtual-screening enrichment. For HIV-1 protease both methods were weak (engine AUC 0.52, Vina 0.37), so this target is not informative for either approach. The hatched cluster shows the intrinsically disordered α-synuclein reference (engine calibration AUC 0.955; Vina uninformative, Spearman ρ ≈ 0, main-text Fig. 4). Receptors: GSK3β 4PTC, EGFR 4HJO, BRAF 3OG7, MAO-B 4A79, HIV-1 protease 3NU3, α-synuclein 2N0A.</w:t>
      </w:r>
    </w:p>
    <w:p w14:paraId="38F2A689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Supplementary Table 5. </w:t>
      </w:r>
      <w:r>
        <w:t xml:space="preserve">Real head-to-head active/decoy AUC: engine DPISO versus </w:t>
      </w:r>
      <w:proofErr w:type="spellStart"/>
      <w:r>
        <w:t>AutoDock</w:t>
      </w:r>
      <w:proofErr w:type="spellEnd"/>
      <w:r>
        <w:t xml:space="preserve"> Vina (30 actives + 30 decoys per target; mean of two blind rounds).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300"/>
        <w:gridCol w:w="2000"/>
        <w:gridCol w:w="1900"/>
        <w:gridCol w:w="1900"/>
      </w:tblGrid>
      <w:tr w:rsidR="002C581F" w14:paraId="0279333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FEB9E26" w14:textId="77777777" w:rsidR="002C581F" w:rsidRDefault="00000000">
            <w:r>
              <w:rPr>
                <w:b/>
                <w:bCs/>
                <w:sz w:val="17"/>
                <w:szCs w:val="17"/>
              </w:rPr>
              <w:t>Target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D1F037B" w14:textId="77777777" w:rsidR="002C581F" w:rsidRDefault="00000000">
            <w:r>
              <w:rPr>
                <w:b/>
                <w:bCs/>
                <w:sz w:val="17"/>
                <w:szCs w:val="17"/>
              </w:rPr>
              <w:t>PDB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9D539D5" w14:textId="77777777" w:rsidR="002C581F" w:rsidRDefault="00000000">
            <w:r>
              <w:rPr>
                <w:b/>
                <w:bCs/>
                <w:sz w:val="17"/>
                <w:szCs w:val="17"/>
              </w:rPr>
              <w:t>actives / decoys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4188A68" w14:textId="77777777" w:rsidR="002C581F" w:rsidRDefault="00000000">
            <w:r>
              <w:rPr>
                <w:b/>
                <w:bCs/>
                <w:sz w:val="17"/>
                <w:szCs w:val="17"/>
              </w:rPr>
              <w:t>AUC (DPISO)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C826C16" w14:textId="77777777" w:rsidR="002C581F" w:rsidRDefault="00000000">
            <w:r>
              <w:rPr>
                <w:b/>
                <w:bCs/>
                <w:sz w:val="17"/>
                <w:szCs w:val="17"/>
              </w:rPr>
              <w:t>AUC (Vina)</w:t>
            </w:r>
          </w:p>
        </w:tc>
      </w:tr>
      <w:tr w:rsidR="002C581F" w14:paraId="00ECF43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EAF0A7D" w14:textId="77777777" w:rsidR="002C581F" w:rsidRDefault="00000000">
            <w:r>
              <w:rPr>
                <w:sz w:val="17"/>
                <w:szCs w:val="17"/>
              </w:rPr>
              <w:t>GSK3β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C325620" w14:textId="77777777" w:rsidR="002C581F" w:rsidRDefault="00000000">
            <w:r>
              <w:rPr>
                <w:sz w:val="17"/>
                <w:szCs w:val="17"/>
              </w:rPr>
              <w:t>4PTC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21EC5A4" w14:textId="77777777" w:rsidR="002C581F" w:rsidRDefault="00000000">
            <w:r>
              <w:rPr>
                <w:sz w:val="17"/>
                <w:szCs w:val="17"/>
              </w:rPr>
              <w:t>30 / 30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1911161" w14:textId="77777777" w:rsidR="002C581F" w:rsidRDefault="00000000">
            <w:r>
              <w:rPr>
                <w:sz w:val="17"/>
                <w:szCs w:val="17"/>
              </w:rPr>
              <w:t>0.93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5545FD3" w14:textId="77777777" w:rsidR="002C581F" w:rsidRDefault="00000000">
            <w:r>
              <w:rPr>
                <w:sz w:val="17"/>
                <w:szCs w:val="17"/>
              </w:rPr>
              <w:t>0.50</w:t>
            </w:r>
          </w:p>
        </w:tc>
      </w:tr>
      <w:tr w:rsidR="002C581F" w14:paraId="607A5DD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D621A7E" w14:textId="77777777" w:rsidR="002C581F" w:rsidRDefault="00000000">
            <w:r>
              <w:rPr>
                <w:sz w:val="17"/>
                <w:szCs w:val="17"/>
              </w:rPr>
              <w:t>EGFR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79F258F" w14:textId="77777777" w:rsidR="002C581F" w:rsidRDefault="00000000">
            <w:r>
              <w:rPr>
                <w:sz w:val="17"/>
                <w:szCs w:val="17"/>
              </w:rPr>
              <w:t>4HJO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F70BB1D" w14:textId="77777777" w:rsidR="002C581F" w:rsidRDefault="00000000">
            <w:r>
              <w:rPr>
                <w:sz w:val="17"/>
                <w:szCs w:val="17"/>
              </w:rPr>
              <w:t>30 / 30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2C70B0B" w14:textId="77777777" w:rsidR="002C581F" w:rsidRDefault="00000000">
            <w:r>
              <w:rPr>
                <w:sz w:val="17"/>
                <w:szCs w:val="17"/>
              </w:rPr>
              <w:t>0.95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FF9816" w14:textId="77777777" w:rsidR="002C581F" w:rsidRDefault="00000000">
            <w:r>
              <w:rPr>
                <w:sz w:val="17"/>
                <w:szCs w:val="17"/>
              </w:rPr>
              <w:t>0.50</w:t>
            </w:r>
          </w:p>
        </w:tc>
      </w:tr>
      <w:tr w:rsidR="002C581F" w14:paraId="7FAC420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16E860D" w14:textId="77777777" w:rsidR="002C581F" w:rsidRDefault="00000000">
            <w:r>
              <w:rPr>
                <w:sz w:val="17"/>
                <w:szCs w:val="17"/>
              </w:rPr>
              <w:t>BRAF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8197A1D" w14:textId="77777777" w:rsidR="002C581F" w:rsidRDefault="00000000">
            <w:r>
              <w:rPr>
                <w:sz w:val="17"/>
                <w:szCs w:val="17"/>
              </w:rPr>
              <w:t>3OG7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46E78C3" w14:textId="77777777" w:rsidR="002C581F" w:rsidRDefault="00000000">
            <w:r>
              <w:rPr>
                <w:sz w:val="17"/>
                <w:szCs w:val="17"/>
              </w:rPr>
              <w:t>30 / 30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D1B9C98" w14:textId="77777777" w:rsidR="002C581F" w:rsidRDefault="00000000">
            <w:r>
              <w:rPr>
                <w:sz w:val="17"/>
                <w:szCs w:val="17"/>
              </w:rPr>
              <w:t>0.94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7533F32" w14:textId="77777777" w:rsidR="002C581F" w:rsidRDefault="00000000">
            <w:r>
              <w:rPr>
                <w:sz w:val="17"/>
                <w:szCs w:val="17"/>
              </w:rPr>
              <w:t>0.52</w:t>
            </w:r>
          </w:p>
        </w:tc>
      </w:tr>
      <w:tr w:rsidR="002C581F" w14:paraId="38B929D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E6E9AE2" w14:textId="77777777" w:rsidR="002C581F" w:rsidRDefault="00000000">
            <w:r>
              <w:rPr>
                <w:sz w:val="17"/>
                <w:szCs w:val="17"/>
              </w:rPr>
              <w:t>MAO-B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4387F62" w14:textId="77777777" w:rsidR="002C581F" w:rsidRDefault="00000000">
            <w:r>
              <w:rPr>
                <w:sz w:val="17"/>
                <w:szCs w:val="17"/>
              </w:rPr>
              <w:t>4A79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67B9DAE" w14:textId="77777777" w:rsidR="002C581F" w:rsidRDefault="00000000">
            <w:r>
              <w:rPr>
                <w:sz w:val="17"/>
                <w:szCs w:val="17"/>
              </w:rPr>
              <w:t>30 / 30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F5CF634" w14:textId="77777777" w:rsidR="002C581F" w:rsidRDefault="00000000">
            <w:r>
              <w:rPr>
                <w:sz w:val="17"/>
                <w:szCs w:val="17"/>
              </w:rPr>
              <w:t>0.84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C5DE222" w14:textId="77777777" w:rsidR="002C581F" w:rsidRDefault="00000000">
            <w:r>
              <w:rPr>
                <w:sz w:val="17"/>
                <w:szCs w:val="17"/>
              </w:rPr>
              <w:t>0.65</w:t>
            </w:r>
          </w:p>
        </w:tc>
      </w:tr>
      <w:tr w:rsidR="002C581F" w14:paraId="1DC189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287D256" w14:textId="77777777" w:rsidR="002C581F" w:rsidRDefault="00000000">
            <w:r>
              <w:rPr>
                <w:sz w:val="17"/>
                <w:szCs w:val="17"/>
              </w:rPr>
              <w:t>HIV-1 protease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F9CF8EC" w14:textId="77777777" w:rsidR="002C581F" w:rsidRDefault="00000000">
            <w:r>
              <w:rPr>
                <w:sz w:val="17"/>
                <w:szCs w:val="17"/>
              </w:rPr>
              <w:t>3NU3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4063ABE" w14:textId="77777777" w:rsidR="002C581F" w:rsidRDefault="00000000">
            <w:r>
              <w:rPr>
                <w:sz w:val="17"/>
                <w:szCs w:val="17"/>
              </w:rPr>
              <w:t>30 / 30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E087006" w14:textId="77777777" w:rsidR="002C581F" w:rsidRDefault="00000000">
            <w:r>
              <w:rPr>
                <w:sz w:val="17"/>
                <w:szCs w:val="17"/>
              </w:rPr>
              <w:t>0.52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4BE90B1" w14:textId="77777777" w:rsidR="002C581F" w:rsidRDefault="00000000">
            <w:r>
              <w:rPr>
                <w:sz w:val="17"/>
                <w:szCs w:val="17"/>
              </w:rPr>
              <w:t>0.37</w:t>
            </w:r>
          </w:p>
        </w:tc>
      </w:tr>
      <w:tr w:rsidR="002C581F" w14:paraId="28536B4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4B58A21" w14:textId="77777777" w:rsidR="002C581F" w:rsidRDefault="00000000">
            <w:r>
              <w:rPr>
                <w:sz w:val="17"/>
                <w:szCs w:val="17"/>
              </w:rPr>
              <w:t>α-synuclein (IDP)</w:t>
            </w:r>
          </w:p>
        </w:tc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380EC1A" w14:textId="77777777" w:rsidR="002C581F" w:rsidRDefault="00000000">
            <w:r>
              <w:rPr>
                <w:sz w:val="17"/>
                <w:szCs w:val="17"/>
              </w:rPr>
              <w:t>2N0A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3EE92A9" w14:textId="77777777" w:rsidR="002C581F" w:rsidRDefault="00000000">
            <w:r>
              <w:rPr>
                <w:sz w:val="17"/>
                <w:szCs w:val="17"/>
              </w:rPr>
              <w:t>calibration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27D48D7" w14:textId="77777777" w:rsidR="002C581F" w:rsidRDefault="00000000">
            <w:r>
              <w:rPr>
                <w:sz w:val="17"/>
                <w:szCs w:val="17"/>
              </w:rPr>
              <w:t>0.955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B604C14" w14:textId="77777777" w:rsidR="002C581F" w:rsidRDefault="00000000">
            <w:r>
              <w:rPr>
                <w:sz w:val="17"/>
                <w:szCs w:val="17"/>
              </w:rPr>
              <w:t>uninformative</w:t>
            </w:r>
          </w:p>
        </w:tc>
      </w:tr>
    </w:tbl>
    <w:p w14:paraId="2347CF6D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Supplementary Methods (rigid-target head-to-head). </w:t>
      </w:r>
      <w:r>
        <w:t xml:space="preserve">For each target, known actives were taken from </w:t>
      </w:r>
      <w:proofErr w:type="spellStart"/>
      <w:r>
        <w:t>BindingDB</w:t>
      </w:r>
      <w:proofErr w:type="spellEnd"/>
      <w:r>
        <w:t xml:space="preserve"> and restricted to high-confidence binders; an equal number of property-matched decoys was drawn to match the actives in molecular weight, </w:t>
      </w:r>
      <w:proofErr w:type="spellStart"/>
      <w:r>
        <w:t>cLogP</w:t>
      </w:r>
      <w:proofErr w:type="spellEnd"/>
      <w:r>
        <w:t>, hydrogen-bond donors/acceptors and net formal charge (DUD-E-style), so that simple physicochemical bias cannot drive discrimination. Receptors were prepared from the listed crystal structures (GSK3β 4PTC, EGFR 4HJO, BRAF 3OG7, MAO-B 4A79, HIV-1 protease 3NU3) by removing waters and the co-</w:t>
      </w:r>
      <w:proofErr w:type="spellStart"/>
      <w:r>
        <w:t>crystallised</w:t>
      </w:r>
      <w:proofErr w:type="spellEnd"/>
      <w:r>
        <w:t xml:space="preserve"> ligand and converting to PDBQT; the docking box was </w:t>
      </w:r>
      <w:proofErr w:type="spellStart"/>
      <w:r>
        <w:t>centred</w:t>
      </w:r>
      <w:proofErr w:type="spellEnd"/>
      <w:r>
        <w:t xml:space="preserve"> on the co-</w:t>
      </w:r>
      <w:proofErr w:type="spellStart"/>
      <w:r>
        <w:t>crystallised</w:t>
      </w:r>
      <w:proofErr w:type="spellEnd"/>
      <w:r>
        <w:t xml:space="preserve"> ligand. Ligands were protonated at pH 7.4 and embedded as 3D conformers. </w:t>
      </w:r>
      <w:proofErr w:type="spellStart"/>
      <w:r>
        <w:t>AutoDock</w:t>
      </w:r>
      <w:proofErr w:type="spellEnd"/>
      <w:r>
        <w:t xml:space="preserve"> Vina (rigid receptor, exhaustiveness 8) returned a best-pose affinity per ligand and the engine returned its DPISO score; each was ranked against the active/decoy labels and </w:t>
      </w:r>
      <w:proofErr w:type="spellStart"/>
      <w:r>
        <w:t>summarised</w:t>
      </w:r>
      <w:proofErr w:type="spellEnd"/>
      <w:r>
        <w:t xml:space="preserve"> by the area under the ROC curve. Two independent decoy draws constitute the two blind rounds. This panel is an exploratory cross-check, not a parameter-</w:t>
      </w:r>
      <w:proofErr w:type="spellStart"/>
      <w:r>
        <w:t>optimised</w:t>
      </w:r>
      <w:proofErr w:type="spellEnd"/>
      <w:r>
        <w:t xml:space="preserve"> docking benchmark.</w:t>
      </w:r>
    </w:p>
    <w:p w14:paraId="14ED3E66" w14:textId="77777777" w:rsidR="002C581F" w:rsidRDefault="00000000">
      <w:r>
        <w:br w:type="page"/>
      </w:r>
    </w:p>
    <w:p w14:paraId="6C7F9290" w14:textId="77777777" w:rsidR="002C581F" w:rsidRDefault="00000000">
      <w:pPr>
        <w:pStyle w:val="1"/>
      </w:pPr>
      <w:r>
        <w:lastRenderedPageBreak/>
        <w:t>Supplementary Tables (moved from main text)</w:t>
      </w:r>
    </w:p>
    <w:p w14:paraId="75269166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Supplementary Table 3. </w:t>
      </w:r>
      <w:r>
        <w:t>Validated screening funnel (ZINC15 In-Stock Reactive). For ultra-large libraries a coarse BBB+GI gate then LICP active set (ceiling 10,000,000) precedes the same composite scoring.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3000"/>
      </w:tblGrid>
      <w:tr w:rsidR="002C581F" w14:paraId="277604C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3A4F641" w14:textId="77777777" w:rsidR="002C581F" w:rsidRDefault="00000000">
            <w:r>
              <w:rPr>
                <w:b/>
                <w:bCs/>
                <w:sz w:val="17"/>
                <w:szCs w:val="17"/>
              </w:rPr>
              <w:t>Stage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A8813B9" w14:textId="77777777" w:rsidR="002C581F" w:rsidRDefault="00000000">
            <w:r>
              <w:rPr>
                <w:b/>
                <w:bCs/>
                <w:sz w:val="17"/>
                <w:szCs w:val="17"/>
              </w:rPr>
              <w:t>Compounds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1698090" w14:textId="77777777" w:rsidR="002C581F" w:rsidRDefault="00000000">
            <w:r>
              <w:rPr>
                <w:b/>
                <w:bCs/>
                <w:sz w:val="17"/>
                <w:szCs w:val="17"/>
              </w:rPr>
              <w:t>Note</w:t>
            </w:r>
          </w:p>
        </w:tc>
      </w:tr>
      <w:tr w:rsidR="002C581F" w14:paraId="1C8E5EE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A238C8" w14:textId="77777777" w:rsidR="002C581F" w:rsidRDefault="00000000">
            <w:r>
              <w:rPr>
                <w:sz w:val="17"/>
                <w:szCs w:val="17"/>
              </w:rPr>
              <w:t>ZINC15 In-Stock Reactive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B693F79" w14:textId="77777777" w:rsidR="002C581F" w:rsidRDefault="00000000">
            <w:r>
              <w:rPr>
                <w:sz w:val="17"/>
                <w:szCs w:val="17"/>
              </w:rPr>
              <w:t>283,383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FB4F7AC" w14:textId="77777777" w:rsidR="002C581F" w:rsidRDefault="00000000">
            <w:r>
              <w:rPr>
                <w:sz w:val="17"/>
                <w:szCs w:val="17"/>
              </w:rPr>
              <w:t>input</w:t>
            </w:r>
          </w:p>
        </w:tc>
      </w:tr>
      <w:tr w:rsidR="002C581F" w14:paraId="5153A42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CDC4A9E" w14:textId="77777777" w:rsidR="002C581F" w:rsidRDefault="00000000">
            <w:r>
              <w:rPr>
                <w:sz w:val="17"/>
                <w:szCs w:val="17"/>
              </w:rPr>
              <w:t>Stage-0 developability gate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A2762CB" w14:textId="77777777" w:rsidR="002C581F" w:rsidRDefault="00000000">
            <w:r>
              <w:rPr>
                <w:sz w:val="17"/>
                <w:szCs w:val="17"/>
              </w:rPr>
              <w:t>200,497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405E5F4" w14:textId="77777777" w:rsidR="002C581F" w:rsidRDefault="00000000">
            <w:r>
              <w:rPr>
                <w:sz w:val="17"/>
                <w:szCs w:val="17"/>
              </w:rPr>
              <w:t>70.8%</w:t>
            </w:r>
          </w:p>
        </w:tc>
      </w:tr>
      <w:tr w:rsidR="002C581F" w14:paraId="5EE651E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CE005B" w14:textId="77777777" w:rsidR="002C581F" w:rsidRDefault="00000000">
            <w:r>
              <w:rPr>
                <w:sz w:val="17"/>
                <w:szCs w:val="17"/>
              </w:rPr>
              <w:t>LICP-DPISO composite Top-2,000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9F06AC4" w14:textId="77777777" w:rsidR="002C581F" w:rsidRDefault="00000000">
            <w:r>
              <w:rPr>
                <w:sz w:val="17"/>
                <w:szCs w:val="17"/>
              </w:rPr>
              <w:t>2,000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73CB486" w14:textId="77777777" w:rsidR="002C581F" w:rsidRDefault="00000000">
            <w:r>
              <w:rPr>
                <w:sz w:val="17"/>
                <w:szCs w:val="17"/>
              </w:rPr>
              <w:t>top 0.7%</w:t>
            </w:r>
          </w:p>
        </w:tc>
      </w:tr>
      <w:tr w:rsidR="002C581F" w14:paraId="1BAA755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4E18B06" w14:textId="77777777" w:rsidR="002C581F" w:rsidRDefault="00000000">
            <w:r>
              <w:rPr>
                <w:sz w:val="17"/>
                <w:szCs w:val="17"/>
              </w:rPr>
              <w:t>CAS-confirmed (Top-200)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B9F392D" w14:textId="77777777" w:rsidR="002C581F" w:rsidRDefault="00000000">
            <w:r>
              <w:rPr>
                <w:sz w:val="17"/>
                <w:szCs w:val="17"/>
              </w:rPr>
              <w:t>19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6613E93" w14:textId="77777777" w:rsidR="002C581F" w:rsidRDefault="00000000">
            <w:r>
              <w:rPr>
                <w:sz w:val="17"/>
                <w:szCs w:val="17"/>
              </w:rPr>
              <w:t>purchasable</w:t>
            </w:r>
          </w:p>
        </w:tc>
      </w:tr>
      <w:tr w:rsidR="002C581F" w14:paraId="7ADD938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63EEE1" w14:textId="77777777" w:rsidR="002C581F" w:rsidRDefault="00000000">
            <w:r>
              <w:rPr>
                <w:sz w:val="17"/>
                <w:szCs w:val="17"/>
              </w:rPr>
              <w:t>Validation panel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5D02600" w14:textId="77777777" w:rsidR="002C581F" w:rsidRDefault="00000000">
            <w:r>
              <w:rPr>
                <w:sz w:val="17"/>
                <w:szCs w:val="17"/>
              </w:rPr>
              <w:t>11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D4E9601" w14:textId="77777777" w:rsidR="002C581F" w:rsidRDefault="00000000">
            <w:r>
              <w:rPr>
                <w:sz w:val="17"/>
                <w:szCs w:val="17"/>
              </w:rPr>
              <w:t>3 known + 5 α-syn-unreported + ctrl</w:t>
            </w:r>
          </w:p>
        </w:tc>
      </w:tr>
      <w:tr w:rsidR="002C581F" w14:paraId="1CC5713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1729DB5" w14:textId="77777777" w:rsidR="002C581F" w:rsidRDefault="00000000">
            <w:r>
              <w:rPr>
                <w:sz w:val="17"/>
                <w:szCs w:val="17"/>
              </w:rPr>
              <w:t>Wet-lab tested (+ EGCG ctrl)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518EA9E" w14:textId="77777777" w:rsidR="002C581F" w:rsidRDefault="00000000">
            <w:r>
              <w:rPr>
                <w:sz w:val="17"/>
                <w:szCs w:val="17"/>
              </w:rPr>
              <w:t>4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7ED7C46" w14:textId="77777777" w:rsidR="002C581F" w:rsidRDefault="00000000">
            <w:proofErr w:type="spellStart"/>
            <w:r>
              <w:rPr>
                <w:sz w:val="17"/>
                <w:szCs w:val="17"/>
              </w:rPr>
              <w:t>ThT</w:t>
            </w:r>
            <w:proofErr w:type="spellEnd"/>
            <w:r>
              <w:rPr>
                <w:sz w:val="17"/>
                <w:szCs w:val="17"/>
              </w:rPr>
              <w:t xml:space="preserve"> assay</w:t>
            </w:r>
          </w:p>
        </w:tc>
      </w:tr>
    </w:tbl>
    <w:p w14:paraId="5D94C7AF" w14:textId="77777777" w:rsidR="002C581F" w:rsidRDefault="002C581F">
      <w:pPr>
        <w:spacing w:after="120" w:line="300" w:lineRule="auto"/>
        <w:jc w:val="both"/>
      </w:pPr>
    </w:p>
    <w:p w14:paraId="2FBD5EB7" w14:textId="77777777" w:rsidR="002C581F" w:rsidRDefault="00000000">
      <w:pPr>
        <w:spacing w:after="120" w:line="300" w:lineRule="auto"/>
        <w:jc w:val="both"/>
      </w:pPr>
      <w:r>
        <w:rPr>
          <w:b/>
          <w:bCs/>
        </w:rPr>
        <w:t xml:space="preserve">Supplementary Table 4. </w:t>
      </w:r>
      <w:r>
        <w:t>LICP active-set compression of the screening problem (production run).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2880"/>
        <w:gridCol w:w="2880"/>
      </w:tblGrid>
      <w:tr w:rsidR="002C581F" w14:paraId="57AE66B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EE759AA" w14:textId="77777777" w:rsidR="002C581F" w:rsidRDefault="00000000">
            <w:r>
              <w:rPr>
                <w:b/>
                <w:bCs/>
                <w:sz w:val="17"/>
                <w:szCs w:val="17"/>
              </w:rPr>
              <w:t>Stage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C6797A9" w14:textId="77777777" w:rsidR="002C581F" w:rsidRDefault="00000000">
            <w:r>
              <w:rPr>
                <w:b/>
                <w:bCs/>
                <w:sz w:val="17"/>
                <w:szCs w:val="17"/>
              </w:rPr>
              <w:t>Molecules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9E2EC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D32247C" w14:textId="77777777" w:rsidR="002C581F" w:rsidRDefault="00000000">
            <w:r>
              <w:rPr>
                <w:b/>
                <w:bCs/>
                <w:sz w:val="17"/>
                <w:szCs w:val="17"/>
              </w:rPr>
              <w:t>Reduction</w:t>
            </w:r>
          </w:p>
        </w:tc>
      </w:tr>
      <w:tr w:rsidR="002C581F" w14:paraId="461A2C4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A740C3" w14:textId="77777777" w:rsidR="002C581F" w:rsidRDefault="00000000">
            <w:r>
              <w:rPr>
                <w:sz w:val="17"/>
                <w:szCs w:val="17"/>
              </w:rPr>
              <w:t>Local ZINC mirror (brute force)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36C6138" w14:textId="77777777" w:rsidR="002C581F" w:rsidRDefault="00000000">
            <w:r>
              <w:rPr>
                <w:sz w:val="17"/>
                <w:szCs w:val="17"/>
              </w:rPr>
              <w:t>846,000,000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FDA55CC" w14:textId="77777777" w:rsidR="002C581F" w:rsidRDefault="00000000">
            <w:r>
              <w:rPr>
                <w:sz w:val="17"/>
                <w:szCs w:val="17"/>
              </w:rPr>
              <w:t>1x</w:t>
            </w:r>
          </w:p>
        </w:tc>
      </w:tr>
      <w:tr w:rsidR="002C581F" w14:paraId="06B6F91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219055" w14:textId="77777777" w:rsidR="002C581F" w:rsidRDefault="00000000">
            <w:r>
              <w:rPr>
                <w:sz w:val="17"/>
                <w:szCs w:val="17"/>
              </w:rPr>
              <w:t xml:space="preserve">Coarse </w:t>
            </w:r>
            <w:proofErr w:type="spellStart"/>
            <w:r>
              <w:rPr>
                <w:sz w:val="17"/>
                <w:szCs w:val="17"/>
              </w:rPr>
              <w:t>BBB+GI+drug-like</w:t>
            </w:r>
            <w:proofErr w:type="spellEnd"/>
            <w:r>
              <w:rPr>
                <w:sz w:val="17"/>
                <w:szCs w:val="17"/>
              </w:rPr>
              <w:t xml:space="preserve"> gate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3AB0657" w14:textId="77777777" w:rsidR="002C581F" w:rsidRDefault="00000000">
            <w:r>
              <w:rPr>
                <w:sz w:val="17"/>
                <w:szCs w:val="17"/>
              </w:rPr>
              <w:t>streaming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31EFC03" w14:textId="77777777" w:rsidR="002C581F" w:rsidRDefault="00000000">
            <w:r>
              <w:rPr>
                <w:sz w:val="17"/>
                <w:szCs w:val="17"/>
              </w:rPr>
              <w:t>cheap pre-cut</w:t>
            </w:r>
          </w:p>
        </w:tc>
      </w:tr>
      <w:tr w:rsidR="002C581F" w14:paraId="2D2C144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47E1CA7" w14:textId="77777777" w:rsidR="002C581F" w:rsidRDefault="00000000">
            <w:r>
              <w:rPr>
                <w:sz w:val="17"/>
                <w:szCs w:val="17"/>
              </w:rPr>
              <w:t>LICP capacity-limited active set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51E08D5" w14:textId="77777777" w:rsidR="002C581F" w:rsidRDefault="00000000">
            <w:r>
              <w:rPr>
                <w:sz w:val="17"/>
                <w:szCs w:val="17"/>
              </w:rPr>
              <w:t>10,000,000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C45CF3C" w14:textId="77777777" w:rsidR="002C581F" w:rsidRDefault="00000000">
            <w:r>
              <w:rPr>
                <w:sz w:val="17"/>
                <w:szCs w:val="17"/>
              </w:rPr>
              <w:t>~85x</w:t>
            </w:r>
          </w:p>
        </w:tc>
      </w:tr>
      <w:tr w:rsidR="002C581F" w14:paraId="7E7D195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F13B035" w14:textId="77777777" w:rsidR="002C581F" w:rsidRDefault="00000000">
            <w:r>
              <w:rPr>
                <w:sz w:val="17"/>
                <w:szCs w:val="17"/>
              </w:rPr>
              <w:t>Reaches LICP-DPISO scoring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15B99C1" w14:textId="77777777" w:rsidR="002C581F" w:rsidRDefault="00000000">
            <w:r>
              <w:rPr>
                <w:sz w:val="17"/>
                <w:szCs w:val="17"/>
              </w:rPr>
              <w:t>10,000,000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22632F1" w14:textId="77777777" w:rsidR="002C581F" w:rsidRDefault="00000000">
            <w:r>
              <w:rPr>
                <w:sz w:val="17"/>
                <w:szCs w:val="17"/>
              </w:rPr>
              <w:t>active set only</w:t>
            </w:r>
          </w:p>
        </w:tc>
      </w:tr>
      <w:tr w:rsidR="002C581F" w14:paraId="15DD7ED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0434457" w14:textId="77777777" w:rsidR="002C581F" w:rsidRDefault="00000000">
            <w:r>
              <w:rPr>
                <w:sz w:val="17"/>
                <w:szCs w:val="17"/>
              </w:rPr>
              <w:t>Passed engine developability filter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FA19259" w14:textId="77777777" w:rsidR="002C581F" w:rsidRDefault="00000000">
            <w:r>
              <w:rPr>
                <w:sz w:val="17"/>
                <w:szCs w:val="17"/>
              </w:rPr>
              <w:t>4,892,716</w:t>
            </w:r>
          </w:p>
        </w:tc>
        <w:tc>
          <w:tcPr>
            <w:tcW w:w="28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4784AE2" w14:textId="77777777" w:rsidR="002C581F" w:rsidRDefault="00000000">
            <w:r>
              <w:rPr>
                <w:sz w:val="17"/>
                <w:szCs w:val="17"/>
              </w:rPr>
              <w:t>48.9% of set</w:t>
            </w:r>
          </w:p>
        </w:tc>
      </w:tr>
    </w:tbl>
    <w:p w14:paraId="6D56F309" w14:textId="77777777" w:rsidR="00FD0730" w:rsidRDefault="00FD0730"/>
    <w:sectPr w:rsidR="00FD0730">
      <w:headerReference w:type="default" r:id="rId14"/>
      <w:footerReference w:type="default" r:id="rId15"/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5C2D" w14:textId="77777777" w:rsidR="00FD0730" w:rsidRDefault="00FD0730" w:rsidP="00B71B97">
      <w:r>
        <w:separator/>
      </w:r>
    </w:p>
  </w:endnote>
  <w:endnote w:type="continuationSeparator" w:id="0">
    <w:p w14:paraId="5D97AE0E" w14:textId="77777777" w:rsidR="00FD0730" w:rsidRDefault="00FD0730" w:rsidP="00B7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5549" w14:textId="77777777" w:rsidR="00FD0730" w:rsidRDefault="00FD0730" w:rsidP="00B71B97">
      <w:r>
        <w:separator/>
      </w:r>
    </w:p>
  </w:footnote>
  <w:footnote w:type="continuationSeparator" w:id="0">
    <w:p w14:paraId="25794C50" w14:textId="77777777" w:rsidR="00FD0730" w:rsidRDefault="00FD0730" w:rsidP="00B71B97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E7077"/>
    <w:multiLevelType w:val="hybridMultilevel"/>
    <w:tmpl w:val="8D686F1C"/>
    <w:lvl w:ilvl="0" w:tplc="17F8C82E">
      <w:start w:val="1"/>
      <w:numFmt w:val="bullet"/>
      <w:lvlText w:val="●"/>
      <w:lvlJc w:val="left"/>
      <w:pPr>
        <w:ind w:left="720" w:hanging="360"/>
      </w:pPr>
    </w:lvl>
    <w:lvl w:ilvl="1" w:tplc="1064502C">
      <w:start w:val="1"/>
      <w:numFmt w:val="bullet"/>
      <w:lvlText w:val="○"/>
      <w:lvlJc w:val="left"/>
      <w:pPr>
        <w:ind w:left="1440" w:hanging="360"/>
      </w:pPr>
    </w:lvl>
    <w:lvl w:ilvl="2" w:tplc="32E4CA44">
      <w:start w:val="1"/>
      <w:numFmt w:val="bullet"/>
      <w:lvlText w:val="■"/>
      <w:lvlJc w:val="left"/>
      <w:pPr>
        <w:ind w:left="2160" w:hanging="360"/>
      </w:pPr>
    </w:lvl>
    <w:lvl w:ilvl="3" w:tplc="46267486">
      <w:start w:val="1"/>
      <w:numFmt w:val="bullet"/>
      <w:lvlText w:val="●"/>
      <w:lvlJc w:val="left"/>
      <w:pPr>
        <w:ind w:left="2880" w:hanging="360"/>
      </w:pPr>
    </w:lvl>
    <w:lvl w:ilvl="4" w:tplc="B624F8FE">
      <w:start w:val="1"/>
      <w:numFmt w:val="bullet"/>
      <w:lvlText w:val="○"/>
      <w:lvlJc w:val="left"/>
      <w:pPr>
        <w:ind w:left="3600" w:hanging="360"/>
      </w:pPr>
    </w:lvl>
    <w:lvl w:ilvl="5" w:tplc="D6204526">
      <w:start w:val="1"/>
      <w:numFmt w:val="bullet"/>
      <w:lvlText w:val="■"/>
      <w:lvlJc w:val="left"/>
      <w:pPr>
        <w:ind w:left="4320" w:hanging="360"/>
      </w:pPr>
    </w:lvl>
    <w:lvl w:ilvl="6" w:tplc="4044F06E">
      <w:start w:val="1"/>
      <w:numFmt w:val="bullet"/>
      <w:lvlText w:val="●"/>
      <w:lvlJc w:val="left"/>
      <w:pPr>
        <w:ind w:left="5040" w:hanging="360"/>
      </w:pPr>
    </w:lvl>
    <w:lvl w:ilvl="7" w:tplc="65A83A50">
      <w:start w:val="1"/>
      <w:numFmt w:val="bullet"/>
      <w:lvlText w:val="●"/>
      <w:lvlJc w:val="left"/>
      <w:pPr>
        <w:ind w:left="5760" w:hanging="360"/>
      </w:pPr>
    </w:lvl>
    <w:lvl w:ilvl="8" w:tplc="858859B8">
      <w:start w:val="1"/>
      <w:numFmt w:val="bullet"/>
      <w:lvlText w:val="●"/>
      <w:lvlJc w:val="left"/>
      <w:pPr>
        <w:ind w:left="6480" w:hanging="360"/>
      </w:pPr>
    </w:lvl>
  </w:abstractNum>
  <w:num w:numId="1" w16cid:durableId="170680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1F"/>
    <w:rsid w:val="0003478A"/>
    <w:rsid w:val="002C581F"/>
    <w:rsid w:val="00AF552E"/>
    <w:rsid w:val="00B71B97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9A3D"/>
  <w15:docId w15:val="{E1E54BB0-BEA5-42D3-ADD2-38933E5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rFonts w:eastAsia="Arial"/>
      <w:b/>
      <w:bCs/>
      <w:color w:val="1F3A5F"/>
      <w:sz w:val="26"/>
      <w:szCs w:val="26"/>
    </w:rPr>
  </w:style>
  <w:style w:type="paragraph" w:styleId="2">
    <w:name w:val="heading 2"/>
    <w:uiPriority w:val="9"/>
    <w:semiHidden/>
    <w:unhideWhenUsed/>
    <w:qFormat/>
    <w:pPr>
      <w:spacing w:before="160" w:after="90"/>
      <w:outlineLvl w:val="1"/>
    </w:pPr>
    <w:rPr>
      <w:rFonts w:eastAsia="Arial"/>
      <w:b/>
      <w:bCs/>
      <w:color w:val="2E75B6"/>
      <w:sz w:val="22"/>
      <w:szCs w:val="22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B71B97"/>
    <w:pPr>
      <w:tabs>
        <w:tab w:val="center" w:pos="4680"/>
        <w:tab w:val="right" w:pos="9360"/>
      </w:tabs>
    </w:pPr>
  </w:style>
  <w:style w:type="character" w:customStyle="1" w:styleId="Char1">
    <w:name w:val="머리글 Char"/>
    <w:basedOn w:val="a0"/>
    <w:link w:val="aa"/>
    <w:uiPriority w:val="99"/>
    <w:rsid w:val="00B71B97"/>
  </w:style>
  <w:style w:type="paragraph" w:styleId="ab">
    <w:name w:val="footer"/>
    <w:basedOn w:val="a"/>
    <w:link w:val="Char2"/>
    <w:uiPriority w:val="99"/>
    <w:unhideWhenUsed/>
    <w:rsid w:val="00B71B97"/>
    <w:pPr>
      <w:tabs>
        <w:tab w:val="center" w:pos="4680"/>
        <w:tab w:val="right" w:pos="9360"/>
      </w:tabs>
    </w:pPr>
  </w:style>
  <w:style w:type="character" w:customStyle="1" w:styleId="Char2">
    <w:name w:val="바닥글 Char"/>
    <w:basedOn w:val="a0"/>
    <w:link w:val="ab"/>
    <w:uiPriority w:val="99"/>
    <w:rsid w:val="00B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김상준</cp:lastModifiedBy>
  <cp:revision>2</cp:revision>
  <dcterms:created xsi:type="dcterms:W3CDTF">2026-06-04T04:45:00Z</dcterms:created>
  <dcterms:modified xsi:type="dcterms:W3CDTF">2026-06-04T04:45:00Z</dcterms:modified>
</cp:coreProperties>
</file>