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992"/>
        <w:gridCol w:w="4394"/>
        <w:gridCol w:w="6379"/>
      </w:tblGrid>
      <w:tr w:rsidR="00B36D6D" w:rsidRPr="009C6FD6" w14:paraId="42F6C7CE" w14:textId="60744FD6" w:rsidTr="00E30B7E">
        <w:trPr>
          <w:trHeight w:val="276"/>
        </w:trPr>
        <w:tc>
          <w:tcPr>
            <w:tcW w:w="2552"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4394"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6379"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E30B7E">
        <w:trPr>
          <w:trHeight w:val="268"/>
        </w:trPr>
        <w:tc>
          <w:tcPr>
            <w:tcW w:w="7938"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6379"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E30B7E">
        <w:trPr>
          <w:trHeight w:val="276"/>
        </w:trPr>
        <w:tc>
          <w:tcPr>
            <w:tcW w:w="2552"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4394"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6379" w:type="dxa"/>
          </w:tcPr>
          <w:p w14:paraId="6FE2128F" w14:textId="25C62B28" w:rsidR="00FC5500" w:rsidRPr="00FC5500" w:rsidRDefault="00FC5500" w:rsidP="00FC5500">
            <w:pPr>
              <w:spacing w:line="240" w:lineRule="auto"/>
              <w:rPr>
                <w:rFonts w:ascii="Calibri" w:eastAsia="Calibri" w:hAnsi="Calibri" w:cs="Calibri"/>
                <w:color w:val="000000"/>
                <w:sz w:val="22"/>
                <w:szCs w:val="22"/>
              </w:rPr>
            </w:pPr>
            <w:r w:rsidRPr="00FC5500">
              <w:rPr>
                <w:rFonts w:ascii="Calibri" w:eastAsia="Calibri" w:hAnsi="Calibri" w:cs="Calibri"/>
                <w:color w:val="000000"/>
                <w:sz w:val="22"/>
                <w:szCs w:val="22"/>
              </w:rPr>
              <w:t>Page 1</w:t>
            </w:r>
          </w:p>
          <w:p w14:paraId="682CEBAD"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2962253C" w14:textId="1E5A4156" w:rsidTr="00E30B7E">
        <w:trPr>
          <w:trHeight w:val="418"/>
        </w:trPr>
        <w:tc>
          <w:tcPr>
            <w:tcW w:w="2552"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4394"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6379" w:type="dxa"/>
          </w:tcPr>
          <w:p w14:paraId="078952E4" w14:textId="1C34F8CF" w:rsidR="00B36D6D" w:rsidRPr="009C6FD6" w:rsidRDefault="00FC5500">
            <w:pPr>
              <w:spacing w:line="240" w:lineRule="auto"/>
              <w:rPr>
                <w:rFonts w:ascii="Calibri" w:eastAsia="Calibri" w:hAnsi="Calibri" w:cs="Calibri"/>
                <w:color w:val="000000"/>
                <w:sz w:val="22"/>
                <w:szCs w:val="22"/>
                <w:lang w:val="en-GB"/>
              </w:rPr>
            </w:pPr>
            <w:r w:rsidRPr="00FC5500">
              <w:rPr>
                <w:rFonts w:ascii="Calibri" w:eastAsia="Calibri" w:hAnsi="Calibri" w:cs="Calibri"/>
                <w:color w:val="000000"/>
                <w:sz w:val="22"/>
                <w:szCs w:val="22"/>
              </w:rPr>
              <w:t>Pages 1–2</w:t>
            </w:r>
          </w:p>
        </w:tc>
      </w:tr>
      <w:tr w:rsidR="00B36D6D" w:rsidRPr="009C6FD6" w14:paraId="3A57CE3F" w14:textId="3A3DB5B7" w:rsidTr="00E30B7E">
        <w:trPr>
          <w:trHeight w:val="276"/>
        </w:trPr>
        <w:tc>
          <w:tcPr>
            <w:tcW w:w="7938"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6379"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E30B7E">
        <w:trPr>
          <w:trHeight w:val="272"/>
        </w:trPr>
        <w:tc>
          <w:tcPr>
            <w:tcW w:w="2552"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4394"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6379" w:type="dxa"/>
          </w:tcPr>
          <w:p w14:paraId="5384896B" w14:textId="72C53D4D" w:rsidR="00B36D6D" w:rsidRPr="009C6FD6" w:rsidRDefault="00FC5500" w:rsidP="00FC5500">
            <w:pPr>
              <w:spacing w:line="240" w:lineRule="auto"/>
              <w:rPr>
                <w:rFonts w:ascii="Calibri" w:eastAsia="Calibri" w:hAnsi="Calibri" w:cs="Calibri"/>
                <w:color w:val="000000"/>
                <w:sz w:val="22"/>
                <w:szCs w:val="22"/>
                <w:lang w:val="en-GB"/>
              </w:rPr>
            </w:pPr>
            <w:r w:rsidRPr="00FC5500">
              <w:rPr>
                <w:rFonts w:ascii="Calibri" w:eastAsia="Calibri" w:hAnsi="Calibri" w:cs="Calibri"/>
                <w:color w:val="000000"/>
                <w:sz w:val="22"/>
                <w:szCs w:val="22"/>
              </w:rPr>
              <w:t>N/A. The study was not registered because it was an educational study evaluating teaching methodologies and did not involve healthcare interventions, clinical treatment, or patient-related outcomes; see pages 3 and 5.</w:t>
            </w:r>
          </w:p>
        </w:tc>
      </w:tr>
      <w:tr w:rsidR="00B36D6D" w:rsidRPr="009C6FD6" w14:paraId="5732C7E5" w14:textId="1E98AF6E" w:rsidTr="00E30B7E">
        <w:trPr>
          <w:trHeight w:val="272"/>
        </w:trPr>
        <w:tc>
          <w:tcPr>
            <w:tcW w:w="2552"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4394"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6379" w:type="dxa"/>
          </w:tcPr>
          <w:p w14:paraId="628ED577" w14:textId="669856B3" w:rsidR="00B36D6D" w:rsidRPr="00FC5500" w:rsidRDefault="00FC5500" w:rsidP="00FC5500">
            <w:pPr>
              <w:spacing w:line="240" w:lineRule="auto"/>
              <w:rPr>
                <w:rFonts w:ascii="Calibri" w:eastAsia="Calibri" w:hAnsi="Calibri" w:cs="Calibri"/>
                <w:color w:val="000000"/>
                <w:sz w:val="22"/>
                <w:szCs w:val="22"/>
              </w:rPr>
            </w:pPr>
            <w:r w:rsidRPr="00FC5500">
              <w:rPr>
                <w:rFonts w:ascii="Calibri" w:eastAsia="Calibri" w:hAnsi="Calibri" w:cs="Calibri"/>
                <w:color w:val="000000"/>
                <w:sz w:val="22"/>
                <w:szCs w:val="22"/>
              </w:rPr>
              <w:t>No separate publicly accessible trial protocol or statistical analysis plan is available; these documents are available from the corresponding author upon reasonable request, and the study procedures and statistical analyses are described in the Methods section. See pages 5 and 8.</w:t>
            </w:r>
          </w:p>
        </w:tc>
      </w:tr>
      <w:tr w:rsidR="00B36D6D" w:rsidRPr="009C6FD6" w14:paraId="5457CDD4" w14:textId="1CA03383" w:rsidTr="00E30B7E">
        <w:trPr>
          <w:trHeight w:val="272"/>
        </w:trPr>
        <w:tc>
          <w:tcPr>
            <w:tcW w:w="2552"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4394"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6379" w:type="dxa"/>
          </w:tcPr>
          <w:p w14:paraId="48E4F70A" w14:textId="1F3C01E0" w:rsidR="00B36D6D" w:rsidRPr="00FC5500" w:rsidRDefault="00FC5500" w:rsidP="00FC5500">
            <w:pPr>
              <w:spacing w:line="240" w:lineRule="auto"/>
              <w:rPr>
                <w:rFonts w:ascii="Calibri" w:eastAsia="Calibri" w:hAnsi="Calibri" w:cs="Calibri"/>
                <w:color w:val="000000"/>
                <w:sz w:val="22"/>
                <w:szCs w:val="22"/>
              </w:rPr>
            </w:pPr>
            <w:r w:rsidRPr="00FC5500">
              <w:rPr>
                <w:rFonts w:ascii="Calibri" w:eastAsia="Calibri" w:hAnsi="Calibri" w:cs="Calibri"/>
                <w:color w:val="000000"/>
                <w:sz w:val="22"/>
                <w:szCs w:val="22"/>
              </w:rPr>
              <w:t>De-identified datasets used and/or analyzed during the current study are available from the corresponding author upon reasonable request. No separate public repository is available. Data dictionary, statistical code, and other study materials may also be requested from the corresponding author where applicable. See page 18.</w:t>
            </w:r>
          </w:p>
        </w:tc>
      </w:tr>
      <w:tr w:rsidR="00B36D6D" w:rsidRPr="009C6FD6" w14:paraId="53FD3373" w14:textId="12E61B4B" w:rsidTr="00E30B7E">
        <w:trPr>
          <w:trHeight w:val="272"/>
        </w:trPr>
        <w:tc>
          <w:tcPr>
            <w:tcW w:w="2552"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4394"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6379" w:type="dxa"/>
          </w:tcPr>
          <w:p w14:paraId="20B1CBDD" w14:textId="1B129BEE" w:rsidR="00B36D6D" w:rsidRPr="00FC5500" w:rsidRDefault="00FC5500" w:rsidP="00FC5500">
            <w:pPr>
              <w:spacing w:line="240" w:lineRule="auto"/>
              <w:rPr>
                <w:rFonts w:ascii="Calibri" w:eastAsia="Calibri" w:hAnsi="Calibri" w:cs="Calibri"/>
                <w:color w:val="000000"/>
                <w:sz w:val="22"/>
                <w:szCs w:val="22"/>
              </w:rPr>
            </w:pPr>
            <w:r w:rsidRPr="00FC5500">
              <w:rPr>
                <w:rFonts w:ascii="Calibri" w:eastAsia="Calibri" w:hAnsi="Calibri" w:cs="Calibri"/>
                <w:color w:val="000000"/>
                <w:sz w:val="22"/>
                <w:szCs w:val="22"/>
              </w:rPr>
              <w:t>Page 18. This study was supported by the Gazi University Scientific Research Projects Coordination Unit (BAP) under project code TDK-2026-10869. The funder had no role in the design, conduct, analysis, interpretation, or reporting of the trial.</w:t>
            </w:r>
          </w:p>
        </w:tc>
      </w:tr>
      <w:tr w:rsidR="00B36D6D" w:rsidRPr="009C6FD6" w14:paraId="0D642CEB" w14:textId="5FE698ED" w:rsidTr="00E30B7E">
        <w:trPr>
          <w:trHeight w:val="272"/>
        </w:trPr>
        <w:tc>
          <w:tcPr>
            <w:tcW w:w="2552"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4394"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6379" w:type="dxa"/>
          </w:tcPr>
          <w:p w14:paraId="2C85AC6B" w14:textId="07CB607E" w:rsidR="00B36D6D" w:rsidRPr="009C6FD6" w:rsidRDefault="00FC5500" w:rsidP="00FC5500">
            <w:pPr>
              <w:spacing w:line="240" w:lineRule="auto"/>
              <w:rPr>
                <w:rFonts w:ascii="Calibri" w:eastAsia="Calibri" w:hAnsi="Calibri" w:cs="Calibri"/>
                <w:color w:val="000000"/>
                <w:sz w:val="22"/>
                <w:szCs w:val="22"/>
                <w:lang w:val="en-GB"/>
              </w:rPr>
            </w:pPr>
            <w:r w:rsidRPr="00FC5500">
              <w:rPr>
                <w:rFonts w:ascii="Calibri" w:eastAsia="Calibri" w:hAnsi="Calibri" w:cs="Calibri"/>
                <w:color w:val="000000"/>
                <w:sz w:val="22"/>
                <w:szCs w:val="22"/>
              </w:rPr>
              <w:t>Page 18. The authors declare that they have no competing interests.</w:t>
            </w:r>
          </w:p>
        </w:tc>
      </w:tr>
      <w:tr w:rsidR="00B36D6D" w:rsidRPr="009C6FD6" w14:paraId="6808DB3F" w14:textId="1F344310" w:rsidTr="00E30B7E">
        <w:trPr>
          <w:trHeight w:val="276"/>
        </w:trPr>
        <w:tc>
          <w:tcPr>
            <w:tcW w:w="7938"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6379"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E30B7E">
        <w:trPr>
          <w:trHeight w:val="271"/>
        </w:trPr>
        <w:tc>
          <w:tcPr>
            <w:tcW w:w="2552"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4394"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6379" w:type="dxa"/>
          </w:tcPr>
          <w:p w14:paraId="3333AA56" w14:textId="344B51C5" w:rsidR="00B36D6D" w:rsidRPr="00FC5500" w:rsidRDefault="00FC5500" w:rsidP="00FC5500">
            <w:pPr>
              <w:spacing w:line="240" w:lineRule="auto"/>
              <w:rPr>
                <w:rFonts w:ascii="Calibri" w:eastAsia="Calibri" w:hAnsi="Calibri" w:cs="Calibri"/>
                <w:color w:val="000000"/>
                <w:sz w:val="22"/>
                <w:szCs w:val="22"/>
              </w:rPr>
            </w:pPr>
            <w:r w:rsidRPr="00FC5500">
              <w:rPr>
                <w:rFonts w:ascii="Calibri" w:eastAsia="Calibri" w:hAnsi="Calibri" w:cs="Calibri"/>
                <w:color w:val="000000"/>
                <w:sz w:val="22"/>
                <w:szCs w:val="22"/>
              </w:rPr>
              <w:t xml:space="preserve">Pages 3–4. The Background section describes the educational importance of ethical decision-making, the Learning by </w:t>
            </w:r>
            <w:r w:rsidRPr="00FC5500">
              <w:rPr>
                <w:rFonts w:ascii="Calibri" w:eastAsia="Calibri" w:hAnsi="Calibri" w:cs="Calibri"/>
                <w:color w:val="000000"/>
                <w:sz w:val="22"/>
                <w:szCs w:val="22"/>
              </w:rPr>
              <w:lastRenderedPageBreak/>
              <w:t>Concordance/CJLT approach, the faculty workload associated with expert-generated feedback, and the rationale for evaluating expert-reviewed AI-generated feedback within CJLT-based ethics education.</w:t>
            </w:r>
          </w:p>
        </w:tc>
      </w:tr>
      <w:tr w:rsidR="00B36D6D" w:rsidRPr="009C6FD6" w14:paraId="55C5B04A" w14:textId="601A6C1F" w:rsidTr="00E30B7E">
        <w:trPr>
          <w:trHeight w:val="276"/>
        </w:trPr>
        <w:tc>
          <w:tcPr>
            <w:tcW w:w="2552"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4394"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6379" w:type="dxa"/>
          </w:tcPr>
          <w:p w14:paraId="70B2DB04" w14:textId="65751CB3" w:rsidR="00B36D6D" w:rsidRPr="00A06FCA" w:rsidRDefault="00A06FCA" w:rsidP="00A06FCA">
            <w:pPr>
              <w:spacing w:line="240" w:lineRule="auto"/>
              <w:rPr>
                <w:rFonts w:ascii="Calibri" w:eastAsia="Calibri" w:hAnsi="Calibri" w:cs="Calibri"/>
                <w:color w:val="000000"/>
                <w:sz w:val="22"/>
                <w:szCs w:val="22"/>
              </w:rPr>
            </w:pPr>
            <w:r w:rsidRPr="00A06FCA">
              <w:rPr>
                <w:rFonts w:ascii="Calibri" w:eastAsia="Calibri" w:hAnsi="Calibri" w:cs="Calibri"/>
                <w:color w:val="000000"/>
                <w:sz w:val="22"/>
                <w:szCs w:val="22"/>
              </w:rPr>
              <w:t>Pages 4 and 7. The study objective was to evaluate the effectiveness and feasibility of expert-reviewed AI-generated feedback compared with expert panel feedback within CJLT-based ethics decision-making education. Feasibility outcomes and preliminary educational outcomes were specified. Clinical harms were not applicable because this was an educational intervention; AI-related safeguards were described, including expert review of fixed AI-generated content and no entry of student data into an AI system.</w:t>
            </w:r>
          </w:p>
        </w:tc>
      </w:tr>
      <w:tr w:rsidR="00B36D6D" w:rsidRPr="009C6FD6" w14:paraId="1B31CFED" w14:textId="18892F07" w:rsidTr="00E30B7E">
        <w:trPr>
          <w:trHeight w:val="276"/>
        </w:trPr>
        <w:tc>
          <w:tcPr>
            <w:tcW w:w="7938"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6379"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E30B7E">
        <w:trPr>
          <w:trHeight w:val="268"/>
        </w:trPr>
        <w:tc>
          <w:tcPr>
            <w:tcW w:w="2552"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4394"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6379" w:type="dxa"/>
          </w:tcPr>
          <w:p w14:paraId="736CE81D" w14:textId="35D43AA8" w:rsidR="00B36D6D" w:rsidRPr="00A06FCA" w:rsidRDefault="00A06FCA" w:rsidP="00A06FCA">
            <w:pPr>
              <w:spacing w:line="240" w:lineRule="auto"/>
              <w:rPr>
                <w:rFonts w:ascii="Calibri" w:eastAsia="Calibri" w:hAnsi="Calibri" w:cs="Calibri"/>
                <w:color w:val="000000"/>
                <w:sz w:val="22"/>
                <w:szCs w:val="22"/>
              </w:rPr>
            </w:pPr>
            <w:r w:rsidRPr="00A06FCA">
              <w:rPr>
                <w:rFonts w:ascii="Calibri" w:eastAsia="Calibri" w:hAnsi="Calibri" w:cs="Calibri"/>
                <w:color w:val="000000"/>
                <w:sz w:val="22"/>
                <w:szCs w:val="22"/>
              </w:rPr>
              <w:t>N/A. There was no patient or public involvement in the design, conduct, or reporting of this educational trial. Patients were not involved because the study evaluated an educational intervention for medical students and did not involve patient-related outcomes. See page 5.</w:t>
            </w:r>
          </w:p>
        </w:tc>
      </w:tr>
      <w:tr w:rsidR="00B36D6D" w:rsidRPr="009C6FD6" w14:paraId="1118C078" w14:textId="34119A38" w:rsidTr="00E30B7E">
        <w:trPr>
          <w:trHeight w:val="268"/>
        </w:trPr>
        <w:tc>
          <w:tcPr>
            <w:tcW w:w="2552"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4394"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6379" w:type="dxa"/>
          </w:tcPr>
          <w:p w14:paraId="22562F96" w14:textId="39860716" w:rsidR="00B36D6D" w:rsidRPr="00A06FCA" w:rsidRDefault="00A06FCA" w:rsidP="00A06FCA">
            <w:pPr>
              <w:spacing w:line="240" w:lineRule="auto"/>
              <w:rPr>
                <w:rFonts w:ascii="Calibri" w:eastAsia="Calibri" w:hAnsi="Calibri" w:cs="Calibri"/>
                <w:color w:val="000000"/>
                <w:sz w:val="22"/>
                <w:szCs w:val="22"/>
              </w:rPr>
            </w:pPr>
            <w:r w:rsidRPr="00A06FCA">
              <w:rPr>
                <w:rFonts w:ascii="Calibri" w:eastAsia="Calibri" w:hAnsi="Calibri" w:cs="Calibri"/>
                <w:color w:val="000000"/>
                <w:sz w:val="22"/>
                <w:szCs w:val="22"/>
              </w:rPr>
              <w:t>Pages 4–5. This was a single-center, two-arm, parallel-group, randomized controlled pilot study with a 1:1 allocation ratio comparing expert-reviewed AI-generated feedback with expert panel feedback. The trial had a pilot feasibility and exploratory educational outcome framework.</w:t>
            </w:r>
          </w:p>
        </w:tc>
      </w:tr>
      <w:tr w:rsidR="00B36D6D" w:rsidRPr="009C6FD6" w14:paraId="3B0F7B6A" w14:textId="5F6C4DC7" w:rsidTr="00E30B7E">
        <w:trPr>
          <w:trHeight w:val="214"/>
        </w:trPr>
        <w:tc>
          <w:tcPr>
            <w:tcW w:w="2552"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4394"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6379" w:type="dxa"/>
          </w:tcPr>
          <w:p w14:paraId="58F0C5A6" w14:textId="0B5DD046" w:rsidR="00B36D6D" w:rsidRPr="00A06FCA" w:rsidRDefault="00A06FCA" w:rsidP="00A06FCA">
            <w:pPr>
              <w:spacing w:line="240" w:lineRule="auto"/>
              <w:rPr>
                <w:rFonts w:ascii="Calibri" w:eastAsia="Calibri" w:hAnsi="Calibri" w:cs="Calibri"/>
                <w:color w:val="000000"/>
                <w:sz w:val="22"/>
                <w:szCs w:val="22"/>
              </w:rPr>
            </w:pPr>
            <w:r w:rsidRPr="00A06FCA">
              <w:rPr>
                <w:rFonts w:ascii="Calibri" w:eastAsia="Calibri" w:hAnsi="Calibri" w:cs="Calibri"/>
                <w:color w:val="000000"/>
                <w:sz w:val="22"/>
                <w:szCs w:val="22"/>
              </w:rPr>
              <w:t>No important changes to the study protocol, outcomes, or analyses were made after the trial commenced.</w:t>
            </w:r>
          </w:p>
        </w:tc>
      </w:tr>
      <w:tr w:rsidR="00B36D6D" w:rsidRPr="009C6FD6" w14:paraId="18EEE53F" w14:textId="27DB62E6" w:rsidTr="00E30B7E">
        <w:trPr>
          <w:trHeight w:val="273"/>
        </w:trPr>
        <w:tc>
          <w:tcPr>
            <w:tcW w:w="2552"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4394"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6379" w:type="dxa"/>
          </w:tcPr>
          <w:p w14:paraId="266DD31E" w14:textId="68216E9C" w:rsidR="00B36D6D" w:rsidRPr="009C6FD6" w:rsidRDefault="00A06FCA">
            <w:pPr>
              <w:spacing w:line="240" w:lineRule="auto"/>
              <w:rPr>
                <w:rFonts w:ascii="Calibri" w:eastAsia="Calibri" w:hAnsi="Calibri" w:cs="Calibri"/>
                <w:color w:val="000000"/>
                <w:sz w:val="22"/>
                <w:szCs w:val="22"/>
                <w:lang w:val="en-GB"/>
              </w:rPr>
            </w:pPr>
            <w:r w:rsidRPr="00A06FCA">
              <w:rPr>
                <w:rFonts w:ascii="Calibri" w:eastAsia="Calibri" w:hAnsi="Calibri" w:cs="Calibri"/>
                <w:color w:val="000000"/>
                <w:sz w:val="22"/>
                <w:szCs w:val="22"/>
                <w:lang w:val="en-GB"/>
              </w:rPr>
              <w:t xml:space="preserve">Pages 4–5. The study was conducted with sixth-year medical students at Ankara Yıldırım </w:t>
            </w:r>
            <w:proofErr w:type="spellStart"/>
            <w:r w:rsidRPr="00A06FCA">
              <w:rPr>
                <w:rFonts w:ascii="Calibri" w:eastAsia="Calibri" w:hAnsi="Calibri" w:cs="Calibri"/>
                <w:color w:val="000000"/>
                <w:sz w:val="22"/>
                <w:szCs w:val="22"/>
                <w:lang w:val="en-GB"/>
              </w:rPr>
              <w:t>Beyazıt</w:t>
            </w:r>
            <w:proofErr w:type="spellEnd"/>
            <w:r w:rsidRPr="00A06FCA">
              <w:rPr>
                <w:rFonts w:ascii="Calibri" w:eastAsia="Calibri" w:hAnsi="Calibri" w:cs="Calibri"/>
                <w:color w:val="000000"/>
                <w:sz w:val="22"/>
                <w:szCs w:val="22"/>
                <w:lang w:val="en-GB"/>
              </w:rPr>
              <w:t xml:space="preserve"> University Faculty of Medicine, Ankara, Türkiye.</w:t>
            </w:r>
          </w:p>
        </w:tc>
      </w:tr>
      <w:tr w:rsidR="00B36D6D" w:rsidRPr="009C6FD6" w14:paraId="134ACE67" w14:textId="5E48FD43" w:rsidTr="00E30B7E">
        <w:trPr>
          <w:trHeight w:val="276"/>
        </w:trPr>
        <w:tc>
          <w:tcPr>
            <w:tcW w:w="2552"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4394"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6379" w:type="dxa"/>
          </w:tcPr>
          <w:p w14:paraId="3128EB9A" w14:textId="4BC06566" w:rsidR="00B36D6D" w:rsidRPr="00E50314" w:rsidRDefault="00E50314" w:rsidP="00E50314">
            <w:pPr>
              <w:spacing w:line="240" w:lineRule="auto"/>
              <w:rPr>
                <w:rFonts w:ascii="Calibri" w:eastAsia="Calibri" w:hAnsi="Calibri" w:cs="Calibri"/>
                <w:color w:val="000000"/>
                <w:sz w:val="22"/>
                <w:szCs w:val="22"/>
              </w:rPr>
            </w:pPr>
            <w:r w:rsidRPr="00E50314">
              <w:rPr>
                <w:rFonts w:ascii="Calibri" w:eastAsia="Calibri" w:hAnsi="Calibri" w:cs="Calibri"/>
                <w:color w:val="000000"/>
                <w:sz w:val="22"/>
                <w:szCs w:val="22"/>
              </w:rPr>
              <w:t>Page 5. Eligible participants were sixth-year medical students who provided written informed consent and had access to the electronic platform.</w:t>
            </w:r>
          </w:p>
        </w:tc>
      </w:tr>
      <w:tr w:rsidR="00B36D6D" w:rsidRPr="009C6FD6" w14:paraId="2E19841C" w14:textId="09E33AE1" w:rsidTr="00E30B7E">
        <w:trPr>
          <w:trHeight w:val="276"/>
        </w:trPr>
        <w:tc>
          <w:tcPr>
            <w:tcW w:w="2552"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4394"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6379" w:type="dxa"/>
          </w:tcPr>
          <w:p w14:paraId="6D568B99" w14:textId="097A4255" w:rsidR="00B36D6D" w:rsidRPr="009C6FD6" w:rsidRDefault="00E50314">
            <w:pPr>
              <w:spacing w:line="240" w:lineRule="auto"/>
              <w:rPr>
                <w:rFonts w:ascii="Calibri" w:eastAsia="Calibri" w:hAnsi="Calibri" w:cs="Calibri"/>
                <w:color w:val="000000"/>
                <w:sz w:val="22"/>
                <w:szCs w:val="22"/>
                <w:lang w:val="en-GB"/>
              </w:rPr>
            </w:pPr>
            <w:r w:rsidRPr="00E50314">
              <w:rPr>
                <w:rFonts w:ascii="Calibri" w:eastAsia="Calibri" w:hAnsi="Calibri" w:cs="Calibri"/>
                <w:color w:val="000000"/>
                <w:sz w:val="22"/>
                <w:szCs w:val="22"/>
                <w:lang w:val="en-GB"/>
              </w:rPr>
              <w:t xml:space="preserve">N/A for site eligibility and individual intervention deliverers. This was a single-site educational trial conducted at Ankara Yıldırım </w:t>
            </w:r>
            <w:proofErr w:type="spellStart"/>
            <w:r w:rsidRPr="00E50314">
              <w:rPr>
                <w:rFonts w:ascii="Calibri" w:eastAsia="Calibri" w:hAnsi="Calibri" w:cs="Calibri"/>
                <w:color w:val="000000"/>
                <w:sz w:val="22"/>
                <w:szCs w:val="22"/>
                <w:lang w:val="en-GB"/>
              </w:rPr>
              <w:t>Beyazıt</w:t>
            </w:r>
            <w:proofErr w:type="spellEnd"/>
            <w:r w:rsidRPr="00E50314">
              <w:rPr>
                <w:rFonts w:ascii="Calibri" w:eastAsia="Calibri" w:hAnsi="Calibri" w:cs="Calibri"/>
                <w:color w:val="000000"/>
                <w:sz w:val="22"/>
                <w:szCs w:val="22"/>
                <w:lang w:val="en-GB"/>
              </w:rPr>
              <w:t xml:space="preserve"> University Faculty of Medicine. The intervention was delivered through a web-based electronic platform using fixed, pre-uploaded feedback content; no clinician or educator delivered individualized intervention content during the trial. See pages 4–6.</w:t>
            </w:r>
          </w:p>
        </w:tc>
      </w:tr>
      <w:tr w:rsidR="00B36D6D" w:rsidRPr="009C6FD6" w14:paraId="72C268E0" w14:textId="2C365FD3" w:rsidTr="00E30B7E">
        <w:trPr>
          <w:trHeight w:val="463"/>
        </w:trPr>
        <w:tc>
          <w:tcPr>
            <w:tcW w:w="2552"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4394"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6379" w:type="dxa"/>
          </w:tcPr>
          <w:p w14:paraId="3D06E337" w14:textId="17BB306E" w:rsidR="00B36D6D" w:rsidRPr="009C6FD6" w:rsidRDefault="00E50314" w:rsidP="00E50314">
            <w:pPr>
              <w:spacing w:line="240" w:lineRule="auto"/>
              <w:rPr>
                <w:rFonts w:ascii="Calibri" w:eastAsia="Calibri" w:hAnsi="Calibri" w:cs="Calibri"/>
                <w:color w:val="000000"/>
                <w:sz w:val="22"/>
                <w:szCs w:val="22"/>
                <w:lang w:val="en-GB"/>
              </w:rPr>
            </w:pPr>
            <w:r w:rsidRPr="00E50314">
              <w:rPr>
                <w:rFonts w:ascii="Calibri" w:eastAsia="Calibri" w:hAnsi="Calibri" w:cs="Calibri"/>
                <w:color w:val="000000"/>
                <w:sz w:val="22"/>
                <w:szCs w:val="22"/>
              </w:rPr>
              <w:t>Pages 6–7. Both groups completed the same CJLT scenarios via a web-based platform. The intervention arm received fixed, pre-uploaded, expert-reviewed AI-generated feedback; participants did not interact with a live or unsupervised AI system, and no student data were entered into an AI system. The comparator arm received human expert panel feedback based on response distributions, brief rationales, and educational synthesis texts from a 25-expert panel. The same scenarios, ethics topics, educational foci, and electronic platform were used in both groups to support comparability.</w:t>
            </w:r>
          </w:p>
        </w:tc>
      </w:tr>
      <w:tr w:rsidR="00B36D6D" w:rsidRPr="009C6FD6" w14:paraId="2D3DE58D" w14:textId="4C478C59" w:rsidTr="00E30B7E">
        <w:trPr>
          <w:trHeight w:val="614"/>
        </w:trPr>
        <w:tc>
          <w:tcPr>
            <w:tcW w:w="2552"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4394"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6379" w:type="dxa"/>
          </w:tcPr>
          <w:p w14:paraId="6FE0043A" w14:textId="533BCDCB" w:rsidR="00B36D6D" w:rsidRPr="00E50314" w:rsidRDefault="00E50314" w:rsidP="00E50314">
            <w:pPr>
              <w:spacing w:line="240" w:lineRule="auto"/>
              <w:rPr>
                <w:rFonts w:ascii="Calibri" w:eastAsia="Calibri" w:hAnsi="Calibri" w:cs="Calibri"/>
                <w:color w:val="000000"/>
                <w:sz w:val="22"/>
                <w:szCs w:val="22"/>
              </w:rPr>
            </w:pPr>
            <w:r w:rsidRPr="00E50314">
              <w:rPr>
                <w:rFonts w:ascii="Calibri" w:eastAsia="Calibri" w:hAnsi="Calibri" w:cs="Calibri"/>
                <w:color w:val="000000"/>
                <w:sz w:val="22"/>
                <w:szCs w:val="22"/>
              </w:rPr>
              <w:t>Pages 7–8. Feasibility outcomes were participant flow, feasibility of randomization, completion rate of T0–T1 quantitative measurements, missing data status, completion of CJLT modules, and voluntary T2 acceptability feedback. OSVE was specified as the primary preliminary educational outcome, measured as a total score from 20 video scenarios with a 0–40 score range at T0 and T1. Complementary preliminary educational outcomes were SCT scores and BIAS total/subdomain scores, measured at T0 and T1. Participant acceptability was assessed voluntarily at T2, three months after T1, using Likert, categorical, and open-ended responses.</w:t>
            </w:r>
          </w:p>
        </w:tc>
      </w:tr>
      <w:tr w:rsidR="00B36D6D" w:rsidRPr="009C6FD6" w14:paraId="58D124DA" w14:textId="000F135E" w:rsidTr="00E30B7E">
        <w:trPr>
          <w:trHeight w:val="339"/>
        </w:trPr>
        <w:tc>
          <w:tcPr>
            <w:tcW w:w="2552"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4394"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6379" w:type="dxa"/>
          </w:tcPr>
          <w:p w14:paraId="5D66BF02" w14:textId="73D80267" w:rsidR="00B36D6D" w:rsidRPr="00F32523" w:rsidRDefault="00F32523" w:rsidP="00F32523">
            <w:pPr>
              <w:spacing w:line="240" w:lineRule="auto"/>
              <w:rPr>
                <w:rFonts w:ascii="Calibri" w:eastAsia="Calibri" w:hAnsi="Calibri" w:cs="Calibri"/>
                <w:color w:val="000000"/>
                <w:sz w:val="22"/>
                <w:szCs w:val="22"/>
              </w:rPr>
            </w:pPr>
            <w:r w:rsidRPr="00F32523">
              <w:rPr>
                <w:rFonts w:ascii="Calibri" w:eastAsia="Calibri" w:hAnsi="Calibri" w:cs="Calibri"/>
                <w:color w:val="000000"/>
                <w:sz w:val="22"/>
                <w:szCs w:val="22"/>
              </w:rPr>
              <w:t xml:space="preserve">Pages 6–7. Clinical harms were not applicable because this was an educational intervention involving medical students and did not include healthcare treatment or patient-related outcomes. Potential educational or AI-related unintended effects were minimized through expert review of fixed AI-generated feedback, absence of live or unsupervised AI interaction, and no entry of student data or personal information into an AI system. Acceptability and </w:t>
            </w:r>
            <w:r w:rsidRPr="00F32523">
              <w:rPr>
                <w:rFonts w:ascii="Calibri" w:eastAsia="Calibri" w:hAnsi="Calibri" w:cs="Calibri"/>
                <w:color w:val="000000"/>
                <w:sz w:val="22"/>
                <w:szCs w:val="22"/>
              </w:rPr>
              <w:lastRenderedPageBreak/>
              <w:t>participant experience were assessed through voluntary T2 feedback.</w:t>
            </w:r>
          </w:p>
        </w:tc>
      </w:tr>
      <w:tr w:rsidR="00B36D6D" w:rsidRPr="009C6FD6" w14:paraId="62973BF2" w14:textId="49BAA2F8" w:rsidTr="00E30B7E">
        <w:trPr>
          <w:trHeight w:val="273"/>
        </w:trPr>
        <w:tc>
          <w:tcPr>
            <w:tcW w:w="2552"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4394"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6379" w:type="dxa"/>
          </w:tcPr>
          <w:p w14:paraId="180AD325" w14:textId="13CC079D" w:rsidR="00B36D6D" w:rsidRPr="00F32523" w:rsidRDefault="00F32523" w:rsidP="00F32523">
            <w:pPr>
              <w:spacing w:line="240" w:lineRule="auto"/>
              <w:rPr>
                <w:rFonts w:ascii="Calibri" w:eastAsia="Calibri" w:hAnsi="Calibri" w:cs="Calibri"/>
                <w:color w:val="000000"/>
                <w:sz w:val="22"/>
                <w:szCs w:val="22"/>
              </w:rPr>
            </w:pPr>
            <w:r w:rsidRPr="00F32523">
              <w:rPr>
                <w:rFonts w:ascii="Calibri" w:eastAsia="Calibri" w:hAnsi="Calibri" w:cs="Calibri"/>
                <w:color w:val="000000"/>
                <w:sz w:val="22"/>
                <w:szCs w:val="22"/>
              </w:rPr>
              <w:t>Page 5. This was a pilot feasibility trial; no formal hypothesis-testing sample size calculation was performed. The sample size was determined pragmatically based on the number of eligible sixth-year medical students who consented to participate and had access to the electronic platform.</w:t>
            </w:r>
          </w:p>
        </w:tc>
      </w:tr>
      <w:tr w:rsidR="00B36D6D" w:rsidRPr="009C6FD6" w14:paraId="365605D7" w14:textId="7252FE1E" w:rsidTr="00E30B7E">
        <w:trPr>
          <w:trHeight w:val="273"/>
        </w:trPr>
        <w:tc>
          <w:tcPr>
            <w:tcW w:w="2552"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4394"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6379" w:type="dxa"/>
          </w:tcPr>
          <w:p w14:paraId="74EBB045" w14:textId="682B6986" w:rsidR="00B36D6D" w:rsidRPr="00841B5F" w:rsidRDefault="00841B5F" w:rsidP="00841B5F">
            <w:pPr>
              <w:spacing w:line="240" w:lineRule="auto"/>
              <w:rPr>
                <w:rFonts w:ascii="Calibri" w:eastAsia="Calibri" w:hAnsi="Calibri" w:cs="Calibri"/>
                <w:color w:val="000000"/>
                <w:sz w:val="22"/>
                <w:szCs w:val="22"/>
              </w:rPr>
            </w:pPr>
            <w:r w:rsidRPr="00841B5F">
              <w:rPr>
                <w:rFonts w:ascii="Calibri" w:eastAsia="Calibri" w:hAnsi="Calibri" w:cs="Calibri"/>
                <w:color w:val="000000"/>
                <w:sz w:val="22"/>
                <w:szCs w:val="22"/>
              </w:rPr>
              <w:t>N/A. No interim analyses or stopping guidelines were planned or conducted because this was a short-term pilot educational feasibility trial with no clinical treatment or patient-related outcomes.</w:t>
            </w:r>
          </w:p>
        </w:tc>
      </w:tr>
      <w:tr w:rsidR="00B36D6D" w:rsidRPr="009C6FD6" w14:paraId="7CF31D29" w14:textId="10D62C26" w:rsidTr="00E30B7E">
        <w:trPr>
          <w:trHeight w:val="276"/>
        </w:trPr>
        <w:tc>
          <w:tcPr>
            <w:tcW w:w="2552"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4394"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6379"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E30B7E">
        <w:trPr>
          <w:trHeight w:val="266"/>
        </w:trPr>
        <w:tc>
          <w:tcPr>
            <w:tcW w:w="2552"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4394"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6379" w:type="dxa"/>
          </w:tcPr>
          <w:p w14:paraId="50468870" w14:textId="18E702BD" w:rsidR="00B36D6D" w:rsidRPr="00841B5F" w:rsidRDefault="00841B5F" w:rsidP="00841B5F">
            <w:pPr>
              <w:spacing w:line="240" w:lineRule="auto"/>
              <w:rPr>
                <w:rFonts w:ascii="Calibri" w:eastAsia="Calibri" w:hAnsi="Calibri" w:cs="Calibri"/>
                <w:color w:val="000000"/>
                <w:sz w:val="22"/>
                <w:szCs w:val="22"/>
              </w:rPr>
            </w:pPr>
            <w:r w:rsidRPr="00841B5F">
              <w:rPr>
                <w:rFonts w:ascii="Calibri" w:eastAsia="Calibri" w:hAnsi="Calibri" w:cs="Calibri"/>
                <w:color w:val="000000"/>
                <w:sz w:val="22"/>
                <w:szCs w:val="22"/>
              </w:rPr>
              <w:t>Page 5. The random allocation sequence was generated by an independent researcher who was not involved in participant enrollment or baseline assessments, using computer-based simple randomization.</w:t>
            </w:r>
          </w:p>
        </w:tc>
      </w:tr>
      <w:tr w:rsidR="00B36D6D" w:rsidRPr="009C6FD6" w14:paraId="14EC82C6" w14:textId="3CED05A8" w:rsidTr="00E30B7E">
        <w:trPr>
          <w:trHeight w:val="285"/>
        </w:trPr>
        <w:tc>
          <w:tcPr>
            <w:tcW w:w="2552"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4394"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6379" w:type="dxa"/>
          </w:tcPr>
          <w:p w14:paraId="6BFED71E" w14:textId="4E6652B3" w:rsidR="00B36D6D" w:rsidRPr="009C6FD6" w:rsidRDefault="00841B5F" w:rsidP="00841B5F">
            <w:pPr>
              <w:spacing w:line="240" w:lineRule="auto"/>
              <w:rPr>
                <w:rFonts w:ascii="Calibri" w:eastAsia="Calibri" w:hAnsi="Calibri" w:cs="Calibri"/>
                <w:color w:val="000000"/>
                <w:sz w:val="22"/>
                <w:szCs w:val="22"/>
                <w:lang w:val="en-GB"/>
              </w:rPr>
            </w:pPr>
            <w:r w:rsidRPr="00841B5F">
              <w:rPr>
                <w:rFonts w:ascii="Calibri" w:eastAsia="Calibri" w:hAnsi="Calibri" w:cs="Calibri"/>
                <w:color w:val="000000"/>
                <w:sz w:val="22"/>
                <w:szCs w:val="22"/>
              </w:rPr>
              <w:t>Page 5. Participants were allocated in a 1:1 ratio to the expert-reviewed AI-generated feedback arm or the expert panel feedback arm using simple randomization, with no stratification or blocking.</w:t>
            </w:r>
          </w:p>
        </w:tc>
      </w:tr>
      <w:tr w:rsidR="00B36D6D" w:rsidRPr="009C6FD6" w14:paraId="30B7CE14" w14:textId="2A8F98FA" w:rsidTr="00E30B7E">
        <w:trPr>
          <w:trHeight w:val="544"/>
        </w:trPr>
        <w:tc>
          <w:tcPr>
            <w:tcW w:w="2552"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4394"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6379" w:type="dxa"/>
          </w:tcPr>
          <w:p w14:paraId="61EC8B0E" w14:textId="36D79B52" w:rsidR="00B36D6D" w:rsidRPr="00841B5F" w:rsidRDefault="00841B5F" w:rsidP="00841B5F">
            <w:pPr>
              <w:spacing w:line="240" w:lineRule="auto"/>
              <w:rPr>
                <w:rFonts w:ascii="Calibri" w:eastAsia="Calibri" w:hAnsi="Calibri" w:cs="Calibri"/>
                <w:color w:val="000000"/>
                <w:sz w:val="22"/>
                <w:szCs w:val="22"/>
              </w:rPr>
            </w:pPr>
            <w:r w:rsidRPr="00841B5F">
              <w:rPr>
                <w:rFonts w:ascii="Calibri" w:eastAsia="Calibri" w:hAnsi="Calibri" w:cs="Calibri"/>
                <w:color w:val="000000"/>
                <w:sz w:val="22"/>
                <w:szCs w:val="22"/>
              </w:rPr>
              <w:t>Page 5. The randomization list was generated by an independent researcher who was not involved in participant enrollment or baseline assessments and was concealed from the implementation team until completion of the T0 measurements.</w:t>
            </w:r>
          </w:p>
        </w:tc>
      </w:tr>
      <w:tr w:rsidR="00B36D6D" w:rsidRPr="009C6FD6" w14:paraId="685356C7" w14:textId="4A9F88ED" w:rsidTr="00E30B7E">
        <w:trPr>
          <w:trHeight w:val="558"/>
        </w:trPr>
        <w:tc>
          <w:tcPr>
            <w:tcW w:w="2552"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4394"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6379" w:type="dxa"/>
          </w:tcPr>
          <w:p w14:paraId="6554DB11" w14:textId="04EEB3B2" w:rsidR="00B36D6D" w:rsidRPr="009C6FD6" w:rsidRDefault="00841B5F" w:rsidP="00841B5F">
            <w:pPr>
              <w:spacing w:line="240" w:lineRule="auto"/>
              <w:rPr>
                <w:rFonts w:ascii="Calibri" w:eastAsia="Calibri" w:hAnsi="Calibri" w:cs="Calibri"/>
                <w:color w:val="000000"/>
                <w:sz w:val="22"/>
                <w:szCs w:val="22"/>
                <w:lang w:val="en-GB"/>
              </w:rPr>
            </w:pPr>
            <w:r w:rsidRPr="00841B5F">
              <w:rPr>
                <w:rFonts w:ascii="Calibri" w:eastAsia="Calibri" w:hAnsi="Calibri" w:cs="Calibri"/>
                <w:color w:val="000000"/>
                <w:sz w:val="22"/>
                <w:szCs w:val="22"/>
              </w:rPr>
              <w:t>Page 5. The random allocation sequence was generated by an independent researcher who was not involved in participant enrollment or baseline assessments. The sequence was concealed from the implementation team until completion of the T0 measurements; therefore, personnel enrolling participants and conducting baseline assessments did not have access to the allocation sequence before assignment.</w:t>
            </w:r>
          </w:p>
        </w:tc>
      </w:tr>
      <w:tr w:rsidR="00B36D6D" w:rsidRPr="009C6FD6" w14:paraId="14AA8C84" w14:textId="0364F565" w:rsidTr="00E30B7E">
        <w:trPr>
          <w:trHeight w:val="251"/>
        </w:trPr>
        <w:tc>
          <w:tcPr>
            <w:tcW w:w="2552"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4394"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6379" w:type="dxa"/>
          </w:tcPr>
          <w:p w14:paraId="5326CB7A" w14:textId="234C3B5A" w:rsidR="00B36D6D" w:rsidRPr="0030203E" w:rsidRDefault="0030203E" w:rsidP="0030203E">
            <w:pPr>
              <w:spacing w:line="240" w:lineRule="auto"/>
              <w:rPr>
                <w:rFonts w:ascii="Calibri" w:eastAsia="Calibri" w:hAnsi="Calibri" w:cs="Calibri"/>
                <w:color w:val="000000"/>
                <w:sz w:val="22"/>
                <w:szCs w:val="22"/>
              </w:rPr>
            </w:pPr>
            <w:r w:rsidRPr="0030203E">
              <w:rPr>
                <w:rFonts w:ascii="Calibri" w:eastAsia="Calibri" w:hAnsi="Calibri" w:cs="Calibri"/>
                <w:color w:val="000000"/>
                <w:sz w:val="22"/>
                <w:szCs w:val="22"/>
              </w:rPr>
              <w:t>Page 5. Participants were not informed about the source of the feedback. OSVE responses were scored by two independent assessors who were blinded to group allocation. Data analysts were not blinded.</w:t>
            </w:r>
          </w:p>
        </w:tc>
      </w:tr>
      <w:tr w:rsidR="00B36D6D" w:rsidRPr="009C6FD6" w14:paraId="19571F76" w14:textId="1258F279" w:rsidTr="00E30B7E">
        <w:trPr>
          <w:trHeight w:val="274"/>
        </w:trPr>
        <w:tc>
          <w:tcPr>
            <w:tcW w:w="2552"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4394"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6379" w:type="dxa"/>
          </w:tcPr>
          <w:p w14:paraId="795AB5B0" w14:textId="4729DEEC" w:rsidR="00B36D6D" w:rsidRPr="009C6FD6" w:rsidRDefault="0030203E">
            <w:pPr>
              <w:spacing w:line="240" w:lineRule="auto"/>
              <w:rPr>
                <w:rFonts w:ascii="Calibri" w:eastAsia="Calibri" w:hAnsi="Calibri" w:cs="Calibri"/>
                <w:color w:val="000000"/>
                <w:sz w:val="22"/>
                <w:szCs w:val="22"/>
                <w:lang w:val="en-GB"/>
              </w:rPr>
            </w:pPr>
            <w:r w:rsidRPr="0030203E">
              <w:rPr>
                <w:rFonts w:ascii="Calibri" w:eastAsia="Calibri" w:hAnsi="Calibri" w:cs="Calibri"/>
                <w:color w:val="000000"/>
                <w:sz w:val="22"/>
                <w:szCs w:val="22"/>
                <w:lang w:val="en-GB"/>
              </w:rPr>
              <w:t>Pages 5–6. Blinding of participants was supported by presenting feedback content in a similar format on the electronic platform and not informing participants about the source of the feedback. Intervention similarity was supported by using the same CJLT scenarios, ethics topics, educational foci, and electronic platform in both groups. Before implementation, both feedback types were reviewed for text length, core ethical message, scenario alignment, legal and ethical justification, guidance toward ethical reasoning, and pedagogical clarity.</w:t>
            </w:r>
          </w:p>
        </w:tc>
      </w:tr>
      <w:tr w:rsidR="00B36D6D" w:rsidRPr="009C6FD6" w14:paraId="039E9794" w14:textId="27F927CF" w:rsidTr="00E30B7E">
        <w:trPr>
          <w:trHeight w:val="225"/>
        </w:trPr>
        <w:tc>
          <w:tcPr>
            <w:tcW w:w="2552"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4394"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6379" w:type="dxa"/>
          </w:tcPr>
          <w:p w14:paraId="1C79083E" w14:textId="26A542AF" w:rsidR="00B36D6D" w:rsidRPr="0030203E" w:rsidRDefault="0030203E" w:rsidP="0030203E">
            <w:pPr>
              <w:spacing w:line="240" w:lineRule="auto"/>
              <w:rPr>
                <w:rFonts w:ascii="Calibri" w:eastAsia="Calibri" w:hAnsi="Calibri" w:cs="Calibri"/>
                <w:color w:val="000000"/>
                <w:sz w:val="22"/>
                <w:szCs w:val="22"/>
              </w:rPr>
            </w:pPr>
            <w:r w:rsidRPr="0030203E">
              <w:rPr>
                <w:rFonts w:ascii="Calibri" w:eastAsia="Calibri" w:hAnsi="Calibri" w:cs="Calibri"/>
                <w:color w:val="000000"/>
                <w:sz w:val="22"/>
                <w:szCs w:val="22"/>
              </w:rPr>
              <w:t xml:space="preserve">Page 8. Statistical analyses were performed using SPSS version 27.0. Post-test OSVE scores were compared between groups using ANCOVA with baseline OSVE score as a covariate; OSVE change scores were examined as a sensitivity analysis using independent-samples t-test and bootstrap </w:t>
            </w:r>
            <w:proofErr w:type="spellStart"/>
            <w:r w:rsidRPr="0030203E">
              <w:rPr>
                <w:rFonts w:ascii="Calibri" w:eastAsia="Calibri" w:hAnsi="Calibri" w:cs="Calibri"/>
                <w:color w:val="000000"/>
                <w:sz w:val="22"/>
                <w:szCs w:val="22"/>
              </w:rPr>
              <w:t>BCa</w:t>
            </w:r>
            <w:proofErr w:type="spellEnd"/>
            <w:r w:rsidRPr="0030203E">
              <w:rPr>
                <w:rFonts w:ascii="Calibri" w:eastAsia="Calibri" w:hAnsi="Calibri" w:cs="Calibri"/>
                <w:color w:val="000000"/>
                <w:sz w:val="22"/>
                <w:szCs w:val="22"/>
              </w:rPr>
              <w:t xml:space="preserve"> 95% confidence intervals. SCT comparisons used independent-samples and paired-samples t-tests. BIAS analyses used Wilcoxon signed-rank and Mann–Whitney U tests. A two-sided p value of &lt; .05 was considered statistically significant. Clinical harms were not applicable; potential educational or AI-related unintended effects were monitored through participant feedback rather than analyzed as clinical adverse events.</w:t>
            </w:r>
          </w:p>
        </w:tc>
      </w:tr>
      <w:tr w:rsidR="00B36D6D" w:rsidRPr="009C6FD6" w14:paraId="06CA6CC2" w14:textId="6A3DF668" w:rsidTr="00E30B7E">
        <w:trPr>
          <w:trHeight w:val="225"/>
        </w:trPr>
        <w:tc>
          <w:tcPr>
            <w:tcW w:w="2552"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4394"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6379" w:type="dxa"/>
          </w:tcPr>
          <w:p w14:paraId="6622E359" w14:textId="4AC1DBE2" w:rsidR="00B36D6D" w:rsidRPr="0030203E" w:rsidRDefault="0030203E" w:rsidP="0030203E">
            <w:pPr>
              <w:spacing w:line="240" w:lineRule="auto"/>
              <w:rPr>
                <w:rFonts w:ascii="Calibri" w:eastAsia="Calibri" w:hAnsi="Calibri" w:cs="Calibri"/>
                <w:color w:val="000000"/>
                <w:sz w:val="22"/>
                <w:szCs w:val="22"/>
              </w:rPr>
            </w:pPr>
            <w:r w:rsidRPr="0030203E">
              <w:rPr>
                <w:rFonts w:ascii="Calibri" w:eastAsia="Calibri" w:hAnsi="Calibri" w:cs="Calibri"/>
                <w:color w:val="000000"/>
                <w:sz w:val="22"/>
                <w:szCs w:val="22"/>
              </w:rPr>
              <w:t>Pages 8–9. All randomized participants who completed the relevant outcome measurements were included in the analyses according to their assigned groups. All 56 randomized participants completed the T0 and T1 quantitative assessments, and no missing data occurred for quantitative outcomes.</w:t>
            </w:r>
          </w:p>
        </w:tc>
      </w:tr>
      <w:tr w:rsidR="00B36D6D" w:rsidRPr="009C6FD6" w14:paraId="35065EEA" w14:textId="6378B8ED" w:rsidTr="00E30B7E">
        <w:trPr>
          <w:trHeight w:val="225"/>
        </w:trPr>
        <w:tc>
          <w:tcPr>
            <w:tcW w:w="2552"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4394"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6379" w:type="dxa"/>
          </w:tcPr>
          <w:p w14:paraId="295B5602" w14:textId="06AA3A5F" w:rsidR="00B36D6D" w:rsidRPr="0030203E" w:rsidRDefault="0030203E" w:rsidP="0030203E">
            <w:pPr>
              <w:spacing w:line="240" w:lineRule="auto"/>
              <w:rPr>
                <w:rFonts w:ascii="Calibri" w:eastAsia="Calibri" w:hAnsi="Calibri" w:cs="Calibri"/>
                <w:color w:val="000000"/>
                <w:sz w:val="22"/>
                <w:szCs w:val="22"/>
              </w:rPr>
            </w:pPr>
            <w:r w:rsidRPr="0030203E">
              <w:rPr>
                <w:rFonts w:ascii="Calibri" w:eastAsia="Calibri" w:hAnsi="Calibri" w:cs="Calibri"/>
                <w:color w:val="000000"/>
                <w:sz w:val="22"/>
                <w:szCs w:val="22"/>
              </w:rPr>
              <w:t xml:space="preserve">Pages 7–9. No missing data occurred for T0–T1 quantitative outcomes; therefore, no imputation or other missing-data handling method was applied. Voluntary T2 acceptability feedback was </w:t>
            </w:r>
            <w:r w:rsidRPr="0030203E">
              <w:rPr>
                <w:rFonts w:ascii="Calibri" w:eastAsia="Calibri" w:hAnsi="Calibri" w:cs="Calibri"/>
                <w:color w:val="000000"/>
                <w:sz w:val="22"/>
                <w:szCs w:val="22"/>
              </w:rPr>
              <w:lastRenderedPageBreak/>
              <w:t>analyzed descriptively using available responses only and was not treated as a mandatory follow-up outcome.</w:t>
            </w:r>
          </w:p>
        </w:tc>
      </w:tr>
      <w:tr w:rsidR="00B36D6D" w:rsidRPr="009C6FD6" w14:paraId="1498BEBC" w14:textId="2FFF5282" w:rsidTr="00E30B7E">
        <w:trPr>
          <w:trHeight w:val="257"/>
        </w:trPr>
        <w:tc>
          <w:tcPr>
            <w:tcW w:w="2552"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4394"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6379" w:type="dxa"/>
          </w:tcPr>
          <w:p w14:paraId="710D1F83" w14:textId="1146CABD" w:rsidR="00B36D6D" w:rsidRPr="0030203E" w:rsidRDefault="0030203E" w:rsidP="0030203E">
            <w:pPr>
              <w:spacing w:line="240" w:lineRule="auto"/>
              <w:rPr>
                <w:rFonts w:ascii="Calibri" w:eastAsia="Calibri" w:hAnsi="Calibri" w:cs="Calibri"/>
                <w:color w:val="000000"/>
                <w:sz w:val="22"/>
                <w:szCs w:val="22"/>
              </w:rPr>
            </w:pPr>
            <w:r w:rsidRPr="0030203E">
              <w:rPr>
                <w:rFonts w:ascii="Calibri" w:eastAsia="Calibri" w:hAnsi="Calibri" w:cs="Calibri"/>
                <w:color w:val="000000"/>
                <w:sz w:val="22"/>
                <w:szCs w:val="22"/>
              </w:rPr>
              <w:t xml:space="preserve">Page 8. Additional analyses included an OSVE change-score sensitivity analysis using an independent-samples t-test and bootstrap </w:t>
            </w:r>
            <w:proofErr w:type="spellStart"/>
            <w:r w:rsidRPr="0030203E">
              <w:rPr>
                <w:rFonts w:ascii="Calibri" w:eastAsia="Calibri" w:hAnsi="Calibri" w:cs="Calibri"/>
                <w:color w:val="000000"/>
                <w:sz w:val="22"/>
                <w:szCs w:val="22"/>
              </w:rPr>
              <w:t>BCa</w:t>
            </w:r>
            <w:proofErr w:type="spellEnd"/>
            <w:r w:rsidRPr="0030203E">
              <w:rPr>
                <w:rFonts w:ascii="Calibri" w:eastAsia="Calibri" w:hAnsi="Calibri" w:cs="Calibri"/>
                <w:color w:val="000000"/>
                <w:sz w:val="22"/>
                <w:szCs w:val="22"/>
              </w:rPr>
              <w:t xml:space="preserve"> 95% confidence intervals based on 5000 samples. A bootstrap ANCOVA sensitivity analysis was also reported. Open-ended T2 responses were analyzed using descriptive qualitative content analysis/thematic grouping. No subgroup analyses were conducted.</w:t>
            </w:r>
          </w:p>
        </w:tc>
      </w:tr>
      <w:tr w:rsidR="00B36D6D" w:rsidRPr="009C6FD6" w14:paraId="3F41CCB8" w14:textId="1F7EE013" w:rsidTr="00E30B7E">
        <w:trPr>
          <w:trHeight w:val="276"/>
        </w:trPr>
        <w:tc>
          <w:tcPr>
            <w:tcW w:w="7938"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6379"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E30B7E">
        <w:trPr>
          <w:trHeight w:val="409"/>
        </w:trPr>
        <w:tc>
          <w:tcPr>
            <w:tcW w:w="2552"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4394"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6379" w:type="dxa"/>
          </w:tcPr>
          <w:p w14:paraId="5DEF8ECA" w14:textId="0E5B16D4" w:rsidR="00B36D6D" w:rsidRPr="0030203E" w:rsidRDefault="0030203E" w:rsidP="0030203E">
            <w:pPr>
              <w:spacing w:line="240" w:lineRule="auto"/>
              <w:rPr>
                <w:rFonts w:ascii="Calibri" w:eastAsia="Calibri" w:hAnsi="Calibri" w:cs="Calibri"/>
                <w:color w:val="000000"/>
                <w:sz w:val="22"/>
                <w:szCs w:val="22"/>
              </w:rPr>
            </w:pPr>
            <w:r w:rsidRPr="0030203E">
              <w:rPr>
                <w:rFonts w:ascii="Calibri" w:eastAsia="Calibri" w:hAnsi="Calibri" w:cs="Calibri"/>
                <w:color w:val="000000"/>
                <w:sz w:val="22"/>
                <w:szCs w:val="22"/>
              </w:rPr>
              <w:t>Pages 8–9; Figure 1. Fifty-six participants were randomized: 28 to the expert-reviewed AI-generated feedback arm and 28 to the expert panel feedback arm. All participants received the intended intervention, completed T0 and T1 quantitative assessments, and were included in the primary preliminary educational outcome analysis: AI-generated feedback n = 28; expert panel feedback n = 28.</w:t>
            </w:r>
          </w:p>
        </w:tc>
      </w:tr>
      <w:tr w:rsidR="00B36D6D" w:rsidRPr="009C6FD6" w14:paraId="2FE65AFD" w14:textId="4A45C52E" w:rsidTr="00E30B7E">
        <w:trPr>
          <w:trHeight w:val="189"/>
        </w:trPr>
        <w:tc>
          <w:tcPr>
            <w:tcW w:w="2552"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4394"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6379" w:type="dxa"/>
          </w:tcPr>
          <w:p w14:paraId="71AA61D4" w14:textId="38650E5C" w:rsidR="00B36D6D" w:rsidRPr="007A6034" w:rsidRDefault="007A6034" w:rsidP="007A6034">
            <w:pPr>
              <w:spacing w:line="240" w:lineRule="auto"/>
              <w:rPr>
                <w:rFonts w:ascii="Calibri" w:eastAsia="Calibri" w:hAnsi="Calibri" w:cs="Calibri"/>
                <w:color w:val="000000"/>
                <w:sz w:val="22"/>
                <w:szCs w:val="22"/>
              </w:rPr>
            </w:pPr>
            <w:r w:rsidRPr="007A6034">
              <w:rPr>
                <w:rFonts w:ascii="Calibri" w:eastAsia="Calibri" w:hAnsi="Calibri" w:cs="Calibri"/>
                <w:color w:val="000000"/>
                <w:sz w:val="22"/>
                <w:szCs w:val="22"/>
              </w:rPr>
              <w:t>Pages 8–9; Figure 1. No participants were lost or excluded after randomization for the T0–T1 quantitative outcomes in either group. All 56 randomized participants completed the quantitative assessments. Voluntary T2 acceptability feedback was completed by 21 participants and was analyzed as pooled available-case feedback because responses could not be matched to study arms.</w:t>
            </w:r>
          </w:p>
        </w:tc>
      </w:tr>
      <w:tr w:rsidR="00B36D6D" w:rsidRPr="009C6FD6" w14:paraId="59CD0FA1" w14:textId="30780657" w:rsidTr="00E30B7E">
        <w:trPr>
          <w:trHeight w:val="221"/>
        </w:trPr>
        <w:tc>
          <w:tcPr>
            <w:tcW w:w="2552"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4394"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6379" w:type="dxa"/>
          </w:tcPr>
          <w:p w14:paraId="0798090E" w14:textId="561C2A19" w:rsidR="00B36D6D" w:rsidRPr="009C6FD6" w:rsidRDefault="007A6034">
            <w:pPr>
              <w:spacing w:line="240" w:lineRule="auto"/>
              <w:rPr>
                <w:rFonts w:ascii="Calibri" w:eastAsia="Calibri" w:hAnsi="Calibri" w:cs="Calibri"/>
                <w:color w:val="000000"/>
                <w:sz w:val="22"/>
                <w:szCs w:val="22"/>
                <w:lang w:val="en-GB"/>
              </w:rPr>
            </w:pPr>
            <w:r w:rsidRPr="007A6034">
              <w:rPr>
                <w:rFonts w:ascii="Calibri" w:eastAsia="Calibri" w:hAnsi="Calibri" w:cs="Calibri"/>
                <w:color w:val="000000"/>
                <w:sz w:val="22"/>
                <w:szCs w:val="22"/>
                <w:lang w:val="en-GB"/>
              </w:rPr>
              <w:t xml:space="preserve">Pages 7–8. Outcomes were assessed at T0, T1, and T2. T1 assessments were conducted one week after T0, and voluntary T2 acceptability feedback was collected three months after T1. </w:t>
            </w:r>
          </w:p>
        </w:tc>
      </w:tr>
      <w:tr w:rsidR="00B36D6D" w:rsidRPr="009C6FD6" w14:paraId="09AF0A77" w14:textId="6EA02291" w:rsidTr="00E30B7E">
        <w:trPr>
          <w:trHeight w:val="276"/>
        </w:trPr>
        <w:tc>
          <w:tcPr>
            <w:tcW w:w="2552"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4394"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6379" w:type="dxa"/>
          </w:tcPr>
          <w:p w14:paraId="105B15A1" w14:textId="0353828D" w:rsidR="00B36D6D" w:rsidRPr="007A6034" w:rsidRDefault="007A6034" w:rsidP="007A6034">
            <w:pPr>
              <w:spacing w:line="240" w:lineRule="auto"/>
              <w:rPr>
                <w:rFonts w:ascii="Calibri" w:eastAsia="Calibri" w:hAnsi="Calibri" w:cs="Calibri"/>
                <w:color w:val="000000"/>
                <w:sz w:val="22"/>
                <w:szCs w:val="22"/>
              </w:rPr>
            </w:pPr>
            <w:r w:rsidRPr="007A6034">
              <w:rPr>
                <w:rFonts w:ascii="Calibri" w:eastAsia="Calibri" w:hAnsi="Calibri" w:cs="Calibri"/>
                <w:color w:val="000000"/>
                <w:sz w:val="22"/>
                <w:szCs w:val="22"/>
              </w:rPr>
              <w:t>N/A. The trial was not stopped early; it ended as planned after completion of the educational intervention and scheduled follow-up assessments.</w:t>
            </w:r>
          </w:p>
        </w:tc>
      </w:tr>
      <w:tr w:rsidR="00B36D6D" w:rsidRPr="009C6FD6" w14:paraId="6606AF75" w14:textId="11598C32" w:rsidTr="00E30B7E">
        <w:trPr>
          <w:trHeight w:val="441"/>
        </w:trPr>
        <w:tc>
          <w:tcPr>
            <w:tcW w:w="2552"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4394"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w:t>
            </w:r>
            <w:r w:rsidRPr="009C6FD6">
              <w:rPr>
                <w:rFonts w:ascii="Calibri" w:eastAsia="Calibri" w:hAnsi="Calibri" w:cs="Calibri"/>
                <w:color w:val="000000"/>
                <w:sz w:val="22"/>
                <w:szCs w:val="22"/>
                <w:lang w:val="en-GB"/>
              </w:rPr>
              <w:lastRenderedPageBreak/>
              <w:t xml:space="preserve">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6379" w:type="dxa"/>
          </w:tcPr>
          <w:p w14:paraId="33641150" w14:textId="5B316A08" w:rsidR="00B36D6D" w:rsidRPr="007A6034" w:rsidRDefault="007A6034" w:rsidP="007A6034">
            <w:pPr>
              <w:spacing w:line="240" w:lineRule="auto"/>
              <w:rPr>
                <w:rFonts w:ascii="Calibri" w:eastAsia="Calibri" w:hAnsi="Calibri" w:cs="Calibri"/>
                <w:color w:val="000000"/>
                <w:sz w:val="22"/>
                <w:szCs w:val="22"/>
              </w:rPr>
            </w:pPr>
            <w:r w:rsidRPr="007A6034">
              <w:rPr>
                <w:rFonts w:ascii="Calibri" w:eastAsia="Calibri" w:hAnsi="Calibri" w:cs="Calibri"/>
                <w:color w:val="000000"/>
                <w:sz w:val="22"/>
                <w:szCs w:val="22"/>
              </w:rPr>
              <w:lastRenderedPageBreak/>
              <w:t xml:space="preserve">Pages 6–9. Both intervention and comparator were delivered as intended through a mobile-compatible web-based electronic platform. Participants in both groups completed the same CJLT scenarios. The intervention group received fixed, pre-uploaded, </w:t>
            </w:r>
            <w:r w:rsidRPr="007A6034">
              <w:rPr>
                <w:rFonts w:ascii="Calibri" w:eastAsia="Calibri" w:hAnsi="Calibri" w:cs="Calibri"/>
                <w:color w:val="000000"/>
                <w:sz w:val="22"/>
                <w:szCs w:val="22"/>
              </w:rPr>
              <w:lastRenderedPageBreak/>
              <w:t>expert-reviewed AI-generated feedback, whereas the comparator group received expert panel feedback consisting of response distributions, brief rationales, and educational synthesis texts. No live or unsupervised AI interaction occurred, and no student data were entered into an AI system. All randomized participants completed the T0 and T1 quantitative assessments, with no missing data for quantitative outcomes.</w:t>
            </w:r>
          </w:p>
        </w:tc>
      </w:tr>
      <w:tr w:rsidR="00B36D6D" w:rsidRPr="009C6FD6" w14:paraId="033933B9" w14:textId="20F8F7EA" w:rsidTr="00E30B7E">
        <w:trPr>
          <w:trHeight w:val="243"/>
        </w:trPr>
        <w:tc>
          <w:tcPr>
            <w:tcW w:w="2552"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4394"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6379" w:type="dxa"/>
          </w:tcPr>
          <w:p w14:paraId="0A4B9B49" w14:textId="3C97EF69" w:rsidR="00B36D6D" w:rsidRPr="007A6034" w:rsidRDefault="007A6034" w:rsidP="007A6034">
            <w:pPr>
              <w:spacing w:line="240" w:lineRule="auto"/>
              <w:rPr>
                <w:rFonts w:ascii="Calibri" w:eastAsia="Calibri" w:hAnsi="Calibri" w:cs="Calibri"/>
                <w:color w:val="000000"/>
                <w:sz w:val="22"/>
                <w:szCs w:val="22"/>
              </w:rPr>
            </w:pPr>
            <w:r w:rsidRPr="007A6034">
              <w:rPr>
                <w:rFonts w:ascii="Calibri" w:eastAsia="Calibri" w:hAnsi="Calibri" w:cs="Calibri"/>
                <w:color w:val="000000"/>
                <w:sz w:val="22"/>
                <w:szCs w:val="22"/>
              </w:rPr>
              <w:t>N/A. This was an educational trial and did not involve clinical treatment or patient care; therefore, concomitant care was not applicable. Both groups received the same educational context and differed only in the source of CJLT feedback.</w:t>
            </w:r>
          </w:p>
        </w:tc>
      </w:tr>
      <w:tr w:rsidR="00B36D6D" w:rsidRPr="009C6FD6" w14:paraId="63F6DFC5" w14:textId="1190F9BE" w:rsidTr="00E30B7E">
        <w:trPr>
          <w:trHeight w:val="243"/>
        </w:trPr>
        <w:tc>
          <w:tcPr>
            <w:tcW w:w="2552"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4394"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6379" w:type="dxa"/>
          </w:tcPr>
          <w:p w14:paraId="01C9A6AC" w14:textId="02BFB5F3" w:rsidR="00B36D6D" w:rsidRPr="007A6034" w:rsidRDefault="007A6034" w:rsidP="007A6034">
            <w:pPr>
              <w:spacing w:line="240" w:lineRule="auto"/>
              <w:rPr>
                <w:rFonts w:ascii="Calibri" w:eastAsia="Calibri" w:hAnsi="Calibri" w:cs="Calibri"/>
                <w:color w:val="000000"/>
                <w:sz w:val="22"/>
                <w:szCs w:val="22"/>
              </w:rPr>
            </w:pPr>
            <w:r w:rsidRPr="007A6034">
              <w:rPr>
                <w:rFonts w:ascii="Calibri" w:eastAsia="Calibri" w:hAnsi="Calibri" w:cs="Calibri"/>
                <w:color w:val="000000"/>
                <w:sz w:val="22"/>
                <w:szCs w:val="22"/>
              </w:rPr>
              <w:t>Pages 9–10; Table 1. Baseline outcome measures were reported by group, including OSVE pre-test, SCT pre-test, and BIAS total/subdomain pre-test scores. Clinical characteristics were not applicable because the study involved medical students and did not involve patients or clinical outcomes.</w:t>
            </w:r>
          </w:p>
        </w:tc>
      </w:tr>
      <w:tr w:rsidR="00B36D6D" w:rsidRPr="009C6FD6" w14:paraId="7EA4CB43" w14:textId="300BD440" w:rsidTr="00E30B7E">
        <w:trPr>
          <w:trHeight w:val="416"/>
        </w:trPr>
        <w:tc>
          <w:tcPr>
            <w:tcW w:w="2552"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4394"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6379" w:type="dxa"/>
          </w:tcPr>
          <w:p w14:paraId="50DA64D5" w14:textId="733B7BFF" w:rsidR="00B36D6D" w:rsidRPr="000D0254" w:rsidRDefault="000D0254" w:rsidP="000D0254">
            <w:pPr>
              <w:spacing w:line="240" w:lineRule="auto"/>
              <w:rPr>
                <w:rFonts w:ascii="Calibri" w:eastAsia="Calibri" w:hAnsi="Calibri" w:cs="Calibri"/>
                <w:color w:val="000000"/>
                <w:sz w:val="22"/>
                <w:szCs w:val="22"/>
              </w:rPr>
            </w:pPr>
            <w:r w:rsidRPr="000D0254">
              <w:rPr>
                <w:rFonts w:ascii="Calibri" w:eastAsia="Calibri" w:hAnsi="Calibri" w:cs="Calibri"/>
                <w:color w:val="000000"/>
                <w:sz w:val="22"/>
                <w:szCs w:val="22"/>
              </w:rPr>
              <w:t>Pages 10–13; Tables 2–3. For the primary preliminary educational outcome, OSVE, 28 participants in each group were included in the analysis and had available T0 and T1 data. Results were reported by group, including pre-test and post-test means, adjusted post-test means, change scores, mean differences, 95% confidence intervals, p values, and effect sizes. Complementary outcomes, SCT and BIAS, were also reported by group with the number analyzed, available data, group results, between-group comparisons, confidence intervals where applicable, p values, and effect size estimates. Binary outcomes were not included; therefore, absolute and relative effect sizes for binary outcomes were not applicable.</w:t>
            </w:r>
          </w:p>
        </w:tc>
      </w:tr>
      <w:tr w:rsidR="00B36D6D" w:rsidRPr="009C6FD6" w14:paraId="313A3717" w14:textId="655B1818" w:rsidTr="00E30B7E">
        <w:trPr>
          <w:trHeight w:val="204"/>
        </w:trPr>
        <w:tc>
          <w:tcPr>
            <w:tcW w:w="2552"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4394"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6379" w:type="dxa"/>
          </w:tcPr>
          <w:p w14:paraId="72B82CF4" w14:textId="46CDE4EA" w:rsidR="00B36D6D" w:rsidRPr="000D0254" w:rsidRDefault="000D0254" w:rsidP="00121E86">
            <w:pPr>
              <w:spacing w:line="240" w:lineRule="auto"/>
              <w:rPr>
                <w:rFonts w:ascii="Calibri" w:eastAsia="Calibri" w:hAnsi="Calibri" w:cs="Calibri"/>
                <w:color w:val="000000"/>
                <w:sz w:val="22"/>
                <w:szCs w:val="22"/>
              </w:rPr>
            </w:pPr>
            <w:r w:rsidRPr="000D0254">
              <w:rPr>
                <w:rFonts w:ascii="Calibri" w:eastAsia="Calibri" w:hAnsi="Calibri" w:cs="Calibri"/>
                <w:color w:val="000000"/>
                <w:sz w:val="22"/>
                <w:szCs w:val="22"/>
              </w:rPr>
              <w:t xml:space="preserve">N/A for clinical harms. This was an educational intervention and did not involve clinical treatment or patient-related outcomes. No harms or unintended events were reported in either group during </w:t>
            </w:r>
            <w:r w:rsidRPr="000D0254">
              <w:rPr>
                <w:rFonts w:ascii="Calibri" w:eastAsia="Calibri" w:hAnsi="Calibri" w:cs="Calibri"/>
                <w:color w:val="000000"/>
                <w:sz w:val="22"/>
                <w:szCs w:val="22"/>
              </w:rPr>
              <w:lastRenderedPageBreak/>
              <w:t>the study. Potential educational or AI-related unintended effects were monitored through participant feedback.</w:t>
            </w:r>
          </w:p>
        </w:tc>
      </w:tr>
      <w:tr w:rsidR="00B36D6D" w:rsidRPr="009C6FD6" w14:paraId="16C77604" w14:textId="1EA17D7C" w:rsidTr="00E30B7E">
        <w:trPr>
          <w:trHeight w:val="416"/>
        </w:trPr>
        <w:tc>
          <w:tcPr>
            <w:tcW w:w="2552"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4394"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6379" w:type="dxa"/>
          </w:tcPr>
          <w:p w14:paraId="3457C6CE" w14:textId="1B99D2E3" w:rsidR="00B36D6D" w:rsidRPr="000D0254" w:rsidRDefault="000D0254" w:rsidP="000D0254">
            <w:pPr>
              <w:spacing w:line="240" w:lineRule="auto"/>
              <w:rPr>
                <w:rFonts w:ascii="Calibri" w:eastAsia="Calibri" w:hAnsi="Calibri" w:cs="Calibri"/>
                <w:color w:val="000000"/>
                <w:sz w:val="22"/>
                <w:szCs w:val="22"/>
              </w:rPr>
            </w:pPr>
            <w:r w:rsidRPr="000D0254">
              <w:rPr>
                <w:rFonts w:ascii="Calibri" w:eastAsia="Calibri" w:hAnsi="Calibri" w:cs="Calibri"/>
                <w:color w:val="000000"/>
                <w:sz w:val="22"/>
                <w:szCs w:val="22"/>
              </w:rPr>
              <w:t>Pages 10–11. Ancillary analyses included OSVE change-score sensitivity analysis and bootstrap ANCOVA sensitivity analysis. The OSVE change-score comparison showed no between-group difference, whereas the bootstrap ANCOVA sensitivity analysis continued to show an adjusted group difference favoring AI-generated feedback. No subgroup analyses were conducted.</w:t>
            </w:r>
          </w:p>
        </w:tc>
      </w:tr>
      <w:tr w:rsidR="00B36D6D" w:rsidRPr="009C6FD6" w14:paraId="17517AC6" w14:textId="26728EA0" w:rsidTr="00E30B7E">
        <w:trPr>
          <w:trHeight w:val="276"/>
        </w:trPr>
        <w:tc>
          <w:tcPr>
            <w:tcW w:w="7938"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6379"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E30B7E">
        <w:trPr>
          <w:trHeight w:val="281"/>
        </w:trPr>
        <w:tc>
          <w:tcPr>
            <w:tcW w:w="2552"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4394"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6379" w:type="dxa"/>
          </w:tcPr>
          <w:p w14:paraId="028813E5" w14:textId="7EB589B0" w:rsidR="00B36D6D" w:rsidRPr="000D0254" w:rsidRDefault="000D0254" w:rsidP="000D0254">
            <w:pPr>
              <w:spacing w:line="240" w:lineRule="auto"/>
              <w:rPr>
                <w:rFonts w:ascii="Calibri" w:eastAsia="Calibri" w:hAnsi="Calibri" w:cs="Calibri"/>
                <w:color w:val="000000"/>
                <w:sz w:val="22"/>
                <w:szCs w:val="22"/>
              </w:rPr>
            </w:pPr>
            <w:r w:rsidRPr="000D0254">
              <w:rPr>
                <w:rFonts w:ascii="Calibri" w:eastAsia="Calibri" w:hAnsi="Calibri" w:cs="Calibri"/>
                <w:color w:val="000000"/>
                <w:sz w:val="22"/>
                <w:szCs w:val="22"/>
              </w:rPr>
              <w:t>Pages 15–16. The Discussion interprets the findings consistently with the pilot feasibility design, noting that AI-generated feedback was feasible and acceptable but that the study was not designed or powered to provide confirmatory evidence of superiority. The exploratory OSVE signal favoring AI-generated feedback is interpreted cautiously in light of baseline imbalance, small sample size, repeated OSVE scenarios, possible test–retest effects, and nonsignificant complementary outcomes. The interpretation also considers relevant evidence on Learning by Concordance, SCT, and AI in medical education.</w:t>
            </w:r>
          </w:p>
        </w:tc>
      </w:tr>
      <w:tr w:rsidR="00B36D6D" w:rsidRPr="009C6FD6" w14:paraId="29285F40" w14:textId="396FEF7D" w:rsidTr="00E30B7E">
        <w:trPr>
          <w:trHeight w:val="281"/>
        </w:trPr>
        <w:tc>
          <w:tcPr>
            <w:tcW w:w="2552"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4394"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6379" w:type="dxa"/>
          </w:tcPr>
          <w:p w14:paraId="16436A34" w14:textId="58E339B2" w:rsidR="00B36D6D" w:rsidRPr="000D0254" w:rsidRDefault="000D0254" w:rsidP="000D0254">
            <w:pPr>
              <w:spacing w:line="240" w:lineRule="auto"/>
              <w:rPr>
                <w:rFonts w:ascii="Calibri" w:eastAsia="Calibri" w:hAnsi="Calibri" w:cs="Calibri"/>
                <w:color w:val="000000"/>
                <w:sz w:val="22"/>
                <w:szCs w:val="22"/>
              </w:rPr>
            </w:pPr>
            <w:r w:rsidRPr="000D0254">
              <w:rPr>
                <w:rFonts w:ascii="Calibri" w:eastAsia="Calibri" w:hAnsi="Calibri" w:cs="Calibri"/>
                <w:color w:val="000000"/>
                <w:sz w:val="22"/>
                <w:szCs w:val="22"/>
              </w:rPr>
              <w:t xml:space="preserve">Page 16. Trial limitations were discussed, including the small single-center sample, baseline imbalance in OSVE scores, repeated use of the same OSVE scenarios, assessment of OSVE inter-rater reliability only through percentage agreement, inability to match T2 responses to study arms, absence of a manipulation check regarding perceived feedback source, lack of measurement of time spent on the platform, and absence of a multi-rater quantitative analysis supporting content comparability between feedback types. These limitations address potential bias, imprecision, and </w:t>
            </w:r>
            <w:proofErr w:type="spellStart"/>
            <w:r w:rsidRPr="000D0254">
              <w:rPr>
                <w:rFonts w:ascii="Calibri" w:eastAsia="Calibri" w:hAnsi="Calibri" w:cs="Calibri"/>
                <w:color w:val="000000"/>
                <w:sz w:val="22"/>
                <w:szCs w:val="22"/>
              </w:rPr>
              <w:t>generalisability</w:t>
            </w:r>
            <w:proofErr w:type="spellEnd"/>
            <w:r w:rsidRPr="000D0254">
              <w:rPr>
                <w:rFonts w:ascii="Calibri" w:eastAsia="Calibri" w:hAnsi="Calibri" w:cs="Calibri"/>
                <w:color w:val="000000"/>
                <w:sz w:val="22"/>
                <w:szCs w:val="22"/>
              </w:rPr>
              <w:t>.</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Kpr"/>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lastRenderedPageBreak/>
        <w:t xml:space="preserve">Citation: Hopewell S, Chan AW, Collins GS, Hróbjartsson A, Moher D, Schulz KF, et al. CONSORT 2025 Statement: updated guideline for reporting randomised trials. BMJ. 2025; 388:e081123. </w:t>
      </w:r>
      <w:hyperlink r:id="rId9" w:history="1">
        <w:r w:rsidRPr="00BC3998">
          <w:rPr>
            <w:rStyle w:val="Kpr"/>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Kpr"/>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D7A4" w14:textId="77777777" w:rsidR="003D422B" w:rsidRDefault="003D422B" w:rsidP="00B70CED">
      <w:pPr>
        <w:spacing w:line="240" w:lineRule="auto"/>
      </w:pPr>
      <w:r>
        <w:separator/>
      </w:r>
    </w:p>
  </w:endnote>
  <w:endnote w:type="continuationSeparator" w:id="0">
    <w:p w14:paraId="1DBF30F5" w14:textId="77777777" w:rsidR="003D422B" w:rsidRDefault="003D422B"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89E0" w14:textId="77777777" w:rsidR="003D422B" w:rsidRDefault="003D422B" w:rsidP="00B70CED">
      <w:pPr>
        <w:spacing w:line="240" w:lineRule="auto"/>
      </w:pPr>
      <w:r>
        <w:separator/>
      </w:r>
    </w:p>
  </w:footnote>
  <w:footnote w:type="continuationSeparator" w:id="0">
    <w:p w14:paraId="44AB4694" w14:textId="77777777" w:rsidR="003D422B" w:rsidRDefault="003D422B"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2336917">
    <w:abstractNumId w:val="25"/>
  </w:num>
  <w:num w:numId="2" w16cid:durableId="1864246754">
    <w:abstractNumId w:val="51"/>
  </w:num>
  <w:num w:numId="3" w16cid:durableId="1711685485">
    <w:abstractNumId w:val="11"/>
  </w:num>
  <w:num w:numId="4" w16cid:durableId="74717156">
    <w:abstractNumId w:val="8"/>
  </w:num>
  <w:num w:numId="5" w16cid:durableId="1171870144">
    <w:abstractNumId w:val="31"/>
  </w:num>
  <w:num w:numId="6" w16cid:durableId="965308737">
    <w:abstractNumId w:val="5"/>
  </w:num>
  <w:num w:numId="7" w16cid:durableId="239410142">
    <w:abstractNumId w:val="36"/>
  </w:num>
  <w:num w:numId="8" w16cid:durableId="1462721764">
    <w:abstractNumId w:val="30"/>
  </w:num>
  <w:num w:numId="9" w16cid:durableId="723723423">
    <w:abstractNumId w:val="16"/>
  </w:num>
  <w:num w:numId="10" w16cid:durableId="1438409107">
    <w:abstractNumId w:val="48"/>
  </w:num>
  <w:num w:numId="11" w16cid:durableId="137187771">
    <w:abstractNumId w:val="40"/>
  </w:num>
  <w:num w:numId="12" w16cid:durableId="319431025">
    <w:abstractNumId w:val="37"/>
  </w:num>
  <w:num w:numId="13" w16cid:durableId="796684064">
    <w:abstractNumId w:val="41"/>
  </w:num>
  <w:num w:numId="14" w16cid:durableId="358119285">
    <w:abstractNumId w:val="18"/>
  </w:num>
  <w:num w:numId="15" w16cid:durableId="883758540">
    <w:abstractNumId w:val="39"/>
  </w:num>
  <w:num w:numId="16" w16cid:durableId="63839403">
    <w:abstractNumId w:val="23"/>
  </w:num>
  <w:num w:numId="17" w16cid:durableId="1918592933">
    <w:abstractNumId w:val="1"/>
  </w:num>
  <w:num w:numId="18" w16cid:durableId="1416586225">
    <w:abstractNumId w:val="22"/>
  </w:num>
  <w:num w:numId="19" w16cid:durableId="620303302">
    <w:abstractNumId w:val="50"/>
  </w:num>
  <w:num w:numId="20" w16cid:durableId="1008167940">
    <w:abstractNumId w:val="27"/>
  </w:num>
  <w:num w:numId="21" w16cid:durableId="177158888">
    <w:abstractNumId w:val="38"/>
  </w:num>
  <w:num w:numId="22" w16cid:durableId="370542433">
    <w:abstractNumId w:val="4"/>
  </w:num>
  <w:num w:numId="23" w16cid:durableId="1087505684">
    <w:abstractNumId w:val="20"/>
  </w:num>
  <w:num w:numId="24" w16cid:durableId="1665738685">
    <w:abstractNumId w:val="24"/>
  </w:num>
  <w:num w:numId="25" w16cid:durableId="178006247">
    <w:abstractNumId w:val="9"/>
  </w:num>
  <w:num w:numId="26" w16cid:durableId="1113479914">
    <w:abstractNumId w:val="10"/>
  </w:num>
  <w:num w:numId="27" w16cid:durableId="1498812597">
    <w:abstractNumId w:val="32"/>
  </w:num>
  <w:num w:numId="28" w16cid:durableId="2000384191">
    <w:abstractNumId w:val="7"/>
  </w:num>
  <w:num w:numId="29" w16cid:durableId="1905023536">
    <w:abstractNumId w:val="17"/>
  </w:num>
  <w:num w:numId="30" w16cid:durableId="1754745156">
    <w:abstractNumId w:val="26"/>
  </w:num>
  <w:num w:numId="31" w16cid:durableId="731540157">
    <w:abstractNumId w:val="35"/>
  </w:num>
  <w:num w:numId="32" w16cid:durableId="2139450997">
    <w:abstractNumId w:val="49"/>
  </w:num>
  <w:num w:numId="33" w16cid:durableId="1612516222">
    <w:abstractNumId w:val="15"/>
  </w:num>
  <w:num w:numId="34" w16cid:durableId="2077971500">
    <w:abstractNumId w:val="21"/>
  </w:num>
  <w:num w:numId="35" w16cid:durableId="1177499645">
    <w:abstractNumId w:val="13"/>
  </w:num>
  <w:num w:numId="36" w16cid:durableId="1152411594">
    <w:abstractNumId w:val="14"/>
  </w:num>
  <w:num w:numId="37" w16cid:durableId="1233933219">
    <w:abstractNumId w:val="29"/>
  </w:num>
  <w:num w:numId="38" w16cid:durableId="1543394824">
    <w:abstractNumId w:val="34"/>
  </w:num>
  <w:num w:numId="39" w16cid:durableId="30810793">
    <w:abstractNumId w:val="47"/>
  </w:num>
  <w:num w:numId="40" w16cid:durableId="1438677940">
    <w:abstractNumId w:val="28"/>
  </w:num>
  <w:num w:numId="41" w16cid:durableId="1293831474">
    <w:abstractNumId w:val="2"/>
  </w:num>
  <w:num w:numId="42" w16cid:durableId="660275522">
    <w:abstractNumId w:val="46"/>
  </w:num>
  <w:num w:numId="43" w16cid:durableId="255865003">
    <w:abstractNumId w:val="19"/>
  </w:num>
  <w:num w:numId="44" w16cid:durableId="278726116">
    <w:abstractNumId w:val="33"/>
  </w:num>
  <w:num w:numId="45" w16cid:durableId="969672034">
    <w:abstractNumId w:val="6"/>
  </w:num>
  <w:num w:numId="46" w16cid:durableId="2135974668">
    <w:abstractNumId w:val="45"/>
  </w:num>
  <w:num w:numId="47" w16cid:durableId="1566529950">
    <w:abstractNumId w:val="44"/>
  </w:num>
  <w:num w:numId="48" w16cid:durableId="460616564">
    <w:abstractNumId w:val="3"/>
  </w:num>
  <w:num w:numId="49" w16cid:durableId="633683843">
    <w:abstractNumId w:val="43"/>
  </w:num>
  <w:num w:numId="50" w16cid:durableId="665059792">
    <w:abstractNumId w:val="42"/>
  </w:num>
  <w:num w:numId="51" w16cid:durableId="1999839106">
    <w:abstractNumId w:val="12"/>
  </w:num>
  <w:num w:numId="52" w16cid:durableId="104097767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25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1E86"/>
    <w:rsid w:val="00125307"/>
    <w:rsid w:val="00125543"/>
    <w:rsid w:val="001269C1"/>
    <w:rsid w:val="00136533"/>
    <w:rsid w:val="00144387"/>
    <w:rsid w:val="00150A22"/>
    <w:rsid w:val="00154CE6"/>
    <w:rsid w:val="001635C3"/>
    <w:rsid w:val="001736DB"/>
    <w:rsid w:val="00181A96"/>
    <w:rsid w:val="00186B28"/>
    <w:rsid w:val="00187040"/>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5D17"/>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0299"/>
    <w:rsid w:val="0026378D"/>
    <w:rsid w:val="00266404"/>
    <w:rsid w:val="002667FC"/>
    <w:rsid w:val="002765EE"/>
    <w:rsid w:val="0028555C"/>
    <w:rsid w:val="00287E07"/>
    <w:rsid w:val="00293348"/>
    <w:rsid w:val="002A082E"/>
    <w:rsid w:val="002A133F"/>
    <w:rsid w:val="002B02D2"/>
    <w:rsid w:val="002B4C02"/>
    <w:rsid w:val="002B613D"/>
    <w:rsid w:val="002D37C5"/>
    <w:rsid w:val="002E1786"/>
    <w:rsid w:val="002E20DB"/>
    <w:rsid w:val="002E7179"/>
    <w:rsid w:val="002F03A3"/>
    <w:rsid w:val="002F6947"/>
    <w:rsid w:val="002F6C14"/>
    <w:rsid w:val="003014A1"/>
    <w:rsid w:val="0030203E"/>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97A4F"/>
    <w:rsid w:val="003A1599"/>
    <w:rsid w:val="003A653F"/>
    <w:rsid w:val="003B7126"/>
    <w:rsid w:val="003C53C3"/>
    <w:rsid w:val="003D0610"/>
    <w:rsid w:val="003D262F"/>
    <w:rsid w:val="003D2F00"/>
    <w:rsid w:val="003D2F4F"/>
    <w:rsid w:val="003D422B"/>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0DD1"/>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77692"/>
    <w:rsid w:val="007863AF"/>
    <w:rsid w:val="00786C90"/>
    <w:rsid w:val="007A2B06"/>
    <w:rsid w:val="007A314F"/>
    <w:rsid w:val="007A6034"/>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1B5F"/>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234A"/>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06FC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24963"/>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51D2"/>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7E"/>
    <w:rsid w:val="00E30B96"/>
    <w:rsid w:val="00E36C98"/>
    <w:rsid w:val="00E3757F"/>
    <w:rsid w:val="00E438C7"/>
    <w:rsid w:val="00E45D1F"/>
    <w:rsid w:val="00E50314"/>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32523"/>
    <w:rsid w:val="00F43582"/>
    <w:rsid w:val="00F44F79"/>
    <w:rsid w:val="00F4792F"/>
    <w:rsid w:val="00F539EE"/>
    <w:rsid w:val="00F543AF"/>
    <w:rsid w:val="00F561DF"/>
    <w:rsid w:val="00F57AAD"/>
    <w:rsid w:val="00F6041A"/>
    <w:rsid w:val="00F60AAC"/>
    <w:rsid w:val="00F63922"/>
    <w:rsid w:val="00F64121"/>
    <w:rsid w:val="00F643E5"/>
    <w:rsid w:val="00F7348C"/>
    <w:rsid w:val="00F75C79"/>
    <w:rsid w:val="00F764B1"/>
    <w:rsid w:val="00F8204E"/>
    <w:rsid w:val="00F8310D"/>
    <w:rsid w:val="00F843C8"/>
    <w:rsid w:val="00F96314"/>
    <w:rsid w:val="00FA4779"/>
    <w:rsid w:val="00FA5E23"/>
    <w:rsid w:val="00FA7DF8"/>
    <w:rsid w:val="00FB00BC"/>
    <w:rsid w:val="00FB26C1"/>
    <w:rsid w:val="00FB3736"/>
    <w:rsid w:val="00FB74EF"/>
    <w:rsid w:val="00FC5500"/>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Balk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pPr>
      <w:spacing w:line="240" w:lineRule="auto"/>
    </w:pPr>
    <w:tblPr>
      <w:tblStyleRowBandSize w:val="1"/>
      <w:tblStyleColBandSize w:val="1"/>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character" w:styleId="Kpr">
    <w:name w:val="Hyperlink"/>
    <w:rsid w:val="00BF3C2F"/>
    <w:rPr>
      <w:color w:val="CC0000"/>
      <w:u w:val="single"/>
    </w:rPr>
  </w:style>
  <w:style w:type="paragraph" w:styleId="AklamaKonusu">
    <w:name w:val="annotation subject"/>
    <w:basedOn w:val="AklamaMetni"/>
    <w:next w:val="AklamaMetni"/>
    <w:link w:val="AklamaKonusuChar"/>
    <w:uiPriority w:val="99"/>
    <w:semiHidden/>
    <w:unhideWhenUsed/>
    <w:rsid w:val="00E279B6"/>
    <w:rPr>
      <w:b/>
      <w:bCs/>
    </w:rPr>
  </w:style>
  <w:style w:type="character" w:customStyle="1" w:styleId="AklamaKonusuChar">
    <w:name w:val="Açıklama Konusu Char"/>
    <w:basedOn w:val="AklamaMetniChar"/>
    <w:link w:val="AklamaKonusu"/>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VarsaylanParagrafYazTipi"/>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VarsaylanParagrafYazTipi"/>
    <w:link w:val="EndNoteBibliography"/>
    <w:rsid w:val="00657676"/>
    <w:rPr>
      <w:noProof/>
      <w:lang w:val="en-GB"/>
    </w:rPr>
  </w:style>
  <w:style w:type="character" w:styleId="zmlenmeyenBahsetme">
    <w:name w:val="Unresolved Mention"/>
    <w:basedOn w:val="VarsaylanParagrafYazTipi"/>
    <w:uiPriority w:val="99"/>
    <w:semiHidden/>
    <w:unhideWhenUsed/>
    <w:rsid w:val="00657676"/>
    <w:rPr>
      <w:color w:val="605E5C"/>
      <w:shd w:val="clear" w:color="auto" w:fill="E1DFDD"/>
    </w:rPr>
  </w:style>
  <w:style w:type="character" w:customStyle="1" w:styleId="cf01">
    <w:name w:val="cf01"/>
    <w:basedOn w:val="VarsaylanParagrafYazTipi"/>
    <w:rsid w:val="00C645F1"/>
    <w:rPr>
      <w:rFonts w:ascii="Segoe UI" w:hAnsi="Segoe UI" w:cs="Segoe UI" w:hint="default"/>
      <w:sz w:val="18"/>
      <w:szCs w:val="18"/>
    </w:rPr>
  </w:style>
  <w:style w:type="paragraph" w:styleId="BalonMetni">
    <w:name w:val="Balloon Text"/>
    <w:basedOn w:val="Normal"/>
    <w:link w:val="BalonMetniChar"/>
    <w:uiPriority w:val="99"/>
    <w:semiHidden/>
    <w:unhideWhenUsed/>
    <w:rsid w:val="00F820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04E"/>
    <w:rPr>
      <w:rFonts w:ascii="Segoe UI" w:hAnsi="Segoe UI" w:cs="Segoe UI"/>
      <w:sz w:val="18"/>
      <w:szCs w:val="18"/>
    </w:rPr>
  </w:style>
  <w:style w:type="paragraph" w:styleId="ListeParagraf">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stBilgi">
    <w:name w:val="header"/>
    <w:basedOn w:val="Normal"/>
    <w:link w:val="stBilgiChar"/>
    <w:uiPriority w:val="99"/>
    <w:unhideWhenUsed/>
    <w:rsid w:val="00B70CED"/>
    <w:pPr>
      <w:tabs>
        <w:tab w:val="center" w:pos="4513"/>
        <w:tab w:val="right" w:pos="9026"/>
      </w:tabs>
      <w:spacing w:line="240" w:lineRule="auto"/>
    </w:pPr>
  </w:style>
  <w:style w:type="character" w:customStyle="1" w:styleId="stBilgiChar">
    <w:name w:val="Üst Bilgi Char"/>
    <w:basedOn w:val="VarsaylanParagrafYazTipi"/>
    <w:link w:val="stBilgi"/>
    <w:uiPriority w:val="99"/>
    <w:rsid w:val="00B70CED"/>
  </w:style>
  <w:style w:type="paragraph" w:styleId="AltBilgi">
    <w:name w:val="footer"/>
    <w:basedOn w:val="Normal"/>
    <w:link w:val="AltBilgiChar"/>
    <w:uiPriority w:val="99"/>
    <w:unhideWhenUsed/>
    <w:rsid w:val="00B70CED"/>
    <w:pPr>
      <w:tabs>
        <w:tab w:val="center" w:pos="4513"/>
        <w:tab w:val="right" w:pos="9026"/>
      </w:tabs>
      <w:spacing w:line="240" w:lineRule="auto"/>
    </w:pPr>
  </w:style>
  <w:style w:type="character" w:customStyle="1" w:styleId="AltBilgiChar">
    <w:name w:val="Alt Bilgi Char"/>
    <w:basedOn w:val="VarsaylanParagrafYazTipi"/>
    <w:link w:val="AltBilgi"/>
    <w:uiPriority w:val="99"/>
    <w:rsid w:val="00B70CED"/>
  </w:style>
  <w:style w:type="paragraph" w:styleId="Dzeltme">
    <w:name w:val="Revision"/>
    <w:hidden/>
    <w:uiPriority w:val="99"/>
    <w:semiHidden/>
    <w:rsid w:val="0050444B"/>
    <w:pPr>
      <w:spacing w:line="240" w:lineRule="auto"/>
    </w:pPr>
  </w:style>
  <w:style w:type="character" w:customStyle="1" w:styleId="apple-converted-space">
    <w:name w:val="apple-converted-space"/>
    <w:basedOn w:val="VarsaylanParagrafYazTipi"/>
    <w:rsid w:val="00893C4F"/>
  </w:style>
  <w:style w:type="character" w:styleId="zlenenKpr">
    <w:name w:val="FollowedHyperlink"/>
    <w:basedOn w:val="VarsaylanParagrafYazTipi"/>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oKlavuzu">
    <w:name w:val="Table Grid"/>
    <w:basedOn w:val="NormalTablo"/>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3070</Words>
  <Characters>17502</Characters>
  <Application>Microsoft Office Word</Application>
  <DocSecurity>0</DocSecurity>
  <Lines>145</Lines>
  <Paragraphs>41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Tuğba  İş kara</cp:lastModifiedBy>
  <cp:revision>11</cp:revision>
  <cp:lastPrinted>2024-03-26T08:52:00Z</cp:lastPrinted>
  <dcterms:created xsi:type="dcterms:W3CDTF">2026-06-23T20:40:00Z</dcterms:created>
  <dcterms:modified xsi:type="dcterms:W3CDTF">2026-06-24T18:15:00Z</dcterms:modified>
</cp:coreProperties>
</file>