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B55C" w14:textId="77777777" w:rsidR="00343EB8" w:rsidRPr="003D5716" w:rsidRDefault="00343EB8" w:rsidP="00343EB8">
      <w:pPr>
        <w:jc w:val="both"/>
        <w:rPr>
          <w:rFonts w:eastAsia="Times New Roman" w:cs="Times New Roman"/>
          <w:b/>
          <w:bCs/>
          <w:szCs w:val="24"/>
          <w:lang w:eastAsia="es-CO"/>
        </w:rPr>
      </w:pPr>
      <w:r w:rsidRPr="003D5716">
        <w:rPr>
          <w:rFonts w:eastAsia="Times New Roman" w:cs="Times New Roman"/>
          <w:b/>
          <w:bCs/>
          <w:szCs w:val="24"/>
          <w:lang w:eastAsia="es-CO"/>
        </w:rPr>
        <w:t>Economic evaluation of topical ketorolac and nepafenac prophylaxis for early-stage retinopathy of prematurity: a multicenter real-world study in Colombia</w:t>
      </w:r>
    </w:p>
    <w:p w14:paraId="7C06A5ED" w14:textId="2F0F8ECA" w:rsidR="00EE72D9" w:rsidRDefault="00366F81" w:rsidP="007D052B">
      <w:pPr>
        <w:pStyle w:val="NormalWeb"/>
        <w:jc w:val="both"/>
      </w:pPr>
      <w:r w:rsidRPr="00EE72D9">
        <w:t xml:space="preserve">Stakeholders interested in implementing the proposed trial are encouraged to contact </w:t>
      </w:r>
      <w:r w:rsidR="002D09D9">
        <w:t>the corresponding author</w:t>
      </w:r>
      <w:r w:rsidRPr="00EE72D9">
        <w:t xml:space="preserve"> to explore potential collaboration as an independent external expert, including support for protocol refinement, data analysis, and health-economic </w:t>
      </w:r>
      <w:r>
        <w:t>modeling,</w:t>
      </w:r>
      <w:r w:rsidRPr="00EE72D9">
        <w:t xml:space="preserve"> to inform health-system evaluation of potential adoption.</w:t>
      </w:r>
    </w:p>
    <w:p w14:paraId="79495613" w14:textId="0ED3D6DD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Brief </w:t>
      </w:r>
      <w:r w:rsidR="00154914">
        <w:rPr>
          <w:b/>
          <w:bCs/>
        </w:rPr>
        <w:t>t</w:t>
      </w:r>
      <w:r w:rsidRPr="007D052B">
        <w:rPr>
          <w:b/>
          <w:bCs/>
        </w:rPr>
        <w:t>itle</w:t>
      </w:r>
    </w:p>
    <w:p w14:paraId="57008418" w14:textId="71902299" w:rsidR="007D052B" w:rsidRPr="007D052B" w:rsidRDefault="00366F81" w:rsidP="007D052B">
      <w:pPr>
        <w:pStyle w:val="NormalWeb"/>
        <w:jc w:val="both"/>
      </w:pPr>
      <w:r>
        <w:t>TOP-NSAID-ROP: Dose-ranging and confirmatory trial of topical ketorolac or nepafenac for stage 1–2 retinopathy of prematurity (ROP)</w:t>
      </w:r>
    </w:p>
    <w:p w14:paraId="32FE90F6" w14:textId="7A5706D2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Official </w:t>
      </w:r>
      <w:r w:rsidR="00154914">
        <w:rPr>
          <w:b/>
          <w:bCs/>
        </w:rPr>
        <w:t>t</w:t>
      </w:r>
      <w:r w:rsidRPr="007D052B">
        <w:rPr>
          <w:b/>
          <w:bCs/>
        </w:rPr>
        <w:t>itle</w:t>
      </w:r>
    </w:p>
    <w:p w14:paraId="49D8794A" w14:textId="6594F1AD" w:rsidR="007D052B" w:rsidRPr="007D052B" w:rsidRDefault="00366F81" w:rsidP="007D052B">
      <w:pPr>
        <w:pStyle w:val="NormalWeb"/>
        <w:jc w:val="both"/>
      </w:pPr>
      <w:r w:rsidRPr="007D052B">
        <w:t xml:space="preserve">A </w:t>
      </w:r>
      <w:r>
        <w:t>multicenter, randomized</w:t>
      </w:r>
      <w:r w:rsidRPr="007D052B">
        <w:t xml:space="preserve">, double-masked, placebo-controlled, dose-ranging trial with a confirmatory stage to evaluate the safety and </w:t>
      </w:r>
      <w:r w:rsidR="003C1642">
        <w:t>efficacy</w:t>
      </w:r>
      <w:r w:rsidRPr="007D052B">
        <w:t xml:space="preserve"> of topical ketorolac 0.45% or nepafenac 0.10%, initiated after stage 1–2 ROP diagnosis, to reduce progression to treatment-requiring ROP</w:t>
      </w:r>
    </w:p>
    <w:p w14:paraId="3BD350FA" w14:textId="5A4693A0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Study </w:t>
      </w:r>
      <w:r w:rsidR="00154914">
        <w:rPr>
          <w:b/>
          <w:bCs/>
        </w:rPr>
        <w:t>t</w:t>
      </w:r>
      <w:r w:rsidRPr="007D052B">
        <w:rPr>
          <w:b/>
          <w:bCs/>
        </w:rPr>
        <w:t>ype</w:t>
      </w:r>
    </w:p>
    <w:p w14:paraId="10B1ED4B" w14:textId="34D6587E" w:rsidR="007D052B" w:rsidRPr="007D052B" w:rsidRDefault="00366F81" w:rsidP="007D052B">
      <w:pPr>
        <w:pStyle w:val="NormalWeb"/>
        <w:jc w:val="both"/>
      </w:pPr>
      <w:r w:rsidRPr="007D052B">
        <w:t>Interventional (Clinical Trial)</w:t>
      </w:r>
    </w:p>
    <w:p w14:paraId="0E9F207C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Phase</w:t>
      </w:r>
    </w:p>
    <w:p w14:paraId="14E90ED2" w14:textId="3BB0E5F6" w:rsidR="007D052B" w:rsidRPr="007D052B" w:rsidRDefault="00366F81" w:rsidP="007D052B">
      <w:pPr>
        <w:pStyle w:val="NormalWeb"/>
        <w:jc w:val="both"/>
      </w:pPr>
      <w:r w:rsidRPr="007D052B">
        <w:t xml:space="preserve">Seamless </w:t>
      </w:r>
      <w:r>
        <w:t>phase</w:t>
      </w:r>
      <w:r w:rsidRPr="007D052B">
        <w:t xml:space="preserve"> 2/3 (dose-selection safety/biologic-signal stage followed by </w:t>
      </w:r>
      <w:r>
        <w:t xml:space="preserve">the </w:t>
      </w:r>
      <w:r w:rsidRPr="007D052B">
        <w:t>confirmatory efficacy stage)</w:t>
      </w:r>
    </w:p>
    <w:p w14:paraId="7F2310A8" w14:textId="190B5970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Primary </w:t>
      </w:r>
      <w:r w:rsidR="00154914">
        <w:rPr>
          <w:b/>
          <w:bCs/>
        </w:rPr>
        <w:t>p</w:t>
      </w:r>
      <w:r w:rsidRPr="007D052B">
        <w:rPr>
          <w:b/>
          <w:bCs/>
        </w:rPr>
        <w:t>urpose</w:t>
      </w:r>
    </w:p>
    <w:p w14:paraId="4BEA4716" w14:textId="7F42F7FC" w:rsidR="007D052B" w:rsidRPr="007D052B" w:rsidRDefault="00366F81" w:rsidP="007D052B">
      <w:pPr>
        <w:pStyle w:val="NormalWeb"/>
        <w:jc w:val="both"/>
      </w:pPr>
      <w:r w:rsidRPr="007D052B">
        <w:t>Prevention</w:t>
      </w:r>
    </w:p>
    <w:p w14:paraId="2AE89896" w14:textId="49083053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Study </w:t>
      </w:r>
      <w:r w:rsidR="00154914">
        <w:rPr>
          <w:b/>
          <w:bCs/>
        </w:rPr>
        <w:t>d</w:t>
      </w:r>
      <w:r w:rsidRPr="007D052B">
        <w:rPr>
          <w:b/>
          <w:bCs/>
        </w:rPr>
        <w:t>esign</w:t>
      </w:r>
    </w:p>
    <w:p w14:paraId="5B3DB6E7" w14:textId="0C72D1BB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Allocation: </w:t>
      </w:r>
      <w:r>
        <w:t>Randomized</w:t>
      </w:r>
    </w:p>
    <w:p w14:paraId="7E706B6F" w14:textId="2BE4B1BA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Intervention Model: Parallel assignment with a master protocol (two drug domains; each domain </w:t>
      </w:r>
      <w:r>
        <w:t>analyzed</w:t>
      </w:r>
      <w:r w:rsidRPr="007D052B">
        <w:t xml:space="preserve"> against placebo)</w:t>
      </w:r>
    </w:p>
    <w:p w14:paraId="71089C27" w14:textId="50EF111D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>Masking: Double-masked (participant/caregiver, clinicians/outcome assessors, investigators, statisticians) using double-dummy administration</w:t>
      </w:r>
    </w:p>
    <w:p w14:paraId="480368FE" w14:textId="7F82E849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>Primary Endpoint Time Frame: Through 60 weeks postmenstrual age</w:t>
      </w:r>
    </w:p>
    <w:p w14:paraId="75B5E4B1" w14:textId="5A34D244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Safety Follow-up: </w:t>
      </w:r>
      <w:r>
        <w:t>At</w:t>
      </w:r>
      <w:r w:rsidRPr="007D052B">
        <w:t xml:space="preserve"> least 60 weeks postmenstrual age, with optional extended follow-up (for instance, 65–70 weeks) for late reactivation signals</w:t>
      </w:r>
    </w:p>
    <w:p w14:paraId="0922D0F7" w14:textId="77777777" w:rsidR="00FF5E52" w:rsidRPr="007D052B" w:rsidRDefault="00FF5E52" w:rsidP="00FF5E52">
      <w:pPr>
        <w:pStyle w:val="NormalWeb"/>
        <w:ind w:left="720"/>
        <w:jc w:val="both"/>
      </w:pPr>
    </w:p>
    <w:p w14:paraId="3050E4C3" w14:textId="65782991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lastRenderedPageBreak/>
        <w:t xml:space="preserve">Study </w:t>
      </w:r>
      <w:r w:rsidR="00154914">
        <w:rPr>
          <w:b/>
          <w:bCs/>
        </w:rPr>
        <w:t>s</w:t>
      </w:r>
      <w:r w:rsidRPr="007D052B">
        <w:rPr>
          <w:b/>
          <w:bCs/>
        </w:rPr>
        <w:t>etting</w:t>
      </w:r>
    </w:p>
    <w:p w14:paraId="5E134200" w14:textId="2A64DCA4" w:rsidR="007D052B" w:rsidRPr="007D052B" w:rsidRDefault="00366F81" w:rsidP="007D052B">
      <w:pPr>
        <w:pStyle w:val="NormalWeb"/>
        <w:jc w:val="both"/>
      </w:pPr>
      <w:r w:rsidRPr="007D052B">
        <w:t xml:space="preserve">Neonatal networks with established ROP screening pathways (in-person and/or validated teleophthalmology imaging), capacity for urgent rescue treatment, and </w:t>
      </w:r>
      <w:proofErr w:type="spellStart"/>
      <w:r w:rsidRPr="007D052B">
        <w:t>protocolised</w:t>
      </w:r>
      <w:proofErr w:type="spellEnd"/>
      <w:r w:rsidRPr="007D052B">
        <w:t xml:space="preserve"> ocular-surface safety assessment</w:t>
      </w:r>
    </w:p>
    <w:p w14:paraId="6652B424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Condition</w:t>
      </w:r>
    </w:p>
    <w:p w14:paraId="23D7E2D4" w14:textId="0DD5B1E8" w:rsidR="007D052B" w:rsidRPr="007D052B" w:rsidRDefault="00366F81" w:rsidP="007D052B">
      <w:pPr>
        <w:pStyle w:val="NormalWeb"/>
        <w:jc w:val="both"/>
      </w:pPr>
      <w:r w:rsidRPr="007D052B">
        <w:t>Retinopathy of prematurity, stage 1–2</w:t>
      </w:r>
    </w:p>
    <w:p w14:paraId="042309C9" w14:textId="13E6305E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Key </w:t>
      </w:r>
      <w:r w:rsidR="00154914">
        <w:rPr>
          <w:b/>
          <w:bCs/>
        </w:rPr>
        <w:t>o</w:t>
      </w:r>
      <w:r w:rsidRPr="007D052B">
        <w:rPr>
          <w:b/>
          <w:bCs/>
        </w:rPr>
        <w:t>bjectives</w:t>
      </w:r>
    </w:p>
    <w:p w14:paraId="2A24000D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Primary objective (confirmatory stage)</w:t>
      </w:r>
    </w:p>
    <w:p w14:paraId="70EDC882" w14:textId="62EE9715" w:rsidR="007D052B" w:rsidRDefault="00366F81" w:rsidP="00764B39">
      <w:pPr>
        <w:pStyle w:val="NormalWeb"/>
        <w:jc w:val="both"/>
      </w:pPr>
      <w:r w:rsidRPr="007D052B">
        <w:t>Determine whether topical NSAID prophylaxis reduces progression to treatment-requiring ROP by 60 weeks postmenstrual age compared with placebo when initiated after stage 1–2 ROP diagnosis</w:t>
      </w:r>
    </w:p>
    <w:p w14:paraId="451E0420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Primary safety objective (dose-ranging stage)</w:t>
      </w:r>
    </w:p>
    <w:p w14:paraId="6E49CA48" w14:textId="7626EFD2" w:rsidR="007D052B" w:rsidRDefault="00366F81" w:rsidP="00764B39">
      <w:pPr>
        <w:pStyle w:val="NormalWeb"/>
        <w:jc w:val="both"/>
      </w:pPr>
      <w:r>
        <w:t>Identification of</w:t>
      </w:r>
      <w:r w:rsidRPr="007D052B">
        <w:t xml:space="preserve"> a dosing regimen with acceptable ocular-surface safety and tolerability in preterm infants</w:t>
      </w:r>
    </w:p>
    <w:p w14:paraId="450574C1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Secondary objectives</w:t>
      </w:r>
    </w:p>
    <w:p w14:paraId="2C2596EA" w14:textId="06BABD86" w:rsidR="007D052B" w:rsidRPr="007D052B" w:rsidRDefault="00366F81" w:rsidP="00764B39">
      <w:pPr>
        <w:pStyle w:val="NormalWeb"/>
        <w:jc w:val="both"/>
      </w:pPr>
      <w:r w:rsidRPr="007D052B">
        <w:t>Evaluate time to progression, time to regression without rescue therapy, retreatment, follow-up burden, and adherence; prespecify resource use collection to support a companion economic evaluation</w:t>
      </w:r>
    </w:p>
    <w:p w14:paraId="3EC4A586" w14:textId="4ECB3A68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Eligibility </w:t>
      </w:r>
      <w:r>
        <w:rPr>
          <w:b/>
          <w:bCs/>
        </w:rPr>
        <w:t>criteria</w:t>
      </w:r>
    </w:p>
    <w:p w14:paraId="391B55D1" w14:textId="658C9001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Inclusion </w:t>
      </w:r>
      <w:r>
        <w:rPr>
          <w:b/>
          <w:bCs/>
        </w:rPr>
        <w:t>criteria</w:t>
      </w:r>
    </w:p>
    <w:p w14:paraId="68B7FF5A" w14:textId="5C7D699A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 xml:space="preserve">Preterm </w:t>
      </w:r>
      <w:r>
        <w:t>infants who met</w:t>
      </w:r>
      <w:r w:rsidRPr="007D052B">
        <w:t xml:space="preserve"> local ROP screening criteria and </w:t>
      </w:r>
      <w:r>
        <w:t xml:space="preserve">were </w:t>
      </w:r>
      <w:r w:rsidRPr="007D052B">
        <w:t>enrolled in an ROP follow-up pathway</w:t>
      </w:r>
    </w:p>
    <w:p w14:paraId="75CC0405" w14:textId="524920B8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>Confirmed stage 1 or stage 2 ROP in at least one eye at the randomization examination</w:t>
      </w:r>
    </w:p>
    <w:p w14:paraId="2EC33C56" w14:textId="5A7922A3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 xml:space="preserve">Postmenstrual age at randomization within a prespecified window aligned to </w:t>
      </w:r>
      <w:proofErr w:type="spellStart"/>
      <w:r w:rsidRPr="007D052B">
        <w:t>programme</w:t>
      </w:r>
      <w:proofErr w:type="spellEnd"/>
      <w:r w:rsidRPr="007D052B">
        <w:t xml:space="preserve"> screening (for instance, 31–45 weeks)</w:t>
      </w:r>
    </w:p>
    <w:p w14:paraId="12EE8749" w14:textId="5564E73D" w:rsidR="007D052B" w:rsidRDefault="00366F81" w:rsidP="007D052B">
      <w:pPr>
        <w:pStyle w:val="NormalWeb"/>
        <w:numPr>
          <w:ilvl w:val="0"/>
          <w:numId w:val="1"/>
        </w:numPr>
        <w:jc w:val="both"/>
      </w:pPr>
      <w:r>
        <w:t>Informed consent from parents/guardians</w:t>
      </w:r>
    </w:p>
    <w:p w14:paraId="63C8BF67" w14:textId="1B07FE95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>Anticipated feasibility of follow-up through 60 weeks postmenstrual age</w:t>
      </w:r>
    </w:p>
    <w:p w14:paraId="2763C1FD" w14:textId="1CBE516E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Exclusion </w:t>
      </w:r>
      <w:r>
        <w:rPr>
          <w:b/>
          <w:bCs/>
        </w:rPr>
        <w:t>criteria</w:t>
      </w:r>
    </w:p>
    <w:p w14:paraId="3915CC25" w14:textId="4C469E62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 xml:space="preserve">Any prior ROP-directed intervention before randomization (laser photocoagulation, intravitreal anti-VEGF therapy, vitrectomy, </w:t>
      </w:r>
      <w:r>
        <w:t xml:space="preserve">or </w:t>
      </w:r>
      <w:r w:rsidRPr="007D052B">
        <w:t>cryotherapy)</w:t>
      </w:r>
    </w:p>
    <w:p w14:paraId="14457AFD" w14:textId="757AD1F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lastRenderedPageBreak/>
        <w:t xml:space="preserve">Ocular conditions precluding reliable staging or outcome assessment (for </w:t>
      </w:r>
      <w:r>
        <w:t>example</w:t>
      </w:r>
      <w:r w:rsidRPr="007D052B">
        <w:t xml:space="preserve">, major congenital ocular </w:t>
      </w:r>
      <w:r>
        <w:t>anomalies</w:t>
      </w:r>
      <w:r w:rsidRPr="007D052B">
        <w:t>)</w:t>
      </w:r>
    </w:p>
    <w:p w14:paraId="488C03B1" w14:textId="513D78D4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Clinically meaningful ocular-surface compromise at baseline (for instance, epithelial defect, keratitis</w:t>
      </w:r>
      <w:r w:rsidR="00154914">
        <w:t>,</w:t>
      </w:r>
      <w:r w:rsidRPr="007D052B">
        <w:t xml:space="preserve"> </w:t>
      </w:r>
      <w:r>
        <w:t xml:space="preserve">and </w:t>
      </w:r>
      <w:r w:rsidRPr="007D052B">
        <w:t>marked surface inflammation)</w:t>
      </w:r>
    </w:p>
    <w:p w14:paraId="3E767797" w14:textId="7777777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Known or suspected hypersensitivity to NSAIDs</w:t>
      </w:r>
    </w:p>
    <w:p w14:paraId="61D6B0F9" w14:textId="4140F5E1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 xml:space="preserve">Systemic vulnerability </w:t>
      </w:r>
      <w:r>
        <w:t xml:space="preserve">is </w:t>
      </w:r>
      <w:r w:rsidRPr="007D052B">
        <w:t xml:space="preserve">likely to increase </w:t>
      </w:r>
      <w:r>
        <w:t xml:space="preserve">the </w:t>
      </w:r>
      <w:r w:rsidRPr="007D052B">
        <w:t xml:space="preserve">risk </w:t>
      </w:r>
      <w:r>
        <w:t>of</w:t>
      </w:r>
      <w:r w:rsidRPr="007D052B">
        <w:t xml:space="preserve"> NSAID exposure per </w:t>
      </w:r>
      <w:proofErr w:type="spellStart"/>
      <w:r w:rsidRPr="007D052B">
        <w:t>protocolised</w:t>
      </w:r>
      <w:proofErr w:type="spellEnd"/>
      <w:r w:rsidRPr="007D052B">
        <w:t xml:space="preserve"> neonatal criteria (for instance, active gastrointestinal bleeding, clinically significant renal or hepatic dysfunction, </w:t>
      </w:r>
      <w:r>
        <w:t xml:space="preserve">and </w:t>
      </w:r>
      <w:r w:rsidRPr="007D052B">
        <w:t>major coagulopathy)</w:t>
      </w:r>
      <w:r>
        <w:t>.</w:t>
      </w:r>
    </w:p>
    <w:p w14:paraId="0450277D" w14:textId="7777777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Participation in another interventional trial that could materially affect ROP outcomes</w:t>
      </w:r>
    </w:p>
    <w:p w14:paraId="2CE99C80" w14:textId="60ABA6FB" w:rsidR="007D052B" w:rsidRPr="00154914" w:rsidRDefault="00366F81" w:rsidP="007D052B">
      <w:pPr>
        <w:pStyle w:val="NormalWeb"/>
        <w:jc w:val="both"/>
        <w:rPr>
          <w:b/>
          <w:bCs/>
        </w:rPr>
      </w:pPr>
      <w:r w:rsidRPr="00154914">
        <w:rPr>
          <w:b/>
          <w:bCs/>
        </w:rPr>
        <w:t>Randomization and stratification</w:t>
      </w:r>
    </w:p>
    <w:p w14:paraId="56A3B9A6" w14:textId="13449F86" w:rsidR="007D052B" w:rsidRDefault="00366F81" w:rsidP="007D052B">
      <w:pPr>
        <w:pStyle w:val="NormalWeb"/>
        <w:numPr>
          <w:ilvl w:val="0"/>
          <w:numId w:val="5"/>
        </w:numPr>
        <w:jc w:val="both"/>
      </w:pPr>
      <w:r>
        <w:t>Randomization: Centralized</w:t>
      </w:r>
      <w:r w:rsidRPr="007D052B">
        <w:t>, permuted blocks with allocation concealment</w:t>
      </w:r>
      <w:r w:rsidRPr="007D052B">
        <w:br/>
        <w:t xml:space="preserve">Stratification (recommended minimum): stage at randomization (1 vs 2), zone/posterior involvement (posterior vs </w:t>
      </w:r>
      <w:proofErr w:type="spellStart"/>
      <w:r w:rsidRPr="007D052B">
        <w:t>nonposterior</w:t>
      </w:r>
      <w:proofErr w:type="spellEnd"/>
      <w:r w:rsidRPr="007D052B">
        <w:t>), plus/</w:t>
      </w:r>
      <w:proofErr w:type="spellStart"/>
      <w:r w:rsidRPr="007D052B">
        <w:t>preplus</w:t>
      </w:r>
      <w:proofErr w:type="spellEnd"/>
      <w:r w:rsidRPr="007D052B">
        <w:t xml:space="preserve"> status (present vs absent), center/network</w:t>
      </w:r>
    </w:p>
    <w:p w14:paraId="12079086" w14:textId="4AA892F3" w:rsidR="007D052B" w:rsidRPr="007D052B" w:rsidRDefault="00366F81" w:rsidP="007D052B">
      <w:pPr>
        <w:pStyle w:val="NormalWeb"/>
        <w:numPr>
          <w:ilvl w:val="0"/>
          <w:numId w:val="5"/>
        </w:numPr>
        <w:jc w:val="both"/>
      </w:pPr>
      <w:r w:rsidRPr="007D052B">
        <w:t>Unit of randomization: Infant (both eyes assigned to the same intervention)</w:t>
      </w:r>
    </w:p>
    <w:p w14:paraId="4629B2B5" w14:textId="5BAD97C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Interventions and </w:t>
      </w:r>
      <w:r w:rsidR="00154914">
        <w:rPr>
          <w:b/>
          <w:bCs/>
        </w:rPr>
        <w:t>d</w:t>
      </w:r>
      <w:r w:rsidRPr="007D052B">
        <w:rPr>
          <w:b/>
          <w:bCs/>
        </w:rPr>
        <w:t xml:space="preserve">osing </w:t>
      </w:r>
      <w:r w:rsidR="00154914">
        <w:rPr>
          <w:b/>
          <w:bCs/>
        </w:rPr>
        <w:t>r</w:t>
      </w:r>
      <w:r w:rsidRPr="007D052B">
        <w:rPr>
          <w:b/>
          <w:bCs/>
        </w:rPr>
        <w:t>egimens</w:t>
      </w:r>
    </w:p>
    <w:p w14:paraId="7EC64D23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General masking approach (double-dummy)</w:t>
      </w:r>
    </w:p>
    <w:p w14:paraId="47401B4D" w14:textId="2DA49692" w:rsidR="007D052B" w:rsidRPr="007D052B" w:rsidRDefault="00366F81" w:rsidP="007D052B">
      <w:pPr>
        <w:pStyle w:val="NormalWeb"/>
        <w:jc w:val="both"/>
      </w:pPr>
      <w:r w:rsidRPr="007D052B">
        <w:t>A fixed maximum daily instillation schedule (for instance, 4 administrations/day) is used across all arms; active drops are embedded according to the assigned regimen</w:t>
      </w:r>
      <w:r>
        <w:t>,</w:t>
      </w:r>
      <w:r w:rsidRPr="007D052B">
        <w:t xml:space="preserve"> and </w:t>
      </w:r>
      <w:r>
        <w:t xml:space="preserve">the </w:t>
      </w:r>
      <w:r w:rsidRPr="007D052B">
        <w:t xml:space="preserve">remaining instillations are </w:t>
      </w:r>
      <w:r>
        <w:t>placebos</w:t>
      </w:r>
      <w:r w:rsidRPr="007D052B">
        <w:t xml:space="preserve"> to maintain </w:t>
      </w:r>
      <w:r>
        <w:t xml:space="preserve">an </w:t>
      </w:r>
      <w:r w:rsidRPr="007D052B">
        <w:t>identical administration burden and preserve masking</w:t>
      </w:r>
    </w:p>
    <w:p w14:paraId="0F07C865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Dose-adjustment rule</w:t>
      </w:r>
    </w:p>
    <w:p w14:paraId="016442C7" w14:textId="389F891C" w:rsidR="007D052B" w:rsidRPr="007D052B" w:rsidRDefault="00366F81" w:rsidP="007D052B">
      <w:pPr>
        <w:pStyle w:val="NormalWeb"/>
        <w:jc w:val="both"/>
      </w:pPr>
      <w:r w:rsidRPr="007D052B">
        <w:t>Dosing is stage-responsive and prespecified: if an infant’s ROP worsens from stage 1 to stage 2 without meeting treatment-requiring criteria, the regimen escalates to the stage 2 schedule within the assigned arm; if the disease regresses, dosing de-escalation is permitted per protocol to reduce exposure while maintaining masking using placebo top-ups</w:t>
      </w:r>
    </w:p>
    <w:p w14:paraId="00E6C464" w14:textId="6851574E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Drug </w:t>
      </w:r>
      <w:r w:rsidR="00154914">
        <w:rPr>
          <w:b/>
          <w:bCs/>
        </w:rPr>
        <w:t>d</w:t>
      </w:r>
      <w:r w:rsidRPr="00553955">
        <w:rPr>
          <w:b/>
          <w:bCs/>
        </w:rPr>
        <w:t>omain A: Ketorolac 0.45%</w:t>
      </w:r>
    </w:p>
    <w:p w14:paraId="74F84E6A" w14:textId="77777777" w:rsidR="00553955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K0 (Placebo): Artificial tears per masked schedule</w:t>
      </w:r>
    </w:p>
    <w:p w14:paraId="19977D50" w14:textId="77777777" w:rsidR="00553955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K1 (Lower-frequency, pragmatic): Stage 1 active every 12 hours; Stage 2 active every 8 hours; placebo top-ups to complete the masked schedule</w:t>
      </w:r>
    </w:p>
    <w:p w14:paraId="7E626BAF" w14:textId="14DDBC8F" w:rsidR="007D052B" w:rsidRPr="007D052B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K2 (Higher-frequency, safety/efficacy range): Stage 1 active every 8 hours; Stage 2 active every 6 hours; placebo top-ups as needed</w:t>
      </w:r>
    </w:p>
    <w:p w14:paraId="5125A147" w14:textId="77132FB0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Drug </w:t>
      </w:r>
      <w:r w:rsidR="00154914">
        <w:rPr>
          <w:b/>
          <w:bCs/>
        </w:rPr>
        <w:t>d</w:t>
      </w:r>
      <w:r w:rsidRPr="00553955">
        <w:rPr>
          <w:b/>
          <w:bCs/>
        </w:rPr>
        <w:t>omain B: Nepafenac 0.10%</w:t>
      </w:r>
    </w:p>
    <w:p w14:paraId="5A28AB06" w14:textId="77777777" w:rsidR="00553955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t>Arm N0 (Placebo): Artificial tears per masked schedule</w:t>
      </w:r>
    </w:p>
    <w:p w14:paraId="44F46C7C" w14:textId="6127C878" w:rsidR="00553955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lastRenderedPageBreak/>
        <w:t>Arm N1 (</w:t>
      </w:r>
      <w:r>
        <w:t>lower</w:t>
      </w:r>
      <w:r w:rsidRPr="007D052B">
        <w:t>-frequency, safety-oriented): Stage 1 active every 12 hours; Stage 2 active every 8 hours; placebo top-ups to complete the masked schedule</w:t>
      </w:r>
    </w:p>
    <w:p w14:paraId="20CA1CE7" w14:textId="070D18BA" w:rsidR="007D052B" w:rsidRPr="007D052B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t>Arm N2 (Field regimen/higher exposure): Stage 1 active every 8 hours; Stage 2 active every 6 hours; placebo top-ups as needed</w:t>
      </w:r>
    </w:p>
    <w:p w14:paraId="3D471B40" w14:textId="77777777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Prophylaxis duration</w:t>
      </w:r>
    </w:p>
    <w:p w14:paraId="04C38065" w14:textId="1C7A5EC1" w:rsidR="007D052B" w:rsidRPr="007D052B" w:rsidRDefault="00366F81" w:rsidP="007D052B">
      <w:pPr>
        <w:pStyle w:val="NormalWeb"/>
        <w:jc w:val="both"/>
      </w:pPr>
      <w:r w:rsidRPr="007D052B">
        <w:t>Continued until the earliest of: confirmed regression without rescue therapy, progression to treatment-requiring ROP (rescue indicated), intolerance/adverse event requiring discontinuation, or 60 weeks postmenstrual age</w:t>
      </w:r>
    </w:p>
    <w:p w14:paraId="2AE2D0C6" w14:textId="281B5B29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Rescue </w:t>
      </w:r>
      <w:r w:rsidR="00154914">
        <w:rPr>
          <w:b/>
          <w:bCs/>
        </w:rPr>
        <w:t>t</w:t>
      </w:r>
      <w:r w:rsidRPr="00553955">
        <w:rPr>
          <w:b/>
          <w:bCs/>
        </w:rPr>
        <w:t>reatment (</w:t>
      </w:r>
      <w:r w:rsidR="00154914">
        <w:rPr>
          <w:b/>
          <w:bCs/>
        </w:rPr>
        <w:t>s</w:t>
      </w:r>
      <w:r w:rsidRPr="00553955">
        <w:rPr>
          <w:b/>
          <w:bCs/>
        </w:rPr>
        <w:t xml:space="preserve">tandard of </w:t>
      </w:r>
      <w:r w:rsidR="00154914">
        <w:rPr>
          <w:b/>
          <w:bCs/>
        </w:rPr>
        <w:t>c</w:t>
      </w:r>
      <w:r w:rsidRPr="00553955">
        <w:rPr>
          <w:b/>
          <w:bCs/>
        </w:rPr>
        <w:t xml:space="preserve">are </w:t>
      </w:r>
      <w:r w:rsidR="00154914">
        <w:rPr>
          <w:b/>
          <w:bCs/>
        </w:rPr>
        <w:t>p</w:t>
      </w:r>
      <w:r w:rsidRPr="00553955">
        <w:rPr>
          <w:b/>
          <w:bCs/>
        </w:rPr>
        <w:t>reserved)</w:t>
      </w:r>
    </w:p>
    <w:p w14:paraId="18CA3855" w14:textId="1D91DB05" w:rsidR="00553955" w:rsidRDefault="00366F81" w:rsidP="00553955">
      <w:pPr>
        <w:pStyle w:val="NormalWeb"/>
        <w:numPr>
          <w:ilvl w:val="0"/>
          <w:numId w:val="8"/>
        </w:numPr>
        <w:jc w:val="both"/>
      </w:pPr>
      <w:r w:rsidRPr="007D052B">
        <w:t>Rescue treatment is initiated immediately when treatment-requiring criteria are met (for instance, type 1 ROP or aggressive ROP per prespecified definitions)</w:t>
      </w:r>
    </w:p>
    <w:p w14:paraId="6C1F5FFB" w14:textId="1F854B26" w:rsidR="00553955" w:rsidRDefault="00366F81" w:rsidP="00553955">
      <w:pPr>
        <w:pStyle w:val="NormalWeb"/>
        <w:numPr>
          <w:ilvl w:val="0"/>
          <w:numId w:val="8"/>
        </w:numPr>
        <w:jc w:val="both"/>
      </w:pPr>
      <w:r>
        <w:t>The rescue</w:t>
      </w:r>
      <w:r w:rsidRPr="007D052B">
        <w:t xml:space="preserve"> modality (laser vs intravitreal anti-VEGF therapy) is selected </w:t>
      </w:r>
      <w:r w:rsidR="00154914">
        <w:t>based on</w:t>
      </w:r>
      <w:r w:rsidRPr="007D052B">
        <w:t xml:space="preserve"> prespecified clinical criteria and site capability; all rescue treatments and timing are recorded</w:t>
      </w:r>
    </w:p>
    <w:p w14:paraId="5B215830" w14:textId="3E91EF15" w:rsidR="007D052B" w:rsidRPr="007D052B" w:rsidRDefault="00366F81" w:rsidP="00553955">
      <w:pPr>
        <w:pStyle w:val="NormalWeb"/>
        <w:numPr>
          <w:ilvl w:val="0"/>
          <w:numId w:val="8"/>
        </w:numPr>
        <w:jc w:val="both"/>
      </w:pPr>
      <w:r w:rsidRPr="007D052B">
        <w:t xml:space="preserve">Study medication is discontinued at the time rescue treatment is initiated (unless a separate adjunctive </w:t>
      </w:r>
      <w:proofErr w:type="spellStart"/>
      <w:r>
        <w:t>substudy</w:t>
      </w:r>
      <w:proofErr w:type="spellEnd"/>
      <w:r w:rsidRPr="007D052B">
        <w:t xml:space="preserve"> is prospectively specified)</w:t>
      </w:r>
    </w:p>
    <w:p w14:paraId="6969E2FF" w14:textId="56E59D0C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Outcome </w:t>
      </w:r>
      <w:r w:rsidR="00154914">
        <w:rPr>
          <w:b/>
          <w:bCs/>
        </w:rPr>
        <w:t>m</w:t>
      </w:r>
      <w:r w:rsidRPr="00553955">
        <w:rPr>
          <w:b/>
          <w:bCs/>
        </w:rPr>
        <w:t>easures</w:t>
      </w:r>
    </w:p>
    <w:p w14:paraId="505641DB" w14:textId="77777777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Primary efficacy endpoint</w:t>
      </w:r>
    </w:p>
    <w:p w14:paraId="29411DCE" w14:textId="7F8DC02F" w:rsidR="007D052B" w:rsidRPr="007D052B" w:rsidRDefault="00366F81" w:rsidP="007D052B">
      <w:pPr>
        <w:pStyle w:val="NormalWeb"/>
        <w:jc w:val="both"/>
      </w:pPr>
      <w:r w:rsidRPr="007D052B">
        <w:t xml:space="preserve">Progression to treatment-requiring ROP in either eye by 60 weeks postmenstrual age (infant-level endpoint; event date is the first examination at which either eye meets </w:t>
      </w:r>
      <w:r>
        <w:t xml:space="preserve">the inclusion </w:t>
      </w:r>
      <w:r w:rsidRPr="007D052B">
        <w:t>criteria)</w:t>
      </w:r>
    </w:p>
    <w:p w14:paraId="7640DC1D" w14:textId="7C12B6D1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Primary safety endpoint (dose-</w:t>
      </w:r>
      <w:r>
        <w:rPr>
          <w:b/>
          <w:bCs/>
        </w:rPr>
        <w:t>range</w:t>
      </w:r>
      <w:r w:rsidRPr="00553955">
        <w:rPr>
          <w:b/>
          <w:bCs/>
        </w:rPr>
        <w:t xml:space="preserve"> gate)</w:t>
      </w:r>
    </w:p>
    <w:p w14:paraId="42211EAF" w14:textId="290DD85C" w:rsidR="007D052B" w:rsidRPr="007D052B" w:rsidRDefault="00366F81" w:rsidP="007D052B">
      <w:pPr>
        <w:pStyle w:val="NormalWeb"/>
        <w:jc w:val="both"/>
      </w:pPr>
      <w:r w:rsidRPr="007D052B">
        <w:t xml:space="preserve">Clinically meaningful </w:t>
      </w:r>
      <w:r>
        <w:t xml:space="preserve">adverse </w:t>
      </w:r>
      <w:r w:rsidRPr="007D052B">
        <w:t xml:space="preserve">ocular-surface events through 60 weeks postmenstrual age, including persistent epithelial </w:t>
      </w:r>
      <w:r>
        <w:t>defects</w:t>
      </w:r>
      <w:r w:rsidRPr="007D052B">
        <w:t>, suspected infectious keratitis, stromal thinning/ulceration, or other events requiring discontinuation per protocol</w:t>
      </w:r>
    </w:p>
    <w:p w14:paraId="0DBF187E" w14:textId="7777777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>Key secondary endpoints</w:t>
      </w:r>
    </w:p>
    <w:p w14:paraId="44031F67" w14:textId="13321319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Time to progression to treatment-requiring ROP (from randomization)</w:t>
      </w:r>
    </w:p>
    <w:p w14:paraId="6BE65B0A" w14:textId="184E5566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 xml:space="preserve">Time to regression without rescue ophthalmic treatment, defined as the time from </w:t>
      </w:r>
      <w:r>
        <w:t>randomization</w:t>
      </w:r>
      <w:r w:rsidRPr="007D052B">
        <w:t xml:space="preserve"> to the first of two consecutive examinations documenting involution/resolution without rescue treatment using prespecified International Classification of Retinopathy of Prematurity, Third Edition (ICROP3)-compatible regression signs and documentation of persistent avascular retina when present</w:t>
      </w:r>
    </w:p>
    <w:p w14:paraId="4BF1DB65" w14:textId="77777777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Retreatment after initial rescue therapy</w:t>
      </w:r>
    </w:p>
    <w:p w14:paraId="6F3EEA41" w14:textId="102EF5D0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Number of ophthalmic follow-up examinations through 60 weeks postmenstrual age</w:t>
      </w:r>
    </w:p>
    <w:p w14:paraId="5B69CDD8" w14:textId="77777777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Adherence (caregiver diary plus bottle accountability measures)</w:t>
      </w:r>
    </w:p>
    <w:p w14:paraId="0BA2F7EB" w14:textId="17B74F9A" w:rsidR="007D052B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lastRenderedPageBreak/>
        <w:t>Exploratory: resource use metrics to enable a companion economic evaluation</w:t>
      </w:r>
    </w:p>
    <w:p w14:paraId="17EA1997" w14:textId="64F298D9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Assessment </w:t>
      </w:r>
      <w:r w:rsidR="00154914">
        <w:rPr>
          <w:b/>
          <w:bCs/>
        </w:rPr>
        <w:t>s</w:t>
      </w:r>
      <w:r w:rsidRPr="007A3EE6">
        <w:rPr>
          <w:b/>
          <w:bCs/>
        </w:rPr>
        <w:t>chedule</w:t>
      </w:r>
    </w:p>
    <w:p w14:paraId="4FDD2380" w14:textId="7498E92D" w:rsidR="007A3EE6" w:rsidRDefault="00366F81" w:rsidP="007A3EE6">
      <w:pPr>
        <w:pStyle w:val="NormalWeb"/>
        <w:numPr>
          <w:ilvl w:val="0"/>
          <w:numId w:val="13"/>
        </w:numPr>
        <w:jc w:val="both"/>
      </w:pPr>
      <w:r w:rsidRPr="007D052B">
        <w:t xml:space="preserve">Ophthalmic examinations every 1–2 weeks according to disease severity and </w:t>
      </w:r>
      <w:proofErr w:type="spellStart"/>
      <w:r w:rsidRPr="007D052B">
        <w:t>programme</w:t>
      </w:r>
      <w:proofErr w:type="spellEnd"/>
      <w:r w:rsidRPr="007D052B">
        <w:t xml:space="preserve"> protocols, with mandated capture of stage, zone, plus/</w:t>
      </w:r>
      <w:proofErr w:type="spellStart"/>
      <w:r w:rsidRPr="007D052B">
        <w:t>preplus</w:t>
      </w:r>
      <w:proofErr w:type="spellEnd"/>
      <w:r w:rsidRPr="007D052B">
        <w:t xml:space="preserve"> status, and ocular-surface safety at each visit</w:t>
      </w:r>
    </w:p>
    <w:p w14:paraId="060DABC5" w14:textId="6EDA82E9" w:rsidR="007D052B" w:rsidRPr="007D052B" w:rsidRDefault="00366F81" w:rsidP="007A3EE6">
      <w:pPr>
        <w:pStyle w:val="NormalWeb"/>
        <w:numPr>
          <w:ilvl w:val="0"/>
          <w:numId w:val="13"/>
        </w:numPr>
        <w:jc w:val="both"/>
      </w:pPr>
      <w:r w:rsidRPr="007D052B">
        <w:t>Teleophthalmology pathway permitted if validated and prespecified, with central adjudication rules if images are used for outcomes</w:t>
      </w:r>
    </w:p>
    <w:p w14:paraId="61A527A9" w14:textId="2936618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Safety </w:t>
      </w:r>
      <w:r>
        <w:rPr>
          <w:b/>
          <w:bCs/>
        </w:rPr>
        <w:t>monitoring</w:t>
      </w:r>
    </w:p>
    <w:p w14:paraId="54BB4F81" w14:textId="49DE9C11" w:rsidR="007A3EE6" w:rsidRDefault="007D052B" w:rsidP="007A3EE6">
      <w:pPr>
        <w:pStyle w:val="NormalWeb"/>
        <w:numPr>
          <w:ilvl w:val="0"/>
          <w:numId w:val="14"/>
        </w:numPr>
        <w:jc w:val="both"/>
      </w:pPr>
      <w:r w:rsidRPr="007D052B">
        <w:t>Data and Safety Monitoring Board: Independent board including neonatology, pediatric retina/ROP, clinical pharmacology, and biostatistics</w:t>
      </w:r>
    </w:p>
    <w:p w14:paraId="4EFD8312" w14:textId="7C160CD7" w:rsidR="007A3EE6" w:rsidRDefault="00366F81" w:rsidP="007A3EE6">
      <w:pPr>
        <w:pStyle w:val="NormalWeb"/>
        <w:numPr>
          <w:ilvl w:val="0"/>
          <w:numId w:val="14"/>
        </w:numPr>
        <w:jc w:val="both"/>
      </w:pPr>
      <w:r w:rsidRPr="007D052B">
        <w:t>Sentinel safety gate: Initial limited enrollment per active regimen (for instance, 15–25 infants/arm) with Data and Safety Monitoring Board review before expansion</w:t>
      </w:r>
    </w:p>
    <w:p w14:paraId="55835D49" w14:textId="53277AB7" w:rsidR="007D052B" w:rsidRPr="007D052B" w:rsidRDefault="00366F81" w:rsidP="007A3EE6">
      <w:pPr>
        <w:pStyle w:val="NormalWeb"/>
        <w:numPr>
          <w:ilvl w:val="0"/>
          <w:numId w:val="14"/>
        </w:numPr>
        <w:jc w:val="both"/>
      </w:pPr>
      <w:r w:rsidRPr="007D052B">
        <w:t>Stopping rules: Prespecified thresholds for ocular-surface serious adverse events, imbalance in serious systemic events plausibly related to exposure, or operational signals indicating unacceptable tolerability or adherence feasibility</w:t>
      </w:r>
    </w:p>
    <w:p w14:paraId="30CE2F11" w14:textId="5A771BA2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Sample </w:t>
      </w:r>
      <w:r>
        <w:rPr>
          <w:b/>
          <w:bCs/>
        </w:rPr>
        <w:t>size</w:t>
      </w:r>
      <w:r w:rsidRPr="007A3EE6">
        <w:rPr>
          <w:b/>
          <w:bCs/>
        </w:rPr>
        <w:t xml:space="preserve"> and </w:t>
      </w:r>
      <w:r>
        <w:rPr>
          <w:b/>
          <w:bCs/>
        </w:rPr>
        <w:t>power</w:t>
      </w:r>
      <w:r w:rsidRPr="007A3EE6">
        <w:rPr>
          <w:b/>
          <w:bCs/>
        </w:rPr>
        <w:t xml:space="preserve"> (framework for </w:t>
      </w:r>
      <w:r>
        <w:rPr>
          <w:b/>
          <w:bCs/>
        </w:rPr>
        <w:t xml:space="preserve">the </w:t>
      </w:r>
      <w:r w:rsidRPr="007A3EE6">
        <w:rPr>
          <w:b/>
          <w:bCs/>
        </w:rPr>
        <w:t>confirmatory stage)</w:t>
      </w:r>
    </w:p>
    <w:p w14:paraId="15542DEA" w14:textId="77777777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Confirmatory comparison per drug domain is powered against placebo after dose selection</w:t>
      </w:r>
    </w:p>
    <w:p w14:paraId="19AD82A7" w14:textId="1707DD44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 xml:space="preserve">Conservative planning example (two-sided alpha 0.05; 80% power): </w:t>
      </w:r>
      <w:r>
        <w:t>Assuming</w:t>
      </w:r>
      <w:r w:rsidRPr="007D052B">
        <w:t xml:space="preserve"> control progression 0.46 and target reduction to 0.30, approximately 143 infants per arm are </w:t>
      </w:r>
      <w:r>
        <w:t>needed</w:t>
      </w:r>
      <w:r w:rsidRPr="007D052B">
        <w:t>; inflating by 10% for attrition yields approximately 157 infants per arm</w:t>
      </w:r>
    </w:p>
    <w:p w14:paraId="46FA32EC" w14:textId="23C04442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If the target effect is smaller (for instance, 0.46 to 0.35), approximately 311 infants per arm are needed; inflating by 10% yields approximately 342 infants per arm</w:t>
      </w:r>
    </w:p>
    <w:p w14:paraId="2B9EA69E" w14:textId="5515F8E4" w:rsidR="007D052B" w:rsidRPr="007D052B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Multiplicity control: Dose-ranging stage uses prespecified selection criteria; confirmatory stage tests a single selected regimen vs placebo per domain, with alpha preserved for the primary endpoint</w:t>
      </w:r>
    </w:p>
    <w:p w14:paraId="1B5FB5EC" w14:textId="61A17372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Dose </w:t>
      </w:r>
      <w:r w:rsidR="00154914">
        <w:rPr>
          <w:b/>
          <w:bCs/>
        </w:rPr>
        <w:t>s</w:t>
      </w:r>
      <w:r w:rsidRPr="007A3EE6">
        <w:rPr>
          <w:b/>
          <w:bCs/>
        </w:rPr>
        <w:t xml:space="preserve">election </w:t>
      </w:r>
      <w:r w:rsidR="00154914">
        <w:rPr>
          <w:b/>
          <w:bCs/>
        </w:rPr>
        <w:t>c</w:t>
      </w:r>
      <w:r w:rsidRPr="007A3EE6">
        <w:rPr>
          <w:b/>
          <w:bCs/>
        </w:rPr>
        <w:t>riteria (</w:t>
      </w:r>
      <w:r>
        <w:rPr>
          <w:b/>
          <w:bCs/>
        </w:rPr>
        <w:t>prespecified</w:t>
      </w:r>
      <w:r w:rsidRPr="007A3EE6">
        <w:rPr>
          <w:b/>
          <w:bCs/>
        </w:rPr>
        <w:t>)</w:t>
      </w:r>
    </w:p>
    <w:p w14:paraId="006AC0DC" w14:textId="042A0151" w:rsidR="007D052B" w:rsidRPr="007D052B" w:rsidRDefault="00366F81" w:rsidP="007D052B">
      <w:pPr>
        <w:pStyle w:val="NormalWeb"/>
        <w:jc w:val="both"/>
      </w:pPr>
      <w:r w:rsidRPr="007D052B">
        <w:t xml:space="preserve">Selection is based on acceptable ocular-surface safety, tolerability/adherence feasibility, and directionally </w:t>
      </w:r>
      <w:r>
        <w:t>favorable effects</w:t>
      </w:r>
      <w:r w:rsidRPr="007D052B">
        <w:t xml:space="preserve"> on progression without evidence of excess early progression among </w:t>
      </w:r>
      <w:proofErr w:type="spellStart"/>
      <w:r>
        <w:t>nonresponders</w:t>
      </w:r>
      <w:proofErr w:type="spellEnd"/>
      <w:r w:rsidRPr="007D052B">
        <w:t xml:space="preserve">; the final rule should be stated as an algorithm before </w:t>
      </w:r>
      <w:r>
        <w:t>enrollment</w:t>
      </w:r>
      <w:r w:rsidRPr="007D052B">
        <w:t xml:space="preserve"> begins</w:t>
      </w:r>
    </w:p>
    <w:p w14:paraId="4E080D23" w14:textId="65F71F20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Statistical </w:t>
      </w:r>
      <w:r w:rsidR="00154914">
        <w:rPr>
          <w:b/>
          <w:bCs/>
        </w:rPr>
        <w:t>a</w:t>
      </w:r>
      <w:r w:rsidRPr="007A3EE6">
        <w:rPr>
          <w:b/>
          <w:bCs/>
        </w:rPr>
        <w:t xml:space="preserve">nalysis </w:t>
      </w:r>
      <w:r w:rsidR="00154914">
        <w:rPr>
          <w:b/>
          <w:bCs/>
        </w:rPr>
        <w:t>p</w:t>
      </w:r>
      <w:r w:rsidRPr="007A3EE6">
        <w:rPr>
          <w:b/>
          <w:bCs/>
        </w:rPr>
        <w:t>lan (high-level)</w:t>
      </w:r>
    </w:p>
    <w:p w14:paraId="026EFF71" w14:textId="26C87816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 xml:space="preserve">Primary analysis: intention-to-treat, </w:t>
      </w:r>
      <w:r>
        <w:t>analyzed</w:t>
      </w:r>
      <w:r w:rsidRPr="007D052B">
        <w:t xml:space="preserve"> separately within each drug domain against placebo</w:t>
      </w:r>
    </w:p>
    <w:p w14:paraId="58DB8FCC" w14:textId="77777777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lastRenderedPageBreak/>
        <w:t xml:space="preserve">Model for </w:t>
      </w:r>
      <w:r>
        <w:t xml:space="preserve">the </w:t>
      </w:r>
      <w:r w:rsidRPr="007D052B">
        <w:t>primary endpoint: logistic regression adjusted for stratification factors; sensitivity analyses using mixed-effects models with site as a random effect</w:t>
      </w:r>
    </w:p>
    <w:p w14:paraId="3955C1F3" w14:textId="77777777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>Time-to-event endpoints: Kaplan–Meier estimates and Cox models adjusted for prespecified covariates; proportional hazards assessed by standard diagnostics</w:t>
      </w:r>
    </w:p>
    <w:p w14:paraId="1A757A03" w14:textId="6357BACA" w:rsidR="007D052B" w:rsidRPr="007D052B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 xml:space="preserve">Handling bilateral disease: </w:t>
      </w:r>
      <w:r>
        <w:t>Infant</w:t>
      </w:r>
      <w:r w:rsidRPr="007D052B">
        <w:t xml:space="preserve">-level </w:t>
      </w:r>
      <w:r>
        <w:t>events</w:t>
      </w:r>
      <w:r w:rsidRPr="007D052B">
        <w:t xml:space="preserve"> defined by first</w:t>
      </w:r>
      <w:r>
        <w:t>-</w:t>
      </w:r>
      <w:r w:rsidRPr="007D052B">
        <w:t>eye meeting criteria; secondary eye-level exploratory analyses may be prespecified but are not primary</w:t>
      </w:r>
    </w:p>
    <w:p w14:paraId="2A6A1E95" w14:textId="37A5D4F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Operational </w:t>
      </w:r>
      <w:r>
        <w:rPr>
          <w:b/>
          <w:bCs/>
        </w:rPr>
        <w:t>quality controls</w:t>
      </w:r>
      <w:r w:rsidRPr="007A3EE6">
        <w:rPr>
          <w:b/>
          <w:bCs/>
        </w:rPr>
        <w:t xml:space="preserve"> (required for credibility)</w:t>
      </w:r>
    </w:p>
    <w:p w14:paraId="1DC363B5" w14:textId="77777777" w:rsidR="007A3EE6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Certification of examiners or central reading of imaging for key outcomes</w:t>
      </w:r>
    </w:p>
    <w:p w14:paraId="3B31B33E" w14:textId="6FE7CBB0" w:rsidR="007A3EE6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Standardized caregiver training module and administration checklist</w:t>
      </w:r>
    </w:p>
    <w:p w14:paraId="7BFCD813" w14:textId="77777777" w:rsidR="007A3EE6" w:rsidRDefault="00366F81" w:rsidP="007A3EE6">
      <w:pPr>
        <w:pStyle w:val="NormalWeb"/>
        <w:numPr>
          <w:ilvl w:val="0"/>
          <w:numId w:val="9"/>
        </w:numPr>
        <w:jc w:val="both"/>
      </w:pPr>
      <w:proofErr w:type="spellStart"/>
      <w:r w:rsidRPr="007D052B">
        <w:t>Protocolised</w:t>
      </w:r>
      <w:proofErr w:type="spellEnd"/>
      <w:r w:rsidRPr="007D052B">
        <w:t xml:space="preserve"> documentation of adverse events and discontinuation criteria</w:t>
      </w:r>
    </w:p>
    <w:p w14:paraId="27D68083" w14:textId="73A78095" w:rsidR="007D052B" w:rsidRPr="007D052B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Bottle accountability plan (returned bottles, volume/weight checks where feasible) to support adherence interpretation</w:t>
      </w:r>
    </w:p>
    <w:p w14:paraId="0F447507" w14:textId="35E9559D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Ethics and </w:t>
      </w:r>
      <w:r w:rsidR="00154914">
        <w:rPr>
          <w:b/>
          <w:bCs/>
        </w:rPr>
        <w:t>r</w:t>
      </w:r>
      <w:r w:rsidRPr="007A3EE6">
        <w:rPr>
          <w:b/>
          <w:bCs/>
        </w:rPr>
        <w:t>egistration</w:t>
      </w:r>
    </w:p>
    <w:p w14:paraId="6B0CE223" w14:textId="420AAA95" w:rsidR="007D052B" w:rsidRPr="007D052B" w:rsidRDefault="00366F81" w:rsidP="007D052B">
      <w:pPr>
        <w:pStyle w:val="NormalWeb"/>
        <w:jc w:val="both"/>
      </w:pPr>
      <w:r w:rsidRPr="007D052B">
        <w:t>The trial is registered before enrollment begins; consent and safety oversight reflect the vulnerability of the population and off-label exposure; data protection and deidentification procedures are prespecified</w:t>
      </w:r>
    </w:p>
    <w:p w14:paraId="1EFD5785" w14:textId="77777777" w:rsidR="00FA5700" w:rsidRPr="00FA5700" w:rsidRDefault="00FA5700" w:rsidP="007D052B">
      <w:pPr>
        <w:jc w:val="both"/>
        <w:rPr>
          <w:b/>
          <w:bCs/>
        </w:rPr>
      </w:pPr>
    </w:p>
    <w:sectPr w:rsidR="00FA5700" w:rsidRPr="00FA5700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480B" w14:textId="77777777" w:rsidR="009B37C5" w:rsidRDefault="009B37C5" w:rsidP="00FA5700">
      <w:pPr>
        <w:spacing w:before="0" w:after="0"/>
      </w:pPr>
      <w:r>
        <w:separator/>
      </w:r>
    </w:p>
  </w:endnote>
  <w:endnote w:type="continuationSeparator" w:id="0">
    <w:p w14:paraId="07AAC33D" w14:textId="77777777" w:rsidR="009B37C5" w:rsidRDefault="009B37C5" w:rsidP="00FA57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111678"/>
      <w:docPartObj>
        <w:docPartGallery w:val="Page Numbers (Bottom of Page)"/>
        <w:docPartUnique/>
      </w:docPartObj>
    </w:sdtPr>
    <w:sdtEndPr/>
    <w:sdtContent>
      <w:p w14:paraId="36C9EEBB" w14:textId="31D8C736" w:rsidR="00FA5700" w:rsidRDefault="00366F8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EA6AB" w14:textId="77777777" w:rsidR="00FA5700" w:rsidRDefault="00FA57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B9A6" w14:textId="77777777" w:rsidR="009B37C5" w:rsidRDefault="009B37C5" w:rsidP="00FA5700">
      <w:pPr>
        <w:spacing w:before="0" w:after="0"/>
      </w:pPr>
      <w:r>
        <w:separator/>
      </w:r>
    </w:p>
  </w:footnote>
  <w:footnote w:type="continuationSeparator" w:id="0">
    <w:p w14:paraId="66ADCA8D" w14:textId="77777777" w:rsidR="009B37C5" w:rsidRDefault="009B37C5" w:rsidP="00FA570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66B"/>
    <w:multiLevelType w:val="multilevel"/>
    <w:tmpl w:val="DDE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E627D"/>
    <w:multiLevelType w:val="hybridMultilevel"/>
    <w:tmpl w:val="406A761A"/>
    <w:lvl w:ilvl="0" w:tplc="4DAC4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4F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E8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6B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4C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6F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D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A8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44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72D"/>
    <w:multiLevelType w:val="hybridMultilevel"/>
    <w:tmpl w:val="40C4F88C"/>
    <w:lvl w:ilvl="0" w:tplc="1B560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0C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7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0A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CA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6CB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6C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A4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86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44AD"/>
    <w:multiLevelType w:val="hybridMultilevel"/>
    <w:tmpl w:val="AEA80536"/>
    <w:lvl w:ilvl="0" w:tplc="DEDC4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6D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E7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C5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29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E8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C1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8E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C6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0BBE"/>
    <w:multiLevelType w:val="hybridMultilevel"/>
    <w:tmpl w:val="2F60BB52"/>
    <w:lvl w:ilvl="0" w:tplc="20F48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C7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C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6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C76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0E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7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4D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69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5516"/>
    <w:multiLevelType w:val="hybridMultilevel"/>
    <w:tmpl w:val="D87A766A"/>
    <w:lvl w:ilvl="0" w:tplc="6DEC6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0F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E1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E5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6F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4C2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4C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02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F03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D76C2"/>
    <w:multiLevelType w:val="hybridMultilevel"/>
    <w:tmpl w:val="960E1C0A"/>
    <w:lvl w:ilvl="0" w:tplc="DA100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21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2A8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26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4D8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EE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03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45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69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D410B"/>
    <w:multiLevelType w:val="hybridMultilevel"/>
    <w:tmpl w:val="23527F6C"/>
    <w:lvl w:ilvl="0" w:tplc="A118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EE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08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E5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27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C5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CE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4A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25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E2DAB"/>
    <w:multiLevelType w:val="hybridMultilevel"/>
    <w:tmpl w:val="5A5E4858"/>
    <w:lvl w:ilvl="0" w:tplc="73F28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EC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3C0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EE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49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EB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6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C8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7EC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B0404"/>
    <w:multiLevelType w:val="multilevel"/>
    <w:tmpl w:val="95B8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44E9E"/>
    <w:multiLevelType w:val="hybridMultilevel"/>
    <w:tmpl w:val="8F620A00"/>
    <w:lvl w:ilvl="0" w:tplc="D98A2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EB8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2B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46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4A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29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45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A4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F40"/>
    <w:multiLevelType w:val="hybridMultilevel"/>
    <w:tmpl w:val="92241464"/>
    <w:lvl w:ilvl="0" w:tplc="7414A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AA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81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20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A7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8F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A4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C6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67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6399F"/>
    <w:multiLevelType w:val="hybridMultilevel"/>
    <w:tmpl w:val="B13CDE90"/>
    <w:lvl w:ilvl="0" w:tplc="910E3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4B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C7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83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E5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02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E2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1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EAA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A69B3"/>
    <w:multiLevelType w:val="hybridMultilevel"/>
    <w:tmpl w:val="783C335C"/>
    <w:lvl w:ilvl="0" w:tplc="76807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A2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E7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09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89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CA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08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AAA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2D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8"/>
  </w:num>
  <w:num w:numId="12">
    <w:abstractNumId w:val="12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00"/>
    <w:rsid w:val="00154914"/>
    <w:rsid w:val="001A5E00"/>
    <w:rsid w:val="002A5654"/>
    <w:rsid w:val="002B15F8"/>
    <w:rsid w:val="002D09D9"/>
    <w:rsid w:val="00343646"/>
    <w:rsid w:val="00343EB8"/>
    <w:rsid w:val="00366F81"/>
    <w:rsid w:val="003C0E65"/>
    <w:rsid w:val="003C1642"/>
    <w:rsid w:val="0043132C"/>
    <w:rsid w:val="0044008A"/>
    <w:rsid w:val="00523734"/>
    <w:rsid w:val="00553955"/>
    <w:rsid w:val="00681ACC"/>
    <w:rsid w:val="00764B39"/>
    <w:rsid w:val="007A3EE6"/>
    <w:rsid w:val="007C4FEE"/>
    <w:rsid w:val="007D052B"/>
    <w:rsid w:val="008403FF"/>
    <w:rsid w:val="00847368"/>
    <w:rsid w:val="008709C1"/>
    <w:rsid w:val="009B37C5"/>
    <w:rsid w:val="00B36925"/>
    <w:rsid w:val="00C16B81"/>
    <w:rsid w:val="00D0526A"/>
    <w:rsid w:val="00E1056C"/>
    <w:rsid w:val="00EE72D9"/>
    <w:rsid w:val="00FA5700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9413"/>
  <w15:chartTrackingRefBased/>
  <w15:docId w15:val="{6F45ED50-5B56-4243-BA5B-0C13A219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700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5700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A5700"/>
    <w:rPr>
      <w:rFonts w:ascii="Times New Roman" w:hAnsi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A5700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700"/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D052B"/>
    <w:pPr>
      <w:spacing w:before="100" w:beforeAutospacing="1" w:after="100" w:afterAutospacing="1"/>
    </w:pPr>
    <w:rPr>
      <w:rFonts w:eastAsia="Times New Roman" w:cs="Times New Roman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5539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395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23734"/>
    <w:rPr>
      <w:b/>
      <w:bCs/>
    </w:r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1666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Racedo</dc:creator>
  <cp:lastModifiedBy>Jorge Racedo</cp:lastModifiedBy>
  <cp:revision>5</cp:revision>
  <dcterms:created xsi:type="dcterms:W3CDTF">2026-03-06T22:11:00Z</dcterms:created>
  <dcterms:modified xsi:type="dcterms:W3CDTF">2026-05-08T15:56:00Z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147c7ce2-23c6-4319-b453-bca3921c7336</vt:lpwstr>
  </property>
  <property fmtid="{D5CDD505-2E9C-101B-9397-08002B2CF9AE}" pid="3" name="LE1">
    <vt:filetime>2026-03-06T20:21:42Z</vt:filetime>
  </property>
</Properties>
</file>