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jc w:val="center"/>
        <w:tblLook w:val="04A0" w:firstRow="1" w:lastRow="0" w:firstColumn="1" w:lastColumn="0" w:noHBand="0" w:noVBand="1"/>
      </w:tblPr>
      <w:tblGrid>
        <w:gridCol w:w="2139"/>
        <w:gridCol w:w="1995"/>
        <w:gridCol w:w="2017"/>
        <w:gridCol w:w="1952"/>
        <w:gridCol w:w="1667"/>
      </w:tblGrid>
      <w:tr w:rsidR="00A967D5" w14:paraId="23B1D847" w14:textId="77777777" w:rsidTr="00E542D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9CA9821" w14:textId="77777777" w:rsidR="00A967D5" w:rsidRPr="0049402B" w:rsidRDefault="00A967D5" w:rsidP="00E542D5">
            <w:pPr>
              <w:spacing w:before="0" w:after="0"/>
              <w:jc w:val="both"/>
              <w:rPr>
                <w:b/>
                <w:bCs/>
              </w:rPr>
            </w:pPr>
            <w:r w:rsidRPr="0049402B">
              <w:rPr>
                <w:b/>
                <w:bCs/>
              </w:rPr>
              <w:t>Table 1</w:t>
            </w:r>
          </w:p>
          <w:p w14:paraId="1C3B22C6" w14:textId="77777777" w:rsidR="00A967D5" w:rsidRPr="0049402B" w:rsidRDefault="00A967D5" w:rsidP="00E542D5">
            <w:pPr>
              <w:spacing w:before="0" w:after="0"/>
              <w:jc w:val="both"/>
            </w:pPr>
            <w:r w:rsidRPr="0049402B">
              <w:rPr>
                <w:b/>
                <w:bCs/>
              </w:rPr>
              <w:t>Comparison of baseline characteristics between the ketorolac-treated cohort and the historical surveillance-only cohort</w:t>
            </w:r>
          </w:p>
        </w:tc>
      </w:tr>
      <w:tr w:rsidR="00A967D5" w14:paraId="0045707C"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tcPr>
          <w:p w14:paraId="78C2E72B" w14:textId="77777777" w:rsidR="00A967D5" w:rsidRPr="0049402B" w:rsidRDefault="00A967D5" w:rsidP="00E542D5">
            <w:pPr>
              <w:spacing w:before="0" w:after="0"/>
              <w:jc w:val="center"/>
            </w:pPr>
          </w:p>
        </w:tc>
        <w:tc>
          <w:tcPr>
            <w:tcW w:w="1021" w:type="pct"/>
            <w:tcBorders>
              <w:top w:val="single" w:sz="4" w:space="0" w:color="auto"/>
              <w:left w:val="single" w:sz="4" w:space="0" w:color="auto"/>
              <w:bottom w:val="single" w:sz="4" w:space="0" w:color="auto"/>
              <w:right w:val="single" w:sz="4" w:space="0" w:color="auto"/>
            </w:tcBorders>
            <w:hideMark/>
          </w:tcPr>
          <w:p w14:paraId="682B527B" w14:textId="77777777" w:rsidR="00A967D5" w:rsidRPr="0049402B" w:rsidRDefault="00A967D5" w:rsidP="00E542D5">
            <w:pPr>
              <w:spacing w:before="0" w:after="0"/>
              <w:jc w:val="center"/>
              <w:rPr>
                <w:b/>
                <w:bCs/>
                <w:lang w:val="es-ES"/>
              </w:rPr>
            </w:pPr>
            <w:r w:rsidRPr="0049402B">
              <w:rPr>
                <w:b/>
                <w:bCs/>
              </w:rPr>
              <w:t>Overall</w:t>
            </w:r>
          </w:p>
          <w:p w14:paraId="61082E3F" w14:textId="77777777" w:rsidR="00A967D5" w:rsidRPr="0049402B" w:rsidRDefault="00A967D5" w:rsidP="00E542D5">
            <w:pPr>
              <w:spacing w:before="0" w:after="0"/>
              <w:jc w:val="center"/>
              <w:rPr>
                <w:b/>
                <w:bCs/>
                <w:lang w:val="es-ES"/>
              </w:rPr>
            </w:pPr>
            <w:r w:rsidRPr="0049402B">
              <w:rPr>
                <w:b/>
                <w:bCs/>
              </w:rPr>
              <w:t>94 (100.00%)</w:t>
            </w:r>
          </w:p>
        </w:tc>
        <w:tc>
          <w:tcPr>
            <w:tcW w:w="1032" w:type="pct"/>
            <w:tcBorders>
              <w:top w:val="single" w:sz="4" w:space="0" w:color="auto"/>
              <w:left w:val="single" w:sz="4" w:space="0" w:color="auto"/>
              <w:bottom w:val="single" w:sz="4" w:space="0" w:color="auto"/>
              <w:right w:val="single" w:sz="4" w:space="0" w:color="auto"/>
            </w:tcBorders>
            <w:hideMark/>
          </w:tcPr>
          <w:p w14:paraId="11E30081" w14:textId="77777777" w:rsidR="00A967D5" w:rsidRPr="0049402B" w:rsidRDefault="00A967D5" w:rsidP="00E542D5">
            <w:pPr>
              <w:spacing w:before="0" w:after="0"/>
              <w:jc w:val="center"/>
              <w:rPr>
                <w:b/>
                <w:bCs/>
                <w:lang w:val="es-ES"/>
              </w:rPr>
            </w:pPr>
            <w:r w:rsidRPr="0049402B">
              <w:rPr>
                <w:b/>
                <w:bCs/>
              </w:rPr>
              <w:t>Ketorolac-treated infants</w:t>
            </w:r>
          </w:p>
          <w:p w14:paraId="4C9711A1" w14:textId="77777777" w:rsidR="00A967D5" w:rsidRPr="0049402B" w:rsidRDefault="00A967D5" w:rsidP="00E542D5">
            <w:pPr>
              <w:spacing w:before="0" w:after="0"/>
              <w:jc w:val="center"/>
              <w:rPr>
                <w:b/>
                <w:bCs/>
                <w:lang w:val="es-ES"/>
              </w:rPr>
            </w:pPr>
            <w:r w:rsidRPr="0049402B">
              <w:rPr>
                <w:b/>
                <w:bCs/>
              </w:rPr>
              <w:t>48 (51.06%)</w:t>
            </w:r>
          </w:p>
        </w:tc>
        <w:tc>
          <w:tcPr>
            <w:tcW w:w="999" w:type="pct"/>
            <w:tcBorders>
              <w:top w:val="single" w:sz="4" w:space="0" w:color="auto"/>
              <w:left w:val="single" w:sz="4" w:space="0" w:color="auto"/>
              <w:bottom w:val="single" w:sz="4" w:space="0" w:color="auto"/>
              <w:right w:val="single" w:sz="4" w:space="0" w:color="auto"/>
            </w:tcBorders>
            <w:hideMark/>
          </w:tcPr>
          <w:p w14:paraId="5A8C333D" w14:textId="77777777" w:rsidR="00A967D5" w:rsidRPr="0049402B" w:rsidRDefault="00A967D5" w:rsidP="00E542D5">
            <w:pPr>
              <w:spacing w:before="0" w:after="0"/>
              <w:jc w:val="center"/>
              <w:rPr>
                <w:b/>
                <w:bCs/>
                <w:lang w:val="es-ES"/>
              </w:rPr>
            </w:pPr>
            <w:r w:rsidRPr="0049402B">
              <w:rPr>
                <w:b/>
                <w:bCs/>
              </w:rPr>
              <w:t>Nontreated infants</w:t>
            </w:r>
          </w:p>
          <w:p w14:paraId="4F969EA0" w14:textId="77777777" w:rsidR="00A967D5" w:rsidRPr="0049402B" w:rsidRDefault="00A967D5" w:rsidP="00E542D5">
            <w:pPr>
              <w:spacing w:before="0" w:after="0"/>
              <w:jc w:val="center"/>
              <w:rPr>
                <w:b/>
                <w:bCs/>
                <w:lang w:val="es-ES"/>
              </w:rPr>
            </w:pPr>
            <w:r w:rsidRPr="0049402B">
              <w:rPr>
                <w:b/>
                <w:bCs/>
              </w:rPr>
              <w:t>46 (48.94%)</w:t>
            </w:r>
          </w:p>
        </w:tc>
        <w:tc>
          <w:tcPr>
            <w:tcW w:w="853" w:type="pct"/>
            <w:tcBorders>
              <w:top w:val="single" w:sz="4" w:space="0" w:color="auto"/>
              <w:left w:val="single" w:sz="4" w:space="0" w:color="auto"/>
              <w:bottom w:val="single" w:sz="4" w:space="0" w:color="auto"/>
              <w:right w:val="single" w:sz="4" w:space="0" w:color="auto"/>
            </w:tcBorders>
            <w:hideMark/>
          </w:tcPr>
          <w:p w14:paraId="60503671" w14:textId="77777777" w:rsidR="00A967D5" w:rsidRPr="0049402B" w:rsidRDefault="00A967D5" w:rsidP="00E542D5">
            <w:pPr>
              <w:spacing w:before="0" w:after="0"/>
              <w:jc w:val="center"/>
              <w:rPr>
                <w:b/>
                <w:bCs/>
                <w:lang w:val="es-ES"/>
              </w:rPr>
            </w:pPr>
            <w:r w:rsidRPr="0049402B">
              <w:rPr>
                <w:b/>
                <w:bCs/>
              </w:rPr>
              <w:t>p</w:t>
            </w:r>
          </w:p>
        </w:tc>
      </w:tr>
      <w:tr w:rsidR="00A967D5" w14:paraId="5D97C108"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02F8F9F3" w14:textId="77777777" w:rsidR="00A967D5" w:rsidRPr="0049402B" w:rsidRDefault="00A967D5" w:rsidP="00E542D5">
            <w:pPr>
              <w:spacing w:before="0" w:after="0"/>
              <w:rPr>
                <w:b/>
                <w:bCs/>
                <w:lang w:val="es-ES"/>
              </w:rPr>
            </w:pPr>
            <w:r w:rsidRPr="0049402B">
              <w:rPr>
                <w:b/>
                <w:bCs/>
              </w:rPr>
              <w:t>Sex</w:t>
            </w:r>
          </w:p>
          <w:p w14:paraId="24999BE6" w14:textId="77777777" w:rsidR="00A967D5" w:rsidRPr="0049402B" w:rsidRDefault="00A967D5" w:rsidP="00E542D5">
            <w:pPr>
              <w:spacing w:before="0" w:after="0"/>
              <w:rPr>
                <w:lang w:val="es-ES"/>
              </w:rPr>
            </w:pPr>
            <w:r w:rsidRPr="0049402B">
              <w:t>Males</w:t>
            </w:r>
          </w:p>
          <w:p w14:paraId="33FE8662" w14:textId="77777777" w:rsidR="00A967D5" w:rsidRPr="0049402B" w:rsidRDefault="00A967D5" w:rsidP="00E542D5">
            <w:pPr>
              <w:spacing w:before="0" w:after="0"/>
              <w:rPr>
                <w:b/>
                <w:bCs/>
                <w:lang w:val="es-ES"/>
              </w:rPr>
            </w:pPr>
            <w:r w:rsidRPr="0049402B">
              <w:t>Females</w:t>
            </w:r>
          </w:p>
        </w:tc>
        <w:tc>
          <w:tcPr>
            <w:tcW w:w="1021" w:type="pct"/>
            <w:tcBorders>
              <w:top w:val="single" w:sz="4" w:space="0" w:color="auto"/>
              <w:left w:val="single" w:sz="4" w:space="0" w:color="auto"/>
              <w:bottom w:val="single" w:sz="4" w:space="0" w:color="auto"/>
              <w:right w:val="single" w:sz="4" w:space="0" w:color="auto"/>
            </w:tcBorders>
          </w:tcPr>
          <w:p w14:paraId="46762E43" w14:textId="77777777" w:rsidR="00A967D5" w:rsidRPr="0049402B" w:rsidRDefault="00A967D5" w:rsidP="00E542D5">
            <w:pPr>
              <w:spacing w:before="0" w:after="0"/>
              <w:jc w:val="center"/>
              <w:rPr>
                <w:lang w:val="es-ES"/>
              </w:rPr>
            </w:pPr>
          </w:p>
          <w:p w14:paraId="3ED99B91" w14:textId="77777777" w:rsidR="00A967D5" w:rsidRPr="0049402B" w:rsidRDefault="00A967D5" w:rsidP="00E542D5">
            <w:pPr>
              <w:spacing w:before="0" w:after="0"/>
              <w:jc w:val="center"/>
              <w:rPr>
                <w:lang w:val="es-ES"/>
              </w:rPr>
            </w:pPr>
            <w:r w:rsidRPr="0049402B">
              <w:t>43 (45.74%)</w:t>
            </w:r>
          </w:p>
          <w:p w14:paraId="3D31D5F4" w14:textId="77777777" w:rsidR="00A967D5" w:rsidRPr="0049402B" w:rsidRDefault="00A967D5" w:rsidP="00E542D5">
            <w:pPr>
              <w:spacing w:before="0" w:after="0"/>
              <w:jc w:val="center"/>
              <w:rPr>
                <w:lang w:val="es-ES"/>
              </w:rPr>
            </w:pPr>
            <w:r w:rsidRPr="0049402B">
              <w:t>51 (54.26%)</w:t>
            </w:r>
          </w:p>
        </w:tc>
        <w:tc>
          <w:tcPr>
            <w:tcW w:w="1032" w:type="pct"/>
            <w:tcBorders>
              <w:top w:val="single" w:sz="4" w:space="0" w:color="auto"/>
              <w:left w:val="single" w:sz="4" w:space="0" w:color="auto"/>
              <w:bottom w:val="single" w:sz="4" w:space="0" w:color="auto"/>
              <w:right w:val="single" w:sz="4" w:space="0" w:color="auto"/>
            </w:tcBorders>
          </w:tcPr>
          <w:p w14:paraId="3BE9C809" w14:textId="77777777" w:rsidR="00A967D5" w:rsidRPr="0049402B" w:rsidRDefault="00A967D5" w:rsidP="00E542D5">
            <w:pPr>
              <w:spacing w:before="0" w:after="0"/>
              <w:jc w:val="center"/>
              <w:rPr>
                <w:lang w:val="es-ES"/>
              </w:rPr>
            </w:pPr>
          </w:p>
          <w:p w14:paraId="12ABC54F" w14:textId="77777777" w:rsidR="00A967D5" w:rsidRPr="0049402B" w:rsidRDefault="00A967D5" w:rsidP="00E542D5">
            <w:pPr>
              <w:spacing w:before="0" w:after="0"/>
              <w:jc w:val="center"/>
              <w:rPr>
                <w:lang w:val="es-ES"/>
              </w:rPr>
            </w:pPr>
            <w:r w:rsidRPr="0049402B">
              <w:t>23 (47.92%)</w:t>
            </w:r>
          </w:p>
          <w:p w14:paraId="62BD187A" w14:textId="77777777" w:rsidR="00A967D5" w:rsidRPr="0049402B" w:rsidRDefault="00A967D5" w:rsidP="00E542D5">
            <w:pPr>
              <w:spacing w:before="0" w:after="0"/>
              <w:jc w:val="center"/>
              <w:rPr>
                <w:lang w:val="es-ES"/>
              </w:rPr>
            </w:pPr>
            <w:r w:rsidRPr="0049402B">
              <w:t>25 (52.08%)</w:t>
            </w:r>
          </w:p>
        </w:tc>
        <w:tc>
          <w:tcPr>
            <w:tcW w:w="999" w:type="pct"/>
            <w:tcBorders>
              <w:top w:val="single" w:sz="4" w:space="0" w:color="auto"/>
              <w:left w:val="single" w:sz="4" w:space="0" w:color="auto"/>
              <w:bottom w:val="single" w:sz="4" w:space="0" w:color="auto"/>
              <w:right w:val="single" w:sz="4" w:space="0" w:color="auto"/>
            </w:tcBorders>
          </w:tcPr>
          <w:p w14:paraId="0B60E3AE" w14:textId="77777777" w:rsidR="00A967D5" w:rsidRPr="0049402B" w:rsidRDefault="00A967D5" w:rsidP="00E542D5">
            <w:pPr>
              <w:spacing w:before="0" w:after="0"/>
              <w:jc w:val="center"/>
              <w:rPr>
                <w:lang w:val="es-ES"/>
              </w:rPr>
            </w:pPr>
          </w:p>
          <w:p w14:paraId="1F0B3825" w14:textId="77777777" w:rsidR="00A967D5" w:rsidRPr="0049402B" w:rsidRDefault="00A967D5" w:rsidP="00E542D5">
            <w:pPr>
              <w:spacing w:before="0" w:after="0"/>
              <w:jc w:val="center"/>
              <w:rPr>
                <w:lang w:val="es-ES"/>
              </w:rPr>
            </w:pPr>
            <w:r w:rsidRPr="0049402B">
              <w:t>20 (43.48%)</w:t>
            </w:r>
          </w:p>
          <w:p w14:paraId="0C75A42F" w14:textId="77777777" w:rsidR="00A967D5" w:rsidRPr="0049402B" w:rsidRDefault="00A967D5" w:rsidP="00E542D5">
            <w:pPr>
              <w:spacing w:before="0" w:after="0"/>
              <w:jc w:val="center"/>
              <w:rPr>
                <w:lang w:val="es-ES"/>
              </w:rPr>
            </w:pPr>
            <w:r w:rsidRPr="0049402B">
              <w:t>26 (56.52%)</w:t>
            </w:r>
          </w:p>
        </w:tc>
        <w:tc>
          <w:tcPr>
            <w:tcW w:w="853" w:type="pct"/>
            <w:tcBorders>
              <w:top w:val="single" w:sz="4" w:space="0" w:color="auto"/>
              <w:left w:val="single" w:sz="4" w:space="0" w:color="auto"/>
              <w:bottom w:val="single" w:sz="4" w:space="0" w:color="auto"/>
              <w:right w:val="single" w:sz="4" w:space="0" w:color="auto"/>
            </w:tcBorders>
            <w:hideMark/>
          </w:tcPr>
          <w:p w14:paraId="18285028" w14:textId="77777777" w:rsidR="00A967D5" w:rsidRPr="0049402B" w:rsidRDefault="00A967D5" w:rsidP="00E542D5">
            <w:pPr>
              <w:spacing w:before="0" w:after="0"/>
              <w:jc w:val="center"/>
              <w:rPr>
                <w:lang w:val="es-ES"/>
              </w:rPr>
            </w:pPr>
            <w:r w:rsidRPr="0049402B">
              <w:t>0.6659</w:t>
            </w:r>
          </w:p>
        </w:tc>
      </w:tr>
      <w:tr w:rsidR="00A967D5" w14:paraId="4042D86F"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21D53A15" w14:textId="77777777" w:rsidR="00A967D5" w:rsidRPr="0049402B" w:rsidRDefault="00A967D5" w:rsidP="00E542D5">
            <w:pPr>
              <w:spacing w:before="0" w:after="0"/>
              <w:rPr>
                <w:b/>
                <w:bCs/>
                <w:lang w:val="es-ES"/>
              </w:rPr>
            </w:pPr>
            <w:r w:rsidRPr="0049402B">
              <w:rPr>
                <w:b/>
                <w:bCs/>
              </w:rPr>
              <w:t>Gestational age (weeks)</w:t>
            </w:r>
          </w:p>
        </w:tc>
        <w:tc>
          <w:tcPr>
            <w:tcW w:w="1021" w:type="pct"/>
            <w:tcBorders>
              <w:top w:val="single" w:sz="4" w:space="0" w:color="auto"/>
              <w:left w:val="single" w:sz="4" w:space="0" w:color="auto"/>
              <w:bottom w:val="single" w:sz="4" w:space="0" w:color="auto"/>
              <w:right w:val="single" w:sz="4" w:space="0" w:color="auto"/>
            </w:tcBorders>
            <w:hideMark/>
          </w:tcPr>
          <w:p w14:paraId="0C21F9DE" w14:textId="77777777" w:rsidR="00A967D5" w:rsidRPr="0049402B" w:rsidRDefault="00A967D5" w:rsidP="00E542D5">
            <w:pPr>
              <w:spacing w:before="0" w:after="0"/>
              <w:jc w:val="center"/>
              <w:rPr>
                <w:lang w:val="es-ES"/>
              </w:rPr>
            </w:pPr>
            <w:r w:rsidRPr="0049402B">
              <w:t>30.18 ± 2.54</w:t>
            </w:r>
          </w:p>
        </w:tc>
        <w:tc>
          <w:tcPr>
            <w:tcW w:w="1032" w:type="pct"/>
            <w:tcBorders>
              <w:top w:val="single" w:sz="4" w:space="0" w:color="auto"/>
              <w:left w:val="single" w:sz="4" w:space="0" w:color="auto"/>
              <w:bottom w:val="single" w:sz="4" w:space="0" w:color="auto"/>
              <w:right w:val="single" w:sz="4" w:space="0" w:color="auto"/>
            </w:tcBorders>
            <w:hideMark/>
          </w:tcPr>
          <w:p w14:paraId="0E7B8302" w14:textId="77777777" w:rsidR="00A967D5" w:rsidRPr="0049402B" w:rsidRDefault="00A967D5" w:rsidP="00E542D5">
            <w:pPr>
              <w:spacing w:before="0" w:after="0"/>
              <w:jc w:val="center"/>
              <w:rPr>
                <w:lang w:val="es-ES"/>
              </w:rPr>
            </w:pPr>
            <w:r w:rsidRPr="0049402B">
              <w:rPr>
                <w:rFonts w:cstheme="minorHAnsi"/>
              </w:rPr>
              <w:t>29.98 ± 2.54</w:t>
            </w:r>
          </w:p>
        </w:tc>
        <w:tc>
          <w:tcPr>
            <w:tcW w:w="999" w:type="pct"/>
            <w:tcBorders>
              <w:top w:val="single" w:sz="4" w:space="0" w:color="auto"/>
              <w:left w:val="single" w:sz="4" w:space="0" w:color="auto"/>
              <w:bottom w:val="single" w:sz="4" w:space="0" w:color="auto"/>
              <w:right w:val="single" w:sz="4" w:space="0" w:color="auto"/>
            </w:tcBorders>
            <w:hideMark/>
          </w:tcPr>
          <w:p w14:paraId="335D9089" w14:textId="77777777" w:rsidR="00A967D5" w:rsidRPr="0049402B" w:rsidRDefault="00A967D5" w:rsidP="00E542D5">
            <w:pPr>
              <w:spacing w:before="0" w:after="0"/>
              <w:jc w:val="center"/>
              <w:rPr>
                <w:lang w:val="es-ES"/>
              </w:rPr>
            </w:pPr>
            <w:r w:rsidRPr="0049402B">
              <w:rPr>
                <w:rFonts w:cstheme="minorHAnsi"/>
              </w:rPr>
              <w:t>30.39 ± 2.55</w:t>
            </w:r>
          </w:p>
        </w:tc>
        <w:tc>
          <w:tcPr>
            <w:tcW w:w="853" w:type="pct"/>
            <w:tcBorders>
              <w:top w:val="single" w:sz="4" w:space="0" w:color="auto"/>
              <w:left w:val="single" w:sz="4" w:space="0" w:color="auto"/>
              <w:bottom w:val="single" w:sz="4" w:space="0" w:color="auto"/>
              <w:right w:val="single" w:sz="4" w:space="0" w:color="auto"/>
            </w:tcBorders>
            <w:hideMark/>
          </w:tcPr>
          <w:p w14:paraId="277EA313" w14:textId="77777777" w:rsidR="00A967D5" w:rsidRPr="0049402B" w:rsidRDefault="00A967D5" w:rsidP="00E542D5">
            <w:pPr>
              <w:spacing w:before="0" w:after="0"/>
              <w:jc w:val="center"/>
              <w:rPr>
                <w:lang w:val="es-ES"/>
              </w:rPr>
            </w:pPr>
            <w:r w:rsidRPr="0049402B">
              <w:t>0.3731</w:t>
            </w:r>
          </w:p>
        </w:tc>
      </w:tr>
      <w:tr w:rsidR="00A967D5" w14:paraId="1842D833"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5F75ED91" w14:textId="77777777" w:rsidR="00A967D5" w:rsidRPr="0049402B" w:rsidRDefault="00A967D5" w:rsidP="00E542D5">
            <w:pPr>
              <w:spacing w:before="0" w:after="0"/>
              <w:rPr>
                <w:b/>
                <w:bCs/>
                <w:lang w:val="es-ES"/>
              </w:rPr>
            </w:pPr>
            <w:r w:rsidRPr="0049402B">
              <w:rPr>
                <w:b/>
                <w:bCs/>
              </w:rPr>
              <w:t>Birth weight (grams)</w:t>
            </w:r>
          </w:p>
        </w:tc>
        <w:tc>
          <w:tcPr>
            <w:tcW w:w="1021" w:type="pct"/>
            <w:tcBorders>
              <w:top w:val="single" w:sz="4" w:space="0" w:color="auto"/>
              <w:left w:val="single" w:sz="4" w:space="0" w:color="auto"/>
              <w:bottom w:val="single" w:sz="4" w:space="0" w:color="auto"/>
              <w:right w:val="single" w:sz="4" w:space="0" w:color="auto"/>
            </w:tcBorders>
            <w:hideMark/>
          </w:tcPr>
          <w:p w14:paraId="4A27CC4F" w14:textId="77777777" w:rsidR="00A967D5" w:rsidRPr="0049402B" w:rsidRDefault="00A967D5" w:rsidP="00E542D5">
            <w:pPr>
              <w:spacing w:before="0" w:after="0"/>
              <w:jc w:val="center"/>
              <w:rPr>
                <w:lang w:val="es-ES"/>
              </w:rPr>
            </w:pPr>
            <w:r w:rsidRPr="0049402B">
              <w:rPr>
                <w:rFonts w:cstheme="minorHAnsi"/>
              </w:rPr>
              <w:t>1,321.44 ± 346.26</w:t>
            </w:r>
          </w:p>
        </w:tc>
        <w:tc>
          <w:tcPr>
            <w:tcW w:w="1032" w:type="pct"/>
            <w:tcBorders>
              <w:top w:val="single" w:sz="4" w:space="0" w:color="auto"/>
              <w:left w:val="single" w:sz="4" w:space="0" w:color="auto"/>
              <w:bottom w:val="single" w:sz="4" w:space="0" w:color="auto"/>
              <w:right w:val="single" w:sz="4" w:space="0" w:color="auto"/>
            </w:tcBorders>
            <w:hideMark/>
          </w:tcPr>
          <w:p w14:paraId="73D5DD78" w14:textId="77777777" w:rsidR="00A967D5" w:rsidRPr="0049402B" w:rsidRDefault="00A967D5" w:rsidP="00E542D5">
            <w:pPr>
              <w:spacing w:before="0" w:after="0"/>
              <w:jc w:val="center"/>
              <w:rPr>
                <w:lang w:val="es-ES"/>
              </w:rPr>
            </w:pPr>
            <w:r w:rsidRPr="0049402B">
              <w:rPr>
                <w:rFonts w:cstheme="minorHAnsi"/>
              </w:rPr>
              <w:t>1,275.73 ± 345.62</w:t>
            </w:r>
          </w:p>
        </w:tc>
        <w:tc>
          <w:tcPr>
            <w:tcW w:w="999" w:type="pct"/>
            <w:tcBorders>
              <w:top w:val="single" w:sz="4" w:space="0" w:color="auto"/>
              <w:left w:val="single" w:sz="4" w:space="0" w:color="auto"/>
              <w:bottom w:val="single" w:sz="4" w:space="0" w:color="auto"/>
              <w:right w:val="single" w:sz="4" w:space="0" w:color="auto"/>
            </w:tcBorders>
            <w:hideMark/>
          </w:tcPr>
          <w:p w14:paraId="6E9E3E93" w14:textId="77777777" w:rsidR="00A967D5" w:rsidRPr="0049402B" w:rsidRDefault="00A967D5" w:rsidP="00E542D5">
            <w:pPr>
              <w:spacing w:before="0" w:after="0"/>
              <w:jc w:val="center"/>
              <w:rPr>
                <w:lang w:val="es-ES"/>
              </w:rPr>
            </w:pPr>
            <w:r w:rsidRPr="0049402B">
              <w:rPr>
                <w:rFonts w:cstheme="minorHAnsi"/>
              </w:rPr>
              <w:t>1,369.13 ± 344.19</w:t>
            </w:r>
          </w:p>
        </w:tc>
        <w:tc>
          <w:tcPr>
            <w:tcW w:w="853" w:type="pct"/>
            <w:tcBorders>
              <w:top w:val="single" w:sz="4" w:space="0" w:color="auto"/>
              <w:left w:val="single" w:sz="4" w:space="0" w:color="auto"/>
              <w:bottom w:val="single" w:sz="4" w:space="0" w:color="auto"/>
              <w:right w:val="single" w:sz="4" w:space="0" w:color="auto"/>
            </w:tcBorders>
            <w:hideMark/>
          </w:tcPr>
          <w:p w14:paraId="47D38284" w14:textId="77777777" w:rsidR="00A967D5" w:rsidRPr="0049402B" w:rsidRDefault="00A967D5" w:rsidP="00E542D5">
            <w:pPr>
              <w:spacing w:before="0" w:after="0"/>
              <w:jc w:val="center"/>
              <w:rPr>
                <w:lang w:val="es-ES"/>
              </w:rPr>
            </w:pPr>
            <w:r w:rsidRPr="0049402B">
              <w:t>0.1433</w:t>
            </w:r>
          </w:p>
        </w:tc>
      </w:tr>
      <w:tr w:rsidR="00A967D5" w14:paraId="3D8267CE"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576CD2A0" w14:textId="77777777" w:rsidR="00A967D5" w:rsidRPr="0049402B" w:rsidRDefault="00A967D5" w:rsidP="00E542D5">
            <w:pPr>
              <w:spacing w:before="0" w:after="0"/>
              <w:rPr>
                <w:b/>
                <w:bCs/>
                <w:u w:val="single"/>
                <w:lang w:val="es-ES"/>
              </w:rPr>
            </w:pPr>
            <w:r w:rsidRPr="0049402B">
              <w:rPr>
                <w:b/>
                <w:bCs/>
              </w:rPr>
              <w:t>Plus dis</w:t>
            </w:r>
            <w:r w:rsidRPr="0049402B">
              <w:rPr>
                <w:b/>
                <w:bCs/>
                <w:u w:val="single"/>
              </w:rPr>
              <w:t>ease</w:t>
            </w:r>
          </w:p>
        </w:tc>
        <w:tc>
          <w:tcPr>
            <w:tcW w:w="1021" w:type="pct"/>
            <w:tcBorders>
              <w:top w:val="single" w:sz="4" w:space="0" w:color="auto"/>
              <w:left w:val="single" w:sz="4" w:space="0" w:color="auto"/>
              <w:bottom w:val="single" w:sz="4" w:space="0" w:color="auto"/>
              <w:right w:val="single" w:sz="4" w:space="0" w:color="auto"/>
            </w:tcBorders>
            <w:hideMark/>
          </w:tcPr>
          <w:p w14:paraId="04D92383" w14:textId="77777777" w:rsidR="00A967D5" w:rsidRPr="0049402B" w:rsidRDefault="00A967D5" w:rsidP="00E542D5">
            <w:pPr>
              <w:spacing w:before="0" w:after="0"/>
              <w:jc w:val="center"/>
              <w:rPr>
                <w:lang w:val="es-ES"/>
              </w:rPr>
            </w:pPr>
            <w:r w:rsidRPr="0049402B">
              <w:t>24 (25.53%)</w:t>
            </w:r>
          </w:p>
        </w:tc>
        <w:tc>
          <w:tcPr>
            <w:tcW w:w="1032" w:type="pct"/>
            <w:tcBorders>
              <w:top w:val="single" w:sz="4" w:space="0" w:color="auto"/>
              <w:left w:val="single" w:sz="4" w:space="0" w:color="auto"/>
              <w:bottom w:val="single" w:sz="4" w:space="0" w:color="auto"/>
              <w:right w:val="single" w:sz="4" w:space="0" w:color="auto"/>
            </w:tcBorders>
            <w:hideMark/>
          </w:tcPr>
          <w:p w14:paraId="193414D6" w14:textId="77777777" w:rsidR="00A967D5" w:rsidRPr="0049402B" w:rsidRDefault="00A967D5" w:rsidP="00E542D5">
            <w:pPr>
              <w:spacing w:before="0" w:after="0"/>
              <w:jc w:val="center"/>
              <w:rPr>
                <w:lang w:val="es-ES"/>
              </w:rPr>
            </w:pPr>
            <w:r w:rsidRPr="0049402B">
              <w:t>12 (25.00%)</w:t>
            </w:r>
          </w:p>
        </w:tc>
        <w:tc>
          <w:tcPr>
            <w:tcW w:w="999" w:type="pct"/>
            <w:tcBorders>
              <w:top w:val="single" w:sz="4" w:space="0" w:color="auto"/>
              <w:left w:val="single" w:sz="4" w:space="0" w:color="auto"/>
              <w:bottom w:val="single" w:sz="4" w:space="0" w:color="auto"/>
              <w:right w:val="single" w:sz="4" w:space="0" w:color="auto"/>
            </w:tcBorders>
            <w:hideMark/>
          </w:tcPr>
          <w:p w14:paraId="7E100AB7" w14:textId="77777777" w:rsidR="00A967D5" w:rsidRPr="0049402B" w:rsidRDefault="00A967D5" w:rsidP="00E542D5">
            <w:pPr>
              <w:spacing w:before="0" w:after="0"/>
              <w:jc w:val="center"/>
              <w:rPr>
                <w:lang w:val="es-ES"/>
              </w:rPr>
            </w:pPr>
            <w:r w:rsidRPr="0049402B">
              <w:t>12 (26.09%)</w:t>
            </w:r>
          </w:p>
        </w:tc>
        <w:tc>
          <w:tcPr>
            <w:tcW w:w="853" w:type="pct"/>
            <w:tcBorders>
              <w:top w:val="single" w:sz="4" w:space="0" w:color="auto"/>
              <w:left w:val="single" w:sz="4" w:space="0" w:color="auto"/>
              <w:bottom w:val="single" w:sz="4" w:space="0" w:color="auto"/>
              <w:right w:val="single" w:sz="4" w:space="0" w:color="auto"/>
            </w:tcBorders>
            <w:hideMark/>
          </w:tcPr>
          <w:p w14:paraId="4877F86E" w14:textId="77777777" w:rsidR="00A967D5" w:rsidRPr="0049402B" w:rsidRDefault="00A967D5" w:rsidP="00E542D5">
            <w:pPr>
              <w:spacing w:before="0" w:after="0"/>
              <w:jc w:val="center"/>
              <w:rPr>
                <w:lang w:val="es-ES"/>
              </w:rPr>
            </w:pPr>
            <w:r w:rsidRPr="0049402B">
              <w:t>0.9038</w:t>
            </w:r>
          </w:p>
        </w:tc>
      </w:tr>
      <w:tr w:rsidR="00A967D5" w14:paraId="17CB44E9"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4ED52D7D" w14:textId="77777777" w:rsidR="00A967D5" w:rsidRPr="0049402B" w:rsidRDefault="00A967D5" w:rsidP="00E542D5">
            <w:pPr>
              <w:spacing w:before="0" w:after="0"/>
              <w:rPr>
                <w:b/>
                <w:bCs/>
                <w:lang w:val="es-ES"/>
              </w:rPr>
            </w:pPr>
            <w:r w:rsidRPr="0049402B">
              <w:rPr>
                <w:b/>
                <w:bCs/>
              </w:rPr>
              <w:t>Caffeine</w:t>
            </w:r>
          </w:p>
        </w:tc>
        <w:tc>
          <w:tcPr>
            <w:tcW w:w="1021" w:type="pct"/>
            <w:tcBorders>
              <w:top w:val="single" w:sz="4" w:space="0" w:color="auto"/>
              <w:left w:val="single" w:sz="4" w:space="0" w:color="auto"/>
              <w:bottom w:val="single" w:sz="4" w:space="0" w:color="auto"/>
              <w:right w:val="single" w:sz="4" w:space="0" w:color="auto"/>
            </w:tcBorders>
            <w:hideMark/>
          </w:tcPr>
          <w:p w14:paraId="633F0493" w14:textId="77777777" w:rsidR="00A967D5" w:rsidRPr="0049402B" w:rsidRDefault="00A967D5" w:rsidP="00E542D5">
            <w:pPr>
              <w:spacing w:before="0" w:after="0"/>
              <w:jc w:val="center"/>
              <w:rPr>
                <w:lang w:val="es-ES"/>
              </w:rPr>
            </w:pPr>
            <w:r w:rsidRPr="0049402B">
              <w:t>75 (79.79%)</w:t>
            </w:r>
          </w:p>
        </w:tc>
        <w:tc>
          <w:tcPr>
            <w:tcW w:w="1032" w:type="pct"/>
            <w:tcBorders>
              <w:top w:val="single" w:sz="4" w:space="0" w:color="auto"/>
              <w:left w:val="single" w:sz="4" w:space="0" w:color="auto"/>
              <w:bottom w:val="single" w:sz="4" w:space="0" w:color="auto"/>
              <w:right w:val="single" w:sz="4" w:space="0" w:color="auto"/>
            </w:tcBorders>
            <w:hideMark/>
          </w:tcPr>
          <w:p w14:paraId="039F7863" w14:textId="77777777" w:rsidR="00A967D5" w:rsidRPr="0049402B" w:rsidRDefault="00A967D5" w:rsidP="00E542D5">
            <w:pPr>
              <w:spacing w:before="0" w:after="0"/>
              <w:jc w:val="center"/>
              <w:rPr>
                <w:lang w:val="es-ES"/>
              </w:rPr>
            </w:pPr>
            <w:r w:rsidRPr="0049402B">
              <w:t>43 (89.58%)</w:t>
            </w:r>
          </w:p>
        </w:tc>
        <w:tc>
          <w:tcPr>
            <w:tcW w:w="999" w:type="pct"/>
            <w:tcBorders>
              <w:top w:val="single" w:sz="4" w:space="0" w:color="auto"/>
              <w:left w:val="single" w:sz="4" w:space="0" w:color="auto"/>
              <w:bottom w:val="single" w:sz="4" w:space="0" w:color="auto"/>
              <w:right w:val="single" w:sz="4" w:space="0" w:color="auto"/>
            </w:tcBorders>
            <w:hideMark/>
          </w:tcPr>
          <w:p w14:paraId="17DA208B" w14:textId="77777777" w:rsidR="00A967D5" w:rsidRPr="0049402B" w:rsidRDefault="00A967D5" w:rsidP="00E542D5">
            <w:pPr>
              <w:spacing w:before="0" w:after="0"/>
              <w:jc w:val="center"/>
              <w:rPr>
                <w:lang w:val="es-ES"/>
              </w:rPr>
            </w:pPr>
            <w:r w:rsidRPr="0049402B">
              <w:t>32 (69.57%)</w:t>
            </w:r>
          </w:p>
        </w:tc>
        <w:tc>
          <w:tcPr>
            <w:tcW w:w="853" w:type="pct"/>
            <w:tcBorders>
              <w:top w:val="single" w:sz="4" w:space="0" w:color="auto"/>
              <w:left w:val="single" w:sz="4" w:space="0" w:color="auto"/>
              <w:bottom w:val="single" w:sz="4" w:space="0" w:color="auto"/>
              <w:right w:val="single" w:sz="4" w:space="0" w:color="auto"/>
            </w:tcBorders>
            <w:hideMark/>
          </w:tcPr>
          <w:p w14:paraId="261F3F47" w14:textId="77777777" w:rsidR="00A967D5" w:rsidRPr="0049402B" w:rsidRDefault="00A967D5" w:rsidP="00E542D5">
            <w:pPr>
              <w:spacing w:before="0" w:after="0"/>
              <w:jc w:val="center"/>
              <w:rPr>
                <w:lang w:val="es-ES"/>
              </w:rPr>
            </w:pPr>
            <w:r w:rsidRPr="0049402B">
              <w:t>0.0157</w:t>
            </w:r>
          </w:p>
        </w:tc>
      </w:tr>
      <w:tr w:rsidR="00A967D5" w14:paraId="28ABAF1F"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6C1F685F" w14:textId="77777777" w:rsidR="00A967D5" w:rsidRPr="0049402B" w:rsidRDefault="00A967D5" w:rsidP="00E542D5">
            <w:pPr>
              <w:spacing w:before="0" w:after="0"/>
              <w:rPr>
                <w:b/>
                <w:bCs/>
                <w:lang w:val="es-ES"/>
              </w:rPr>
            </w:pPr>
            <w:r w:rsidRPr="0049402B">
              <w:rPr>
                <w:b/>
                <w:bCs/>
              </w:rPr>
              <w:t>Oxygen administration (days)</w:t>
            </w:r>
          </w:p>
        </w:tc>
        <w:tc>
          <w:tcPr>
            <w:tcW w:w="1021" w:type="pct"/>
            <w:tcBorders>
              <w:top w:val="single" w:sz="4" w:space="0" w:color="auto"/>
              <w:left w:val="single" w:sz="4" w:space="0" w:color="auto"/>
              <w:bottom w:val="single" w:sz="4" w:space="0" w:color="auto"/>
              <w:right w:val="single" w:sz="4" w:space="0" w:color="auto"/>
            </w:tcBorders>
            <w:hideMark/>
          </w:tcPr>
          <w:p w14:paraId="0BF3FA87" w14:textId="77777777" w:rsidR="00A967D5" w:rsidRPr="0049402B" w:rsidRDefault="00A967D5" w:rsidP="00E542D5">
            <w:pPr>
              <w:spacing w:before="0" w:after="0"/>
              <w:jc w:val="center"/>
              <w:rPr>
                <w:lang w:val="es-ES"/>
              </w:rPr>
            </w:pPr>
            <w:r w:rsidRPr="0049402B">
              <w:rPr>
                <w:rFonts w:cstheme="minorHAnsi"/>
              </w:rPr>
              <w:t>22.72 ± 16.11</w:t>
            </w:r>
          </w:p>
        </w:tc>
        <w:tc>
          <w:tcPr>
            <w:tcW w:w="1032" w:type="pct"/>
            <w:tcBorders>
              <w:top w:val="single" w:sz="4" w:space="0" w:color="auto"/>
              <w:left w:val="single" w:sz="4" w:space="0" w:color="auto"/>
              <w:bottom w:val="single" w:sz="4" w:space="0" w:color="auto"/>
              <w:right w:val="single" w:sz="4" w:space="0" w:color="auto"/>
            </w:tcBorders>
            <w:hideMark/>
          </w:tcPr>
          <w:p w14:paraId="29DEC3D1" w14:textId="77777777" w:rsidR="00A967D5" w:rsidRPr="0049402B" w:rsidRDefault="00A967D5" w:rsidP="00E542D5">
            <w:pPr>
              <w:spacing w:before="0" w:after="0"/>
              <w:jc w:val="center"/>
              <w:rPr>
                <w:lang w:val="es-ES"/>
              </w:rPr>
            </w:pPr>
            <w:r w:rsidRPr="0049402B">
              <w:rPr>
                <w:rFonts w:cstheme="minorHAnsi"/>
              </w:rPr>
              <w:t>26.75 ± 18.87</w:t>
            </w:r>
          </w:p>
        </w:tc>
        <w:tc>
          <w:tcPr>
            <w:tcW w:w="999" w:type="pct"/>
            <w:tcBorders>
              <w:top w:val="single" w:sz="4" w:space="0" w:color="auto"/>
              <w:left w:val="single" w:sz="4" w:space="0" w:color="auto"/>
              <w:bottom w:val="single" w:sz="4" w:space="0" w:color="auto"/>
              <w:right w:val="single" w:sz="4" w:space="0" w:color="auto"/>
            </w:tcBorders>
            <w:hideMark/>
          </w:tcPr>
          <w:p w14:paraId="620AFA4C" w14:textId="77777777" w:rsidR="00A967D5" w:rsidRPr="0049402B" w:rsidRDefault="00A967D5" w:rsidP="00E542D5">
            <w:pPr>
              <w:spacing w:before="0" w:after="0"/>
              <w:jc w:val="center"/>
              <w:rPr>
                <w:lang w:val="es-ES"/>
              </w:rPr>
            </w:pPr>
            <w:r w:rsidRPr="0049402B">
              <w:rPr>
                <w:rFonts w:cstheme="minorHAnsi"/>
              </w:rPr>
              <w:t>18.52 ± 11.36</w:t>
            </w:r>
          </w:p>
        </w:tc>
        <w:tc>
          <w:tcPr>
            <w:tcW w:w="853" w:type="pct"/>
            <w:tcBorders>
              <w:top w:val="single" w:sz="4" w:space="0" w:color="auto"/>
              <w:left w:val="single" w:sz="4" w:space="0" w:color="auto"/>
              <w:bottom w:val="single" w:sz="4" w:space="0" w:color="auto"/>
              <w:right w:val="single" w:sz="4" w:space="0" w:color="auto"/>
            </w:tcBorders>
            <w:hideMark/>
          </w:tcPr>
          <w:p w14:paraId="5A31197D" w14:textId="77777777" w:rsidR="00A967D5" w:rsidRPr="0049402B" w:rsidRDefault="00A967D5" w:rsidP="00E542D5">
            <w:pPr>
              <w:spacing w:before="0" w:after="0"/>
              <w:jc w:val="center"/>
              <w:rPr>
                <w:lang w:val="es-ES"/>
              </w:rPr>
            </w:pPr>
            <w:r w:rsidRPr="0049402B">
              <w:t>0.0337</w:t>
            </w:r>
          </w:p>
        </w:tc>
      </w:tr>
      <w:tr w:rsidR="00A967D5" w14:paraId="526F729C"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5D6A0284" w14:textId="77777777" w:rsidR="00A967D5" w:rsidRPr="0049402B" w:rsidRDefault="00A967D5" w:rsidP="00E542D5">
            <w:pPr>
              <w:spacing w:before="0" w:after="0"/>
              <w:rPr>
                <w:b/>
                <w:bCs/>
                <w:lang w:val="es-ES"/>
              </w:rPr>
            </w:pPr>
            <w:r w:rsidRPr="0049402B">
              <w:rPr>
                <w:b/>
                <w:bCs/>
              </w:rPr>
              <w:t>Sepsis</w:t>
            </w:r>
          </w:p>
        </w:tc>
        <w:tc>
          <w:tcPr>
            <w:tcW w:w="1021" w:type="pct"/>
            <w:tcBorders>
              <w:top w:val="single" w:sz="4" w:space="0" w:color="auto"/>
              <w:left w:val="single" w:sz="4" w:space="0" w:color="auto"/>
              <w:bottom w:val="single" w:sz="4" w:space="0" w:color="auto"/>
              <w:right w:val="single" w:sz="4" w:space="0" w:color="auto"/>
            </w:tcBorders>
            <w:hideMark/>
          </w:tcPr>
          <w:p w14:paraId="46EF5C04" w14:textId="77777777" w:rsidR="00A967D5" w:rsidRPr="0049402B" w:rsidRDefault="00A967D5" w:rsidP="00E542D5">
            <w:pPr>
              <w:spacing w:before="0" w:after="0"/>
              <w:jc w:val="center"/>
              <w:rPr>
                <w:lang w:val="es-ES"/>
              </w:rPr>
            </w:pPr>
            <w:r w:rsidRPr="0049402B">
              <w:t>79 (84.04%)</w:t>
            </w:r>
          </w:p>
        </w:tc>
        <w:tc>
          <w:tcPr>
            <w:tcW w:w="1032" w:type="pct"/>
            <w:tcBorders>
              <w:top w:val="single" w:sz="4" w:space="0" w:color="auto"/>
              <w:left w:val="single" w:sz="4" w:space="0" w:color="auto"/>
              <w:bottom w:val="single" w:sz="4" w:space="0" w:color="auto"/>
              <w:right w:val="single" w:sz="4" w:space="0" w:color="auto"/>
            </w:tcBorders>
            <w:hideMark/>
          </w:tcPr>
          <w:p w14:paraId="67A9EC07" w14:textId="77777777" w:rsidR="00A967D5" w:rsidRPr="0049402B" w:rsidRDefault="00A967D5" w:rsidP="00E542D5">
            <w:pPr>
              <w:spacing w:before="0" w:after="0"/>
              <w:jc w:val="center"/>
              <w:rPr>
                <w:lang w:val="es-ES"/>
              </w:rPr>
            </w:pPr>
            <w:r w:rsidRPr="0049402B">
              <w:t>42 (87.50%)</w:t>
            </w:r>
          </w:p>
        </w:tc>
        <w:tc>
          <w:tcPr>
            <w:tcW w:w="999" w:type="pct"/>
            <w:tcBorders>
              <w:top w:val="single" w:sz="4" w:space="0" w:color="auto"/>
              <w:left w:val="single" w:sz="4" w:space="0" w:color="auto"/>
              <w:bottom w:val="single" w:sz="4" w:space="0" w:color="auto"/>
              <w:right w:val="single" w:sz="4" w:space="0" w:color="auto"/>
            </w:tcBorders>
            <w:hideMark/>
          </w:tcPr>
          <w:p w14:paraId="7CD0BBEE" w14:textId="77777777" w:rsidR="00A967D5" w:rsidRPr="0049402B" w:rsidRDefault="00A967D5" w:rsidP="00E542D5">
            <w:pPr>
              <w:spacing w:before="0" w:after="0"/>
              <w:jc w:val="center"/>
              <w:rPr>
                <w:lang w:val="es-ES"/>
              </w:rPr>
            </w:pPr>
            <w:r w:rsidRPr="0049402B">
              <w:t>37 (80.43%)</w:t>
            </w:r>
          </w:p>
        </w:tc>
        <w:tc>
          <w:tcPr>
            <w:tcW w:w="853" w:type="pct"/>
            <w:tcBorders>
              <w:top w:val="single" w:sz="4" w:space="0" w:color="auto"/>
              <w:left w:val="single" w:sz="4" w:space="0" w:color="auto"/>
              <w:bottom w:val="single" w:sz="4" w:space="0" w:color="auto"/>
              <w:right w:val="single" w:sz="4" w:space="0" w:color="auto"/>
            </w:tcBorders>
            <w:hideMark/>
          </w:tcPr>
          <w:p w14:paraId="6EC68F2C" w14:textId="77777777" w:rsidR="00A967D5" w:rsidRPr="0049402B" w:rsidRDefault="00A967D5" w:rsidP="00E542D5">
            <w:pPr>
              <w:spacing w:before="0" w:after="0"/>
              <w:jc w:val="center"/>
              <w:rPr>
                <w:lang w:val="es-ES"/>
              </w:rPr>
            </w:pPr>
            <w:r w:rsidRPr="0049402B">
              <w:t>0.3498</w:t>
            </w:r>
          </w:p>
        </w:tc>
      </w:tr>
      <w:tr w:rsidR="00A967D5" w14:paraId="7F8EB02D"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188CAC9B" w14:textId="77777777" w:rsidR="00A967D5" w:rsidRPr="0049402B" w:rsidRDefault="00A967D5" w:rsidP="00E542D5">
            <w:pPr>
              <w:spacing w:before="0" w:after="0"/>
              <w:rPr>
                <w:b/>
                <w:bCs/>
              </w:rPr>
            </w:pPr>
            <w:r w:rsidRPr="0049402B">
              <w:rPr>
                <w:b/>
                <w:bCs/>
              </w:rPr>
              <w:t>Red blood cell transfusions</w:t>
            </w:r>
          </w:p>
        </w:tc>
        <w:tc>
          <w:tcPr>
            <w:tcW w:w="1021" w:type="pct"/>
            <w:tcBorders>
              <w:top w:val="single" w:sz="4" w:space="0" w:color="auto"/>
              <w:left w:val="single" w:sz="4" w:space="0" w:color="auto"/>
              <w:bottom w:val="single" w:sz="4" w:space="0" w:color="auto"/>
              <w:right w:val="single" w:sz="4" w:space="0" w:color="auto"/>
            </w:tcBorders>
            <w:hideMark/>
          </w:tcPr>
          <w:p w14:paraId="67C6794B" w14:textId="77777777" w:rsidR="00A967D5" w:rsidRPr="0049402B" w:rsidRDefault="00A967D5" w:rsidP="00E542D5">
            <w:pPr>
              <w:spacing w:before="0" w:after="0"/>
              <w:jc w:val="center"/>
              <w:rPr>
                <w:lang w:val="es-ES"/>
              </w:rPr>
            </w:pPr>
            <w:r w:rsidRPr="0049402B">
              <w:t>67 (71.28%)</w:t>
            </w:r>
          </w:p>
        </w:tc>
        <w:tc>
          <w:tcPr>
            <w:tcW w:w="1032" w:type="pct"/>
            <w:tcBorders>
              <w:top w:val="single" w:sz="4" w:space="0" w:color="auto"/>
              <w:left w:val="single" w:sz="4" w:space="0" w:color="auto"/>
              <w:bottom w:val="single" w:sz="4" w:space="0" w:color="auto"/>
              <w:right w:val="single" w:sz="4" w:space="0" w:color="auto"/>
            </w:tcBorders>
            <w:hideMark/>
          </w:tcPr>
          <w:p w14:paraId="44281AEC" w14:textId="77777777" w:rsidR="00A967D5" w:rsidRPr="0049402B" w:rsidRDefault="00A967D5" w:rsidP="00E542D5">
            <w:pPr>
              <w:spacing w:before="0" w:after="0"/>
              <w:jc w:val="center"/>
              <w:rPr>
                <w:lang w:val="es-ES"/>
              </w:rPr>
            </w:pPr>
            <w:r w:rsidRPr="0049402B">
              <w:t>32 (66.67%)</w:t>
            </w:r>
          </w:p>
        </w:tc>
        <w:tc>
          <w:tcPr>
            <w:tcW w:w="999" w:type="pct"/>
            <w:tcBorders>
              <w:top w:val="single" w:sz="4" w:space="0" w:color="auto"/>
              <w:left w:val="single" w:sz="4" w:space="0" w:color="auto"/>
              <w:bottom w:val="single" w:sz="4" w:space="0" w:color="auto"/>
              <w:right w:val="single" w:sz="4" w:space="0" w:color="auto"/>
            </w:tcBorders>
            <w:hideMark/>
          </w:tcPr>
          <w:p w14:paraId="519DA00F" w14:textId="77777777" w:rsidR="00A967D5" w:rsidRPr="0049402B" w:rsidRDefault="00A967D5" w:rsidP="00E542D5">
            <w:pPr>
              <w:spacing w:before="0" w:after="0"/>
              <w:jc w:val="center"/>
              <w:rPr>
                <w:lang w:val="es-ES"/>
              </w:rPr>
            </w:pPr>
            <w:r w:rsidRPr="0049402B">
              <w:t>35 (76.09%)</w:t>
            </w:r>
          </w:p>
        </w:tc>
        <w:tc>
          <w:tcPr>
            <w:tcW w:w="853" w:type="pct"/>
            <w:tcBorders>
              <w:top w:val="single" w:sz="4" w:space="0" w:color="auto"/>
              <w:left w:val="single" w:sz="4" w:space="0" w:color="auto"/>
              <w:bottom w:val="single" w:sz="4" w:space="0" w:color="auto"/>
              <w:right w:val="single" w:sz="4" w:space="0" w:color="auto"/>
            </w:tcBorders>
            <w:hideMark/>
          </w:tcPr>
          <w:p w14:paraId="27122E80" w14:textId="77777777" w:rsidR="00A967D5" w:rsidRPr="0049402B" w:rsidRDefault="00A967D5" w:rsidP="00E542D5">
            <w:pPr>
              <w:spacing w:before="0" w:after="0"/>
              <w:jc w:val="center"/>
              <w:rPr>
                <w:lang w:val="es-ES"/>
              </w:rPr>
            </w:pPr>
            <w:r w:rsidRPr="0049402B">
              <w:t>0.3130</w:t>
            </w:r>
          </w:p>
        </w:tc>
      </w:tr>
      <w:tr w:rsidR="00A967D5" w14:paraId="7AEC48EA"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200999B9" w14:textId="77777777" w:rsidR="00A967D5" w:rsidRPr="0049402B" w:rsidRDefault="00A967D5" w:rsidP="00E542D5">
            <w:pPr>
              <w:spacing w:before="0" w:after="0"/>
              <w:rPr>
                <w:b/>
                <w:bCs/>
                <w:lang w:val="es-ES"/>
              </w:rPr>
            </w:pPr>
            <w:r w:rsidRPr="0049402B">
              <w:rPr>
                <w:b/>
                <w:bCs/>
              </w:rPr>
              <w:t>Intraventricular hemorrhage</w:t>
            </w:r>
          </w:p>
        </w:tc>
        <w:tc>
          <w:tcPr>
            <w:tcW w:w="1021" w:type="pct"/>
            <w:tcBorders>
              <w:top w:val="single" w:sz="4" w:space="0" w:color="auto"/>
              <w:left w:val="single" w:sz="4" w:space="0" w:color="auto"/>
              <w:bottom w:val="single" w:sz="4" w:space="0" w:color="auto"/>
              <w:right w:val="single" w:sz="4" w:space="0" w:color="auto"/>
            </w:tcBorders>
            <w:hideMark/>
          </w:tcPr>
          <w:p w14:paraId="2B5B0CEC" w14:textId="77777777" w:rsidR="00A967D5" w:rsidRPr="0049402B" w:rsidRDefault="00A967D5" w:rsidP="00E542D5">
            <w:pPr>
              <w:spacing w:before="0" w:after="0"/>
              <w:jc w:val="center"/>
              <w:rPr>
                <w:lang w:val="es-ES"/>
              </w:rPr>
            </w:pPr>
            <w:r w:rsidRPr="0049402B">
              <w:t>27 (28.72%)</w:t>
            </w:r>
          </w:p>
        </w:tc>
        <w:tc>
          <w:tcPr>
            <w:tcW w:w="1032" w:type="pct"/>
            <w:tcBorders>
              <w:top w:val="single" w:sz="4" w:space="0" w:color="auto"/>
              <w:left w:val="single" w:sz="4" w:space="0" w:color="auto"/>
              <w:bottom w:val="single" w:sz="4" w:space="0" w:color="auto"/>
              <w:right w:val="single" w:sz="4" w:space="0" w:color="auto"/>
            </w:tcBorders>
            <w:hideMark/>
          </w:tcPr>
          <w:p w14:paraId="5F0B94D8" w14:textId="77777777" w:rsidR="00A967D5" w:rsidRPr="0049402B" w:rsidRDefault="00A967D5" w:rsidP="00E542D5">
            <w:pPr>
              <w:spacing w:before="0" w:after="0"/>
              <w:jc w:val="center"/>
              <w:rPr>
                <w:lang w:val="es-ES"/>
              </w:rPr>
            </w:pPr>
            <w:r w:rsidRPr="0049402B">
              <w:t>8 (16.67%)</w:t>
            </w:r>
          </w:p>
        </w:tc>
        <w:tc>
          <w:tcPr>
            <w:tcW w:w="999" w:type="pct"/>
            <w:tcBorders>
              <w:top w:val="single" w:sz="4" w:space="0" w:color="auto"/>
              <w:left w:val="single" w:sz="4" w:space="0" w:color="auto"/>
              <w:bottom w:val="single" w:sz="4" w:space="0" w:color="auto"/>
              <w:right w:val="single" w:sz="4" w:space="0" w:color="auto"/>
            </w:tcBorders>
            <w:hideMark/>
          </w:tcPr>
          <w:p w14:paraId="5A5A1DE0" w14:textId="77777777" w:rsidR="00A967D5" w:rsidRPr="0049402B" w:rsidRDefault="00A967D5" w:rsidP="00E542D5">
            <w:pPr>
              <w:spacing w:before="0" w:after="0"/>
              <w:jc w:val="center"/>
              <w:rPr>
                <w:lang w:val="es-ES"/>
              </w:rPr>
            </w:pPr>
            <w:r w:rsidRPr="0049402B">
              <w:t>19 (41.30%)</w:t>
            </w:r>
          </w:p>
        </w:tc>
        <w:tc>
          <w:tcPr>
            <w:tcW w:w="853" w:type="pct"/>
            <w:tcBorders>
              <w:top w:val="single" w:sz="4" w:space="0" w:color="auto"/>
              <w:left w:val="single" w:sz="4" w:space="0" w:color="auto"/>
              <w:bottom w:val="single" w:sz="4" w:space="0" w:color="auto"/>
              <w:right w:val="single" w:sz="4" w:space="0" w:color="auto"/>
            </w:tcBorders>
            <w:hideMark/>
          </w:tcPr>
          <w:p w14:paraId="4E38FA6F" w14:textId="77777777" w:rsidR="00A967D5" w:rsidRPr="0049402B" w:rsidRDefault="00A967D5" w:rsidP="00E542D5">
            <w:pPr>
              <w:spacing w:before="0" w:after="0"/>
              <w:jc w:val="center"/>
              <w:rPr>
                <w:lang w:val="es-CO"/>
              </w:rPr>
            </w:pPr>
            <w:r w:rsidRPr="0049402B">
              <w:t>0.0083</w:t>
            </w:r>
          </w:p>
        </w:tc>
      </w:tr>
      <w:tr w:rsidR="00A967D5" w14:paraId="188E3F8A"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55B63BFB" w14:textId="77777777" w:rsidR="00A967D5" w:rsidRPr="0049402B" w:rsidRDefault="00A967D5" w:rsidP="00E542D5">
            <w:pPr>
              <w:spacing w:before="0" w:after="0"/>
              <w:rPr>
                <w:b/>
                <w:bCs/>
                <w:lang w:val="es-ES"/>
              </w:rPr>
            </w:pPr>
            <w:r w:rsidRPr="0049402B">
              <w:rPr>
                <w:b/>
                <w:bCs/>
              </w:rPr>
              <w:t>Hydrocephalus</w:t>
            </w:r>
          </w:p>
        </w:tc>
        <w:tc>
          <w:tcPr>
            <w:tcW w:w="1021" w:type="pct"/>
            <w:tcBorders>
              <w:top w:val="single" w:sz="4" w:space="0" w:color="auto"/>
              <w:left w:val="single" w:sz="4" w:space="0" w:color="auto"/>
              <w:bottom w:val="single" w:sz="4" w:space="0" w:color="auto"/>
              <w:right w:val="single" w:sz="4" w:space="0" w:color="auto"/>
            </w:tcBorders>
            <w:hideMark/>
          </w:tcPr>
          <w:p w14:paraId="4B27F981" w14:textId="77777777" w:rsidR="00A967D5" w:rsidRPr="0049402B" w:rsidRDefault="00A967D5" w:rsidP="00E542D5">
            <w:pPr>
              <w:spacing w:before="0" w:after="0"/>
              <w:jc w:val="center"/>
              <w:rPr>
                <w:lang w:val="es-ES"/>
              </w:rPr>
            </w:pPr>
            <w:r w:rsidRPr="0049402B">
              <w:t>4 (4.26%)</w:t>
            </w:r>
          </w:p>
        </w:tc>
        <w:tc>
          <w:tcPr>
            <w:tcW w:w="1032" w:type="pct"/>
            <w:tcBorders>
              <w:top w:val="single" w:sz="4" w:space="0" w:color="auto"/>
              <w:left w:val="single" w:sz="4" w:space="0" w:color="auto"/>
              <w:bottom w:val="single" w:sz="4" w:space="0" w:color="auto"/>
              <w:right w:val="single" w:sz="4" w:space="0" w:color="auto"/>
            </w:tcBorders>
            <w:hideMark/>
          </w:tcPr>
          <w:p w14:paraId="579BA43A" w14:textId="77777777" w:rsidR="00A967D5" w:rsidRPr="0049402B" w:rsidRDefault="00A967D5" w:rsidP="00E542D5">
            <w:pPr>
              <w:spacing w:before="0" w:after="0"/>
              <w:jc w:val="center"/>
              <w:rPr>
                <w:lang w:val="es-ES"/>
              </w:rPr>
            </w:pPr>
            <w:r w:rsidRPr="0049402B">
              <w:t>4 (8.33%)</w:t>
            </w:r>
          </w:p>
        </w:tc>
        <w:tc>
          <w:tcPr>
            <w:tcW w:w="999" w:type="pct"/>
            <w:tcBorders>
              <w:top w:val="single" w:sz="4" w:space="0" w:color="auto"/>
              <w:left w:val="single" w:sz="4" w:space="0" w:color="auto"/>
              <w:bottom w:val="single" w:sz="4" w:space="0" w:color="auto"/>
              <w:right w:val="single" w:sz="4" w:space="0" w:color="auto"/>
            </w:tcBorders>
            <w:hideMark/>
          </w:tcPr>
          <w:p w14:paraId="08F82129" w14:textId="77777777" w:rsidR="00A967D5" w:rsidRPr="0049402B" w:rsidRDefault="00A967D5" w:rsidP="00E542D5">
            <w:pPr>
              <w:spacing w:before="0" w:after="0"/>
              <w:jc w:val="center"/>
              <w:rPr>
                <w:lang w:val="es-ES"/>
              </w:rPr>
            </w:pPr>
            <w:r w:rsidRPr="0049402B">
              <w:t>0 (0.00%)</w:t>
            </w:r>
          </w:p>
        </w:tc>
        <w:tc>
          <w:tcPr>
            <w:tcW w:w="853" w:type="pct"/>
            <w:tcBorders>
              <w:top w:val="single" w:sz="4" w:space="0" w:color="auto"/>
              <w:left w:val="single" w:sz="4" w:space="0" w:color="auto"/>
              <w:bottom w:val="single" w:sz="4" w:space="0" w:color="auto"/>
              <w:right w:val="single" w:sz="4" w:space="0" w:color="auto"/>
            </w:tcBorders>
            <w:hideMark/>
          </w:tcPr>
          <w:p w14:paraId="321CDE70" w14:textId="77777777" w:rsidR="00A967D5" w:rsidRPr="0049402B" w:rsidRDefault="00A967D5" w:rsidP="00E542D5">
            <w:pPr>
              <w:spacing w:before="0" w:after="0"/>
              <w:jc w:val="center"/>
              <w:rPr>
                <w:lang w:val="es-CO"/>
              </w:rPr>
            </w:pPr>
            <w:r w:rsidRPr="0049402B">
              <w:t>0.0454</w:t>
            </w:r>
          </w:p>
        </w:tc>
      </w:tr>
      <w:tr w:rsidR="00A967D5" w14:paraId="3D0EBAE5"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2428443C" w14:textId="77777777" w:rsidR="00A967D5" w:rsidRPr="0049402B" w:rsidRDefault="00A967D5" w:rsidP="00E542D5">
            <w:pPr>
              <w:spacing w:before="0" w:after="0"/>
              <w:rPr>
                <w:b/>
                <w:bCs/>
                <w:lang w:val="es-ES"/>
              </w:rPr>
            </w:pPr>
            <w:r w:rsidRPr="0049402B">
              <w:rPr>
                <w:b/>
                <w:bCs/>
              </w:rPr>
              <w:t>Pulmonary surfactant administration</w:t>
            </w:r>
          </w:p>
        </w:tc>
        <w:tc>
          <w:tcPr>
            <w:tcW w:w="1021" w:type="pct"/>
            <w:tcBorders>
              <w:top w:val="single" w:sz="4" w:space="0" w:color="auto"/>
              <w:left w:val="single" w:sz="4" w:space="0" w:color="auto"/>
              <w:bottom w:val="single" w:sz="4" w:space="0" w:color="auto"/>
              <w:right w:val="single" w:sz="4" w:space="0" w:color="auto"/>
            </w:tcBorders>
            <w:hideMark/>
          </w:tcPr>
          <w:p w14:paraId="37CE86FE" w14:textId="77777777" w:rsidR="00A967D5" w:rsidRPr="0049402B" w:rsidRDefault="00A967D5" w:rsidP="00E542D5">
            <w:pPr>
              <w:spacing w:before="0" w:after="0"/>
              <w:jc w:val="center"/>
              <w:rPr>
                <w:lang w:val="es-ES"/>
              </w:rPr>
            </w:pPr>
            <w:r w:rsidRPr="0049402B">
              <w:t>66 (70.21%)</w:t>
            </w:r>
          </w:p>
        </w:tc>
        <w:tc>
          <w:tcPr>
            <w:tcW w:w="1032" w:type="pct"/>
            <w:tcBorders>
              <w:top w:val="single" w:sz="4" w:space="0" w:color="auto"/>
              <w:left w:val="single" w:sz="4" w:space="0" w:color="auto"/>
              <w:bottom w:val="single" w:sz="4" w:space="0" w:color="auto"/>
              <w:right w:val="single" w:sz="4" w:space="0" w:color="auto"/>
            </w:tcBorders>
            <w:hideMark/>
          </w:tcPr>
          <w:p w14:paraId="091D85E9" w14:textId="77777777" w:rsidR="00A967D5" w:rsidRPr="0049402B" w:rsidRDefault="00A967D5" w:rsidP="00E542D5">
            <w:pPr>
              <w:spacing w:before="0" w:after="0"/>
              <w:jc w:val="center"/>
              <w:rPr>
                <w:lang w:val="es-ES"/>
              </w:rPr>
            </w:pPr>
            <w:r w:rsidRPr="0049402B">
              <w:t>35 (72.92%)</w:t>
            </w:r>
          </w:p>
        </w:tc>
        <w:tc>
          <w:tcPr>
            <w:tcW w:w="999" w:type="pct"/>
            <w:tcBorders>
              <w:top w:val="single" w:sz="4" w:space="0" w:color="auto"/>
              <w:left w:val="single" w:sz="4" w:space="0" w:color="auto"/>
              <w:bottom w:val="single" w:sz="4" w:space="0" w:color="auto"/>
              <w:right w:val="single" w:sz="4" w:space="0" w:color="auto"/>
            </w:tcBorders>
            <w:hideMark/>
          </w:tcPr>
          <w:p w14:paraId="4CA6E1A2" w14:textId="77777777" w:rsidR="00A967D5" w:rsidRPr="0049402B" w:rsidRDefault="00A967D5" w:rsidP="00E542D5">
            <w:pPr>
              <w:spacing w:before="0" w:after="0"/>
              <w:jc w:val="center"/>
              <w:rPr>
                <w:lang w:val="es-ES"/>
              </w:rPr>
            </w:pPr>
            <w:r w:rsidRPr="0049402B">
              <w:t>31 (67.39%)</w:t>
            </w:r>
          </w:p>
        </w:tc>
        <w:tc>
          <w:tcPr>
            <w:tcW w:w="853" w:type="pct"/>
            <w:tcBorders>
              <w:top w:val="single" w:sz="4" w:space="0" w:color="auto"/>
              <w:left w:val="single" w:sz="4" w:space="0" w:color="auto"/>
              <w:bottom w:val="single" w:sz="4" w:space="0" w:color="auto"/>
              <w:right w:val="single" w:sz="4" w:space="0" w:color="auto"/>
            </w:tcBorders>
            <w:hideMark/>
          </w:tcPr>
          <w:p w14:paraId="392AE137" w14:textId="77777777" w:rsidR="00A967D5" w:rsidRPr="0049402B" w:rsidRDefault="00A967D5" w:rsidP="00E542D5">
            <w:pPr>
              <w:tabs>
                <w:tab w:val="left" w:pos="1065"/>
              </w:tabs>
              <w:spacing w:before="0" w:after="0"/>
              <w:jc w:val="center"/>
              <w:rPr>
                <w:lang w:val="es-CO"/>
              </w:rPr>
            </w:pPr>
            <w:r w:rsidRPr="0049402B">
              <w:t>0.5582</w:t>
            </w:r>
          </w:p>
        </w:tc>
      </w:tr>
      <w:tr w:rsidR="00A967D5" w14:paraId="418B0B84"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7924BAB4" w14:textId="77777777" w:rsidR="00A967D5" w:rsidRPr="0049402B" w:rsidRDefault="00A967D5" w:rsidP="00E542D5">
            <w:pPr>
              <w:spacing w:before="0" w:after="0"/>
              <w:rPr>
                <w:b/>
                <w:bCs/>
                <w:lang w:val="es-ES"/>
              </w:rPr>
            </w:pPr>
            <w:r w:rsidRPr="0049402B">
              <w:rPr>
                <w:b/>
                <w:bCs/>
              </w:rPr>
              <w:t>Positive pressure resuscitation</w:t>
            </w:r>
          </w:p>
        </w:tc>
        <w:tc>
          <w:tcPr>
            <w:tcW w:w="1021" w:type="pct"/>
            <w:tcBorders>
              <w:top w:val="single" w:sz="4" w:space="0" w:color="auto"/>
              <w:left w:val="single" w:sz="4" w:space="0" w:color="auto"/>
              <w:bottom w:val="single" w:sz="4" w:space="0" w:color="auto"/>
              <w:right w:val="single" w:sz="4" w:space="0" w:color="auto"/>
            </w:tcBorders>
            <w:hideMark/>
          </w:tcPr>
          <w:p w14:paraId="111B9197" w14:textId="77777777" w:rsidR="00A967D5" w:rsidRPr="0049402B" w:rsidRDefault="00A967D5" w:rsidP="00E542D5">
            <w:pPr>
              <w:spacing w:before="0" w:after="0"/>
              <w:jc w:val="center"/>
              <w:rPr>
                <w:lang w:val="es-ES"/>
              </w:rPr>
            </w:pPr>
            <w:r w:rsidRPr="0049402B">
              <w:t>16 (17.02%)</w:t>
            </w:r>
          </w:p>
        </w:tc>
        <w:tc>
          <w:tcPr>
            <w:tcW w:w="1032" w:type="pct"/>
            <w:tcBorders>
              <w:top w:val="single" w:sz="4" w:space="0" w:color="auto"/>
              <w:left w:val="single" w:sz="4" w:space="0" w:color="auto"/>
              <w:bottom w:val="single" w:sz="4" w:space="0" w:color="auto"/>
              <w:right w:val="single" w:sz="4" w:space="0" w:color="auto"/>
            </w:tcBorders>
            <w:hideMark/>
          </w:tcPr>
          <w:p w14:paraId="69AD0D9E" w14:textId="77777777" w:rsidR="00A967D5" w:rsidRPr="0049402B" w:rsidRDefault="00A967D5" w:rsidP="00E542D5">
            <w:pPr>
              <w:spacing w:before="0" w:after="0"/>
              <w:jc w:val="center"/>
              <w:rPr>
                <w:lang w:val="es-ES"/>
              </w:rPr>
            </w:pPr>
            <w:r w:rsidRPr="0049402B">
              <w:t>14 (29.17%)</w:t>
            </w:r>
          </w:p>
        </w:tc>
        <w:tc>
          <w:tcPr>
            <w:tcW w:w="999" w:type="pct"/>
            <w:tcBorders>
              <w:top w:val="single" w:sz="4" w:space="0" w:color="auto"/>
              <w:left w:val="single" w:sz="4" w:space="0" w:color="auto"/>
              <w:bottom w:val="single" w:sz="4" w:space="0" w:color="auto"/>
              <w:right w:val="single" w:sz="4" w:space="0" w:color="auto"/>
            </w:tcBorders>
            <w:hideMark/>
          </w:tcPr>
          <w:p w14:paraId="2EF05658" w14:textId="77777777" w:rsidR="00A967D5" w:rsidRPr="0049402B" w:rsidRDefault="00A967D5" w:rsidP="00E542D5">
            <w:pPr>
              <w:spacing w:before="0" w:after="0"/>
              <w:jc w:val="center"/>
              <w:rPr>
                <w:lang w:val="es-ES"/>
              </w:rPr>
            </w:pPr>
            <w:r w:rsidRPr="0049402B">
              <w:t>2 (4.35%)</w:t>
            </w:r>
          </w:p>
        </w:tc>
        <w:tc>
          <w:tcPr>
            <w:tcW w:w="853" w:type="pct"/>
            <w:tcBorders>
              <w:top w:val="single" w:sz="4" w:space="0" w:color="auto"/>
              <w:left w:val="single" w:sz="4" w:space="0" w:color="auto"/>
              <w:bottom w:val="single" w:sz="4" w:space="0" w:color="auto"/>
              <w:right w:val="single" w:sz="4" w:space="0" w:color="auto"/>
            </w:tcBorders>
            <w:hideMark/>
          </w:tcPr>
          <w:p w14:paraId="552D2FAE" w14:textId="77777777" w:rsidR="00A967D5" w:rsidRPr="0049402B" w:rsidRDefault="00A967D5" w:rsidP="00E542D5">
            <w:pPr>
              <w:spacing w:before="0" w:after="0"/>
              <w:jc w:val="center"/>
              <w:rPr>
                <w:lang w:val="es-CO"/>
              </w:rPr>
            </w:pPr>
            <w:r w:rsidRPr="0049402B">
              <w:t>0.0014</w:t>
            </w:r>
          </w:p>
        </w:tc>
      </w:tr>
      <w:tr w:rsidR="00A967D5" w14:paraId="74987125"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0E45909C" w14:textId="77777777" w:rsidR="00A967D5" w:rsidRPr="0049402B" w:rsidRDefault="00A967D5" w:rsidP="00E542D5">
            <w:pPr>
              <w:spacing w:before="0" w:after="0"/>
              <w:rPr>
                <w:b/>
                <w:bCs/>
                <w:lang w:val="es-ES"/>
              </w:rPr>
            </w:pPr>
            <w:r w:rsidRPr="0049402B">
              <w:rPr>
                <w:b/>
                <w:bCs/>
              </w:rPr>
              <w:t>Perinatal asphyxia</w:t>
            </w:r>
          </w:p>
        </w:tc>
        <w:tc>
          <w:tcPr>
            <w:tcW w:w="1021" w:type="pct"/>
            <w:tcBorders>
              <w:top w:val="single" w:sz="4" w:space="0" w:color="auto"/>
              <w:left w:val="single" w:sz="4" w:space="0" w:color="auto"/>
              <w:bottom w:val="single" w:sz="4" w:space="0" w:color="auto"/>
              <w:right w:val="single" w:sz="4" w:space="0" w:color="auto"/>
            </w:tcBorders>
            <w:hideMark/>
          </w:tcPr>
          <w:p w14:paraId="1DC9795B" w14:textId="77777777" w:rsidR="00A967D5" w:rsidRPr="0049402B" w:rsidRDefault="00A967D5" w:rsidP="00E542D5">
            <w:pPr>
              <w:spacing w:before="0" w:after="0"/>
              <w:jc w:val="center"/>
              <w:rPr>
                <w:lang w:val="es-ES"/>
              </w:rPr>
            </w:pPr>
            <w:r w:rsidRPr="0049402B">
              <w:t>17 (18.09%)</w:t>
            </w:r>
          </w:p>
        </w:tc>
        <w:tc>
          <w:tcPr>
            <w:tcW w:w="1032" w:type="pct"/>
            <w:tcBorders>
              <w:top w:val="single" w:sz="4" w:space="0" w:color="auto"/>
              <w:left w:val="single" w:sz="4" w:space="0" w:color="auto"/>
              <w:bottom w:val="single" w:sz="4" w:space="0" w:color="auto"/>
              <w:right w:val="single" w:sz="4" w:space="0" w:color="auto"/>
            </w:tcBorders>
            <w:hideMark/>
          </w:tcPr>
          <w:p w14:paraId="554152E0" w14:textId="77777777" w:rsidR="00A967D5" w:rsidRPr="0049402B" w:rsidRDefault="00A967D5" w:rsidP="00E542D5">
            <w:pPr>
              <w:spacing w:before="0" w:after="0"/>
              <w:jc w:val="center"/>
              <w:rPr>
                <w:lang w:val="es-ES"/>
              </w:rPr>
            </w:pPr>
            <w:r w:rsidRPr="0049402B">
              <w:t>14 (29.17%)</w:t>
            </w:r>
          </w:p>
        </w:tc>
        <w:tc>
          <w:tcPr>
            <w:tcW w:w="999" w:type="pct"/>
            <w:tcBorders>
              <w:top w:val="single" w:sz="4" w:space="0" w:color="auto"/>
              <w:left w:val="single" w:sz="4" w:space="0" w:color="auto"/>
              <w:bottom w:val="single" w:sz="4" w:space="0" w:color="auto"/>
              <w:right w:val="single" w:sz="4" w:space="0" w:color="auto"/>
            </w:tcBorders>
            <w:hideMark/>
          </w:tcPr>
          <w:p w14:paraId="46154BC4" w14:textId="77777777" w:rsidR="00A967D5" w:rsidRPr="0049402B" w:rsidRDefault="00A967D5" w:rsidP="00E542D5">
            <w:pPr>
              <w:spacing w:before="0" w:after="0"/>
              <w:jc w:val="center"/>
              <w:rPr>
                <w:lang w:val="es-ES"/>
              </w:rPr>
            </w:pPr>
            <w:r w:rsidRPr="0049402B">
              <w:t>3 (6.52%)</w:t>
            </w:r>
          </w:p>
        </w:tc>
        <w:tc>
          <w:tcPr>
            <w:tcW w:w="853" w:type="pct"/>
            <w:tcBorders>
              <w:top w:val="single" w:sz="4" w:space="0" w:color="auto"/>
              <w:left w:val="single" w:sz="4" w:space="0" w:color="auto"/>
              <w:bottom w:val="single" w:sz="4" w:space="0" w:color="auto"/>
              <w:right w:val="single" w:sz="4" w:space="0" w:color="auto"/>
            </w:tcBorders>
            <w:hideMark/>
          </w:tcPr>
          <w:p w14:paraId="3A0889BA" w14:textId="77777777" w:rsidR="00A967D5" w:rsidRPr="0049402B" w:rsidRDefault="00A967D5" w:rsidP="00E542D5">
            <w:pPr>
              <w:spacing w:before="0" w:after="0"/>
              <w:jc w:val="center"/>
              <w:rPr>
                <w:lang w:val="es-CO"/>
              </w:rPr>
            </w:pPr>
            <w:r w:rsidRPr="0049402B">
              <w:t>0.0044</w:t>
            </w:r>
          </w:p>
        </w:tc>
      </w:tr>
      <w:tr w:rsidR="00A967D5" w14:paraId="6184A689"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17398AB6" w14:textId="77777777" w:rsidR="00A967D5" w:rsidRPr="0049402B" w:rsidRDefault="00A967D5" w:rsidP="00E542D5">
            <w:pPr>
              <w:spacing w:before="0" w:after="0"/>
              <w:rPr>
                <w:b/>
                <w:bCs/>
              </w:rPr>
            </w:pPr>
            <w:r w:rsidRPr="0049402B">
              <w:rPr>
                <w:b/>
                <w:bCs/>
              </w:rPr>
              <w:t>Premature rupture of membranes lasting over 18 hours</w:t>
            </w:r>
          </w:p>
        </w:tc>
        <w:tc>
          <w:tcPr>
            <w:tcW w:w="1021" w:type="pct"/>
            <w:tcBorders>
              <w:top w:val="single" w:sz="4" w:space="0" w:color="auto"/>
              <w:left w:val="single" w:sz="4" w:space="0" w:color="auto"/>
              <w:bottom w:val="single" w:sz="4" w:space="0" w:color="auto"/>
              <w:right w:val="single" w:sz="4" w:space="0" w:color="auto"/>
            </w:tcBorders>
            <w:hideMark/>
          </w:tcPr>
          <w:p w14:paraId="158B1BBF" w14:textId="77777777" w:rsidR="00A967D5" w:rsidRPr="0049402B" w:rsidRDefault="00A967D5" w:rsidP="00E542D5">
            <w:pPr>
              <w:spacing w:before="0" w:after="0"/>
              <w:jc w:val="center"/>
            </w:pPr>
            <w:r w:rsidRPr="0049402B">
              <w:t>31 (32.98%)</w:t>
            </w:r>
          </w:p>
        </w:tc>
        <w:tc>
          <w:tcPr>
            <w:tcW w:w="1032" w:type="pct"/>
            <w:tcBorders>
              <w:top w:val="single" w:sz="4" w:space="0" w:color="auto"/>
              <w:left w:val="single" w:sz="4" w:space="0" w:color="auto"/>
              <w:bottom w:val="single" w:sz="4" w:space="0" w:color="auto"/>
              <w:right w:val="single" w:sz="4" w:space="0" w:color="auto"/>
            </w:tcBorders>
            <w:hideMark/>
          </w:tcPr>
          <w:p w14:paraId="14B427A3" w14:textId="77777777" w:rsidR="00A967D5" w:rsidRPr="0049402B" w:rsidRDefault="00A967D5" w:rsidP="00E542D5">
            <w:pPr>
              <w:spacing w:before="0" w:after="0"/>
              <w:jc w:val="center"/>
            </w:pPr>
            <w:r w:rsidRPr="0049402B">
              <w:t>9 (18.75%)</w:t>
            </w:r>
          </w:p>
        </w:tc>
        <w:tc>
          <w:tcPr>
            <w:tcW w:w="999" w:type="pct"/>
            <w:tcBorders>
              <w:top w:val="single" w:sz="4" w:space="0" w:color="auto"/>
              <w:left w:val="single" w:sz="4" w:space="0" w:color="auto"/>
              <w:bottom w:val="single" w:sz="4" w:space="0" w:color="auto"/>
              <w:right w:val="single" w:sz="4" w:space="0" w:color="auto"/>
            </w:tcBorders>
            <w:hideMark/>
          </w:tcPr>
          <w:p w14:paraId="5E6142FF" w14:textId="77777777" w:rsidR="00A967D5" w:rsidRPr="0049402B" w:rsidRDefault="00A967D5" w:rsidP="00E542D5">
            <w:pPr>
              <w:spacing w:before="0" w:after="0"/>
              <w:jc w:val="center"/>
            </w:pPr>
            <w:r w:rsidRPr="0049402B">
              <w:t>22 (47.83%)</w:t>
            </w:r>
          </w:p>
        </w:tc>
        <w:tc>
          <w:tcPr>
            <w:tcW w:w="853" w:type="pct"/>
            <w:tcBorders>
              <w:top w:val="single" w:sz="4" w:space="0" w:color="auto"/>
              <w:left w:val="single" w:sz="4" w:space="0" w:color="auto"/>
              <w:bottom w:val="single" w:sz="4" w:space="0" w:color="auto"/>
              <w:right w:val="single" w:sz="4" w:space="0" w:color="auto"/>
            </w:tcBorders>
          </w:tcPr>
          <w:p w14:paraId="545425F9" w14:textId="77777777" w:rsidR="00A967D5" w:rsidRPr="0049402B" w:rsidRDefault="00A967D5" w:rsidP="00E542D5">
            <w:pPr>
              <w:spacing w:before="0" w:after="0"/>
              <w:jc w:val="center"/>
            </w:pPr>
            <w:r w:rsidRPr="0049402B">
              <w:t>0.0027</w:t>
            </w:r>
          </w:p>
          <w:p w14:paraId="3B41AC88" w14:textId="77777777" w:rsidR="00A967D5" w:rsidRPr="0049402B" w:rsidRDefault="00A967D5" w:rsidP="00E542D5">
            <w:pPr>
              <w:spacing w:before="0" w:after="0"/>
              <w:jc w:val="center"/>
            </w:pPr>
          </w:p>
        </w:tc>
      </w:tr>
      <w:tr w:rsidR="00A967D5" w14:paraId="3753BAF4"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38F5BA66" w14:textId="77777777" w:rsidR="00A967D5" w:rsidRPr="0049402B" w:rsidRDefault="00A967D5" w:rsidP="00E542D5">
            <w:pPr>
              <w:spacing w:before="0" w:after="0"/>
              <w:rPr>
                <w:b/>
                <w:bCs/>
              </w:rPr>
            </w:pPr>
            <w:r w:rsidRPr="0049402B">
              <w:rPr>
                <w:b/>
                <w:bCs/>
              </w:rPr>
              <w:t>Bronchopulmonary dysplasia</w:t>
            </w:r>
          </w:p>
        </w:tc>
        <w:tc>
          <w:tcPr>
            <w:tcW w:w="1021" w:type="pct"/>
            <w:tcBorders>
              <w:top w:val="single" w:sz="4" w:space="0" w:color="auto"/>
              <w:left w:val="single" w:sz="4" w:space="0" w:color="auto"/>
              <w:bottom w:val="single" w:sz="4" w:space="0" w:color="auto"/>
              <w:right w:val="single" w:sz="4" w:space="0" w:color="auto"/>
            </w:tcBorders>
            <w:hideMark/>
          </w:tcPr>
          <w:p w14:paraId="45FCB2B9" w14:textId="77777777" w:rsidR="00A967D5" w:rsidRPr="0049402B" w:rsidRDefault="00A967D5" w:rsidP="00E542D5">
            <w:pPr>
              <w:spacing w:before="0" w:after="0"/>
              <w:jc w:val="center"/>
            </w:pPr>
            <w:r w:rsidRPr="0049402B">
              <w:t>14 (14.89%)</w:t>
            </w:r>
          </w:p>
        </w:tc>
        <w:tc>
          <w:tcPr>
            <w:tcW w:w="1032" w:type="pct"/>
            <w:tcBorders>
              <w:top w:val="single" w:sz="4" w:space="0" w:color="auto"/>
              <w:left w:val="single" w:sz="4" w:space="0" w:color="auto"/>
              <w:bottom w:val="single" w:sz="4" w:space="0" w:color="auto"/>
              <w:right w:val="single" w:sz="4" w:space="0" w:color="auto"/>
            </w:tcBorders>
            <w:hideMark/>
          </w:tcPr>
          <w:p w14:paraId="0A612A9E" w14:textId="77777777" w:rsidR="00A967D5" w:rsidRPr="0049402B" w:rsidRDefault="00A967D5" w:rsidP="00E542D5">
            <w:pPr>
              <w:spacing w:before="0" w:after="0"/>
              <w:jc w:val="center"/>
            </w:pPr>
            <w:r w:rsidRPr="0049402B">
              <w:t>11 (22.92%)</w:t>
            </w:r>
          </w:p>
        </w:tc>
        <w:tc>
          <w:tcPr>
            <w:tcW w:w="999" w:type="pct"/>
            <w:tcBorders>
              <w:top w:val="single" w:sz="4" w:space="0" w:color="auto"/>
              <w:left w:val="single" w:sz="4" w:space="0" w:color="auto"/>
              <w:bottom w:val="single" w:sz="4" w:space="0" w:color="auto"/>
              <w:right w:val="single" w:sz="4" w:space="0" w:color="auto"/>
            </w:tcBorders>
            <w:hideMark/>
          </w:tcPr>
          <w:p w14:paraId="4CACA6D8" w14:textId="77777777" w:rsidR="00A967D5" w:rsidRPr="0049402B" w:rsidRDefault="00A967D5" w:rsidP="00E542D5">
            <w:pPr>
              <w:spacing w:before="0" w:after="0"/>
              <w:jc w:val="center"/>
            </w:pPr>
            <w:r w:rsidRPr="0049402B">
              <w:t>3 (6.52%)</w:t>
            </w:r>
          </w:p>
        </w:tc>
        <w:tc>
          <w:tcPr>
            <w:tcW w:w="853" w:type="pct"/>
            <w:tcBorders>
              <w:top w:val="single" w:sz="4" w:space="0" w:color="auto"/>
              <w:left w:val="single" w:sz="4" w:space="0" w:color="auto"/>
              <w:bottom w:val="single" w:sz="4" w:space="0" w:color="auto"/>
              <w:right w:val="single" w:sz="4" w:space="0" w:color="auto"/>
            </w:tcBorders>
            <w:hideMark/>
          </w:tcPr>
          <w:p w14:paraId="16899632" w14:textId="77777777" w:rsidR="00A967D5" w:rsidRPr="0049402B" w:rsidRDefault="00A967D5" w:rsidP="00E542D5">
            <w:pPr>
              <w:spacing w:before="0" w:after="0"/>
              <w:jc w:val="center"/>
            </w:pPr>
            <w:r w:rsidRPr="0049402B">
              <w:t>0.0256</w:t>
            </w:r>
          </w:p>
        </w:tc>
      </w:tr>
      <w:tr w:rsidR="00A967D5" w14:paraId="1B25C696"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223804B9" w14:textId="77777777" w:rsidR="00A967D5" w:rsidRPr="0049402B" w:rsidRDefault="00A967D5" w:rsidP="00E542D5">
            <w:pPr>
              <w:spacing w:before="0" w:after="0"/>
              <w:rPr>
                <w:b/>
                <w:bCs/>
              </w:rPr>
            </w:pPr>
            <w:r w:rsidRPr="0049402B">
              <w:rPr>
                <w:b/>
                <w:bCs/>
              </w:rPr>
              <w:t>Necrotizing enterocolitis</w:t>
            </w:r>
          </w:p>
        </w:tc>
        <w:tc>
          <w:tcPr>
            <w:tcW w:w="1021" w:type="pct"/>
            <w:tcBorders>
              <w:top w:val="single" w:sz="4" w:space="0" w:color="auto"/>
              <w:left w:val="single" w:sz="4" w:space="0" w:color="auto"/>
              <w:bottom w:val="single" w:sz="4" w:space="0" w:color="auto"/>
              <w:right w:val="single" w:sz="4" w:space="0" w:color="auto"/>
            </w:tcBorders>
            <w:hideMark/>
          </w:tcPr>
          <w:p w14:paraId="5A19FE21" w14:textId="77777777" w:rsidR="00A967D5" w:rsidRPr="0049402B" w:rsidRDefault="00A967D5" w:rsidP="00E542D5">
            <w:pPr>
              <w:spacing w:before="0" w:after="0"/>
              <w:jc w:val="center"/>
            </w:pPr>
            <w:r w:rsidRPr="0049402B">
              <w:t>25 (26.60%)</w:t>
            </w:r>
          </w:p>
        </w:tc>
        <w:tc>
          <w:tcPr>
            <w:tcW w:w="1032" w:type="pct"/>
            <w:tcBorders>
              <w:top w:val="single" w:sz="4" w:space="0" w:color="auto"/>
              <w:left w:val="single" w:sz="4" w:space="0" w:color="auto"/>
              <w:bottom w:val="single" w:sz="4" w:space="0" w:color="auto"/>
              <w:right w:val="single" w:sz="4" w:space="0" w:color="auto"/>
            </w:tcBorders>
            <w:hideMark/>
          </w:tcPr>
          <w:p w14:paraId="3237186C" w14:textId="77777777" w:rsidR="00A967D5" w:rsidRPr="0049402B" w:rsidRDefault="00A967D5" w:rsidP="00E542D5">
            <w:pPr>
              <w:spacing w:before="0" w:after="0"/>
              <w:jc w:val="center"/>
            </w:pPr>
            <w:r w:rsidRPr="0049402B">
              <w:t>25 (52.08%)</w:t>
            </w:r>
          </w:p>
        </w:tc>
        <w:tc>
          <w:tcPr>
            <w:tcW w:w="999" w:type="pct"/>
            <w:tcBorders>
              <w:top w:val="single" w:sz="4" w:space="0" w:color="auto"/>
              <w:left w:val="single" w:sz="4" w:space="0" w:color="auto"/>
              <w:bottom w:val="single" w:sz="4" w:space="0" w:color="auto"/>
              <w:right w:val="single" w:sz="4" w:space="0" w:color="auto"/>
            </w:tcBorders>
            <w:hideMark/>
          </w:tcPr>
          <w:p w14:paraId="06B0B850" w14:textId="77777777" w:rsidR="00A967D5" w:rsidRPr="0049402B" w:rsidRDefault="00A967D5" w:rsidP="00E542D5">
            <w:pPr>
              <w:spacing w:before="0" w:after="0"/>
              <w:jc w:val="center"/>
            </w:pPr>
            <w:r w:rsidRPr="0049402B">
              <w:t>0 (0.00%)</w:t>
            </w:r>
          </w:p>
        </w:tc>
        <w:tc>
          <w:tcPr>
            <w:tcW w:w="853" w:type="pct"/>
            <w:tcBorders>
              <w:top w:val="single" w:sz="4" w:space="0" w:color="auto"/>
              <w:left w:val="single" w:sz="4" w:space="0" w:color="auto"/>
              <w:bottom w:val="single" w:sz="4" w:space="0" w:color="auto"/>
              <w:right w:val="single" w:sz="4" w:space="0" w:color="auto"/>
            </w:tcBorders>
            <w:hideMark/>
          </w:tcPr>
          <w:p w14:paraId="449B76B5" w14:textId="77777777" w:rsidR="00A967D5" w:rsidRPr="0049402B" w:rsidRDefault="00A967D5" w:rsidP="00E542D5">
            <w:pPr>
              <w:spacing w:before="0" w:after="0"/>
              <w:jc w:val="center"/>
            </w:pPr>
            <w:r w:rsidRPr="0049402B">
              <w:t>&lt;0.0001</w:t>
            </w:r>
          </w:p>
        </w:tc>
      </w:tr>
      <w:tr w:rsidR="00A967D5" w14:paraId="10423308" w14:textId="77777777" w:rsidTr="00E542D5">
        <w:trPr>
          <w:jc w:val="center"/>
        </w:trPr>
        <w:tc>
          <w:tcPr>
            <w:tcW w:w="1095" w:type="pct"/>
            <w:tcBorders>
              <w:top w:val="single" w:sz="4" w:space="0" w:color="auto"/>
              <w:left w:val="single" w:sz="4" w:space="0" w:color="auto"/>
              <w:bottom w:val="single" w:sz="4" w:space="0" w:color="auto"/>
              <w:right w:val="single" w:sz="4" w:space="0" w:color="auto"/>
            </w:tcBorders>
            <w:hideMark/>
          </w:tcPr>
          <w:p w14:paraId="13403140" w14:textId="77777777" w:rsidR="00A967D5" w:rsidRPr="0049402B" w:rsidRDefault="00A967D5" w:rsidP="00E542D5">
            <w:pPr>
              <w:spacing w:before="0" w:after="0"/>
              <w:rPr>
                <w:b/>
                <w:bCs/>
              </w:rPr>
            </w:pPr>
            <w:r w:rsidRPr="0049402B">
              <w:rPr>
                <w:b/>
                <w:bCs/>
              </w:rPr>
              <w:t>Preeclampsia history</w:t>
            </w:r>
          </w:p>
        </w:tc>
        <w:tc>
          <w:tcPr>
            <w:tcW w:w="1021" w:type="pct"/>
            <w:tcBorders>
              <w:top w:val="single" w:sz="4" w:space="0" w:color="auto"/>
              <w:left w:val="single" w:sz="4" w:space="0" w:color="auto"/>
              <w:bottom w:val="single" w:sz="4" w:space="0" w:color="auto"/>
              <w:right w:val="single" w:sz="4" w:space="0" w:color="auto"/>
            </w:tcBorders>
            <w:hideMark/>
          </w:tcPr>
          <w:p w14:paraId="20AE260A" w14:textId="77777777" w:rsidR="00A967D5" w:rsidRPr="0049402B" w:rsidRDefault="00A967D5" w:rsidP="00E542D5">
            <w:pPr>
              <w:spacing w:before="0" w:after="0"/>
              <w:jc w:val="center"/>
            </w:pPr>
            <w:r w:rsidRPr="0049402B">
              <w:t>59 (62.77%)</w:t>
            </w:r>
          </w:p>
        </w:tc>
        <w:tc>
          <w:tcPr>
            <w:tcW w:w="1032" w:type="pct"/>
            <w:tcBorders>
              <w:top w:val="single" w:sz="4" w:space="0" w:color="auto"/>
              <w:left w:val="single" w:sz="4" w:space="0" w:color="auto"/>
              <w:bottom w:val="single" w:sz="4" w:space="0" w:color="auto"/>
              <w:right w:val="single" w:sz="4" w:space="0" w:color="auto"/>
            </w:tcBorders>
            <w:hideMark/>
          </w:tcPr>
          <w:p w14:paraId="53F6138A" w14:textId="77777777" w:rsidR="00A967D5" w:rsidRPr="0049402B" w:rsidRDefault="00A967D5" w:rsidP="00E542D5">
            <w:pPr>
              <w:spacing w:before="0" w:after="0"/>
              <w:jc w:val="center"/>
            </w:pPr>
            <w:r w:rsidRPr="0049402B">
              <w:t>28 (58.33%)</w:t>
            </w:r>
          </w:p>
        </w:tc>
        <w:tc>
          <w:tcPr>
            <w:tcW w:w="999" w:type="pct"/>
            <w:tcBorders>
              <w:top w:val="single" w:sz="4" w:space="0" w:color="auto"/>
              <w:left w:val="single" w:sz="4" w:space="0" w:color="auto"/>
              <w:bottom w:val="single" w:sz="4" w:space="0" w:color="auto"/>
              <w:right w:val="single" w:sz="4" w:space="0" w:color="auto"/>
            </w:tcBorders>
            <w:hideMark/>
          </w:tcPr>
          <w:p w14:paraId="22588108" w14:textId="77777777" w:rsidR="00A967D5" w:rsidRPr="0049402B" w:rsidRDefault="00A967D5" w:rsidP="00E542D5">
            <w:pPr>
              <w:spacing w:before="0" w:after="0"/>
              <w:jc w:val="center"/>
            </w:pPr>
            <w:r w:rsidRPr="0049402B">
              <w:t>31 (67.39%)</w:t>
            </w:r>
          </w:p>
        </w:tc>
        <w:tc>
          <w:tcPr>
            <w:tcW w:w="853" w:type="pct"/>
            <w:tcBorders>
              <w:top w:val="single" w:sz="4" w:space="0" w:color="auto"/>
              <w:left w:val="single" w:sz="4" w:space="0" w:color="auto"/>
              <w:bottom w:val="single" w:sz="4" w:space="0" w:color="auto"/>
              <w:right w:val="single" w:sz="4" w:space="0" w:color="auto"/>
            </w:tcBorders>
            <w:hideMark/>
          </w:tcPr>
          <w:p w14:paraId="385AD8F6" w14:textId="77777777" w:rsidR="00A967D5" w:rsidRPr="0049402B" w:rsidRDefault="00A967D5" w:rsidP="00E542D5">
            <w:pPr>
              <w:spacing w:before="0" w:after="0"/>
              <w:jc w:val="center"/>
            </w:pPr>
            <w:r w:rsidRPr="0049402B">
              <w:t>0.3638</w:t>
            </w:r>
          </w:p>
        </w:tc>
      </w:tr>
    </w:tbl>
    <w:p w14:paraId="56AC6F54" w14:textId="77777777" w:rsidR="00A967D5" w:rsidRDefault="00A967D5" w:rsidP="00A967D5">
      <w:pPr>
        <w:pStyle w:val="NormalWeb"/>
        <w:spacing w:before="0" w:beforeAutospacing="0" w:after="0" w:afterAutospacing="0"/>
        <w:jc w:val="both"/>
      </w:pPr>
    </w:p>
    <w:p w14:paraId="3037D6EA" w14:textId="77777777" w:rsidR="00A967D5" w:rsidRPr="00057655" w:rsidRDefault="00A967D5" w:rsidP="00A967D5">
      <w:pPr>
        <w:pStyle w:val="NormalWeb"/>
        <w:spacing w:before="0" w:beforeAutospacing="0" w:after="0" w:afterAutospacing="0"/>
        <w:jc w:val="both"/>
        <w:rPr>
          <w:b/>
          <w:bCs/>
        </w:rPr>
      </w:pPr>
      <w:r w:rsidRPr="00057655">
        <w:rPr>
          <w:b/>
          <w:bCs/>
        </w:rPr>
        <w:t>Footnotes</w:t>
      </w:r>
    </w:p>
    <w:p w14:paraId="693C89F9" w14:textId="77777777" w:rsidR="00A967D5" w:rsidRDefault="00A967D5" w:rsidP="00A967D5">
      <w:pPr>
        <w:pStyle w:val="NormalWeb"/>
        <w:numPr>
          <w:ilvl w:val="0"/>
          <w:numId w:val="2"/>
        </w:numPr>
        <w:spacing w:before="0" w:beforeAutospacing="0" w:after="0" w:afterAutospacing="0"/>
        <w:jc w:val="both"/>
      </w:pPr>
      <w:r>
        <w:t>Data are presented as the n (%) or mean ± standard deviation.</w:t>
      </w:r>
    </w:p>
    <w:p w14:paraId="528613C9" w14:textId="77777777" w:rsidR="00A967D5" w:rsidRDefault="00A967D5" w:rsidP="00A967D5">
      <w:pPr>
        <w:pStyle w:val="NormalWeb"/>
        <w:numPr>
          <w:ilvl w:val="0"/>
          <w:numId w:val="2"/>
        </w:numPr>
        <w:spacing w:before="0" w:beforeAutospacing="0" w:after="0" w:afterAutospacing="0"/>
        <w:jc w:val="both"/>
      </w:pPr>
      <w:r>
        <w:t>p values compare the prophylaxis cohort with the historical surveillance-only cohort.</w:t>
      </w:r>
    </w:p>
    <w:p w14:paraId="7CB1E94C" w14:textId="77777777" w:rsidR="00A967D5" w:rsidRDefault="00A967D5" w:rsidP="00A967D5">
      <w:pPr>
        <w:pStyle w:val="NormalWeb"/>
        <w:numPr>
          <w:ilvl w:val="0"/>
          <w:numId w:val="2"/>
        </w:numPr>
        <w:spacing w:before="0" w:beforeAutospacing="0" w:after="0" w:afterAutospacing="0"/>
        <w:jc w:val="both"/>
      </w:pPr>
      <w:r>
        <w:t>The percentages may not total 100.00% because of rounding.</w:t>
      </w:r>
    </w:p>
    <w:p w14:paraId="504FFC4C" w14:textId="77777777" w:rsidR="00A967D5" w:rsidRDefault="00A967D5" w:rsidP="00A967D5">
      <w:pPr>
        <w:spacing w:before="100" w:beforeAutospacing="1" w:after="100" w:afterAutospacing="1"/>
        <w:jc w:val="both"/>
        <w:rPr>
          <w:rFonts w:eastAsia="Times New Roman" w:cs="Times New Roman"/>
          <w:color w:val="000000"/>
          <w:szCs w:val="24"/>
        </w:rPr>
      </w:pPr>
    </w:p>
    <w:p w14:paraId="278EDAD5" w14:textId="77777777" w:rsidR="00A967D5" w:rsidRDefault="00A967D5" w:rsidP="00A967D5">
      <w:pPr>
        <w:spacing w:before="100" w:beforeAutospacing="1" w:after="100" w:afterAutospacing="1"/>
        <w:jc w:val="both"/>
        <w:rPr>
          <w:rFonts w:eastAsia="Times New Roman" w:cs="Times New Roman"/>
          <w:color w:val="000000"/>
          <w:szCs w:val="24"/>
        </w:rPr>
      </w:pPr>
    </w:p>
    <w:tbl>
      <w:tblPr>
        <w:tblStyle w:val="TableGrid"/>
        <w:tblW w:w="5000" w:type="pct"/>
        <w:jc w:val="center"/>
        <w:tblLook w:val="04A0" w:firstRow="1" w:lastRow="0" w:firstColumn="1" w:lastColumn="0" w:noHBand="0" w:noVBand="1"/>
      </w:tblPr>
      <w:tblGrid>
        <w:gridCol w:w="1954"/>
        <w:gridCol w:w="1954"/>
        <w:gridCol w:w="1954"/>
        <w:gridCol w:w="1954"/>
        <w:gridCol w:w="1954"/>
      </w:tblGrid>
      <w:tr w:rsidR="00A967D5" w14:paraId="144AB1E4" w14:textId="77777777" w:rsidTr="00E542D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2E6DF472" w14:textId="77777777" w:rsidR="00A967D5" w:rsidRPr="0049402B" w:rsidRDefault="00A967D5" w:rsidP="00E542D5">
            <w:pPr>
              <w:spacing w:before="0" w:after="0"/>
              <w:jc w:val="both"/>
              <w:rPr>
                <w:b/>
                <w:bCs/>
                <w:szCs w:val="20"/>
              </w:rPr>
            </w:pPr>
            <w:r w:rsidRPr="0049402B">
              <w:rPr>
                <w:b/>
                <w:bCs/>
                <w:szCs w:val="20"/>
              </w:rPr>
              <w:t>Table 2</w:t>
            </w:r>
          </w:p>
          <w:p w14:paraId="4B4795CD" w14:textId="77777777" w:rsidR="00A967D5" w:rsidRPr="0049402B" w:rsidRDefault="00A967D5" w:rsidP="00E542D5">
            <w:pPr>
              <w:spacing w:before="0" w:after="0"/>
              <w:jc w:val="both"/>
              <w:rPr>
                <w:szCs w:val="20"/>
              </w:rPr>
            </w:pPr>
            <w:r w:rsidRPr="0049402B">
              <w:rPr>
                <w:b/>
                <w:bCs/>
                <w:szCs w:val="20"/>
              </w:rPr>
              <w:lastRenderedPageBreak/>
              <w:t>Comparison of outcomes between the ketorolac-treated cohort and the historical surveillance-only cohort</w:t>
            </w:r>
          </w:p>
        </w:tc>
      </w:tr>
      <w:tr w:rsidR="00A967D5" w14:paraId="482F35B5" w14:textId="77777777" w:rsidTr="00E542D5">
        <w:trPr>
          <w:jc w:val="center"/>
        </w:trPr>
        <w:tc>
          <w:tcPr>
            <w:tcW w:w="1000" w:type="pct"/>
            <w:tcBorders>
              <w:top w:val="single" w:sz="4" w:space="0" w:color="auto"/>
              <w:left w:val="single" w:sz="4" w:space="0" w:color="auto"/>
              <w:bottom w:val="single" w:sz="4" w:space="0" w:color="auto"/>
              <w:right w:val="single" w:sz="4" w:space="0" w:color="auto"/>
            </w:tcBorders>
          </w:tcPr>
          <w:p w14:paraId="10973832" w14:textId="77777777" w:rsidR="00A967D5" w:rsidRPr="0049402B" w:rsidRDefault="00A967D5" w:rsidP="00E542D5">
            <w:pPr>
              <w:spacing w:before="0" w:after="0"/>
              <w:rPr>
                <w:szCs w:val="20"/>
              </w:rPr>
            </w:pPr>
          </w:p>
        </w:tc>
        <w:tc>
          <w:tcPr>
            <w:tcW w:w="1000" w:type="pct"/>
            <w:tcBorders>
              <w:top w:val="single" w:sz="4" w:space="0" w:color="auto"/>
              <w:left w:val="single" w:sz="4" w:space="0" w:color="auto"/>
              <w:bottom w:val="single" w:sz="4" w:space="0" w:color="auto"/>
              <w:right w:val="single" w:sz="4" w:space="0" w:color="auto"/>
            </w:tcBorders>
            <w:hideMark/>
          </w:tcPr>
          <w:p w14:paraId="14538AC4" w14:textId="77777777" w:rsidR="00A967D5" w:rsidRPr="0049402B" w:rsidRDefault="00A967D5" w:rsidP="00E542D5">
            <w:pPr>
              <w:spacing w:before="0" w:after="0"/>
              <w:jc w:val="center"/>
              <w:rPr>
                <w:b/>
                <w:bCs/>
                <w:szCs w:val="20"/>
                <w:lang w:val="es-ES"/>
              </w:rPr>
            </w:pPr>
            <w:r w:rsidRPr="0049402B">
              <w:rPr>
                <w:b/>
                <w:bCs/>
                <w:szCs w:val="20"/>
              </w:rPr>
              <w:t>Overall</w:t>
            </w:r>
          </w:p>
          <w:p w14:paraId="63FF484F" w14:textId="77777777" w:rsidR="00A967D5" w:rsidRPr="0049402B" w:rsidRDefault="00A967D5" w:rsidP="00E542D5">
            <w:pPr>
              <w:spacing w:before="0" w:after="0"/>
              <w:jc w:val="center"/>
              <w:rPr>
                <w:b/>
                <w:bCs/>
                <w:szCs w:val="20"/>
              </w:rPr>
            </w:pPr>
            <w:r w:rsidRPr="0049402B">
              <w:rPr>
                <w:b/>
                <w:bCs/>
                <w:szCs w:val="20"/>
              </w:rPr>
              <w:t>94 (100.00%)</w:t>
            </w:r>
          </w:p>
        </w:tc>
        <w:tc>
          <w:tcPr>
            <w:tcW w:w="1000" w:type="pct"/>
            <w:tcBorders>
              <w:top w:val="single" w:sz="4" w:space="0" w:color="auto"/>
              <w:left w:val="single" w:sz="4" w:space="0" w:color="auto"/>
              <w:bottom w:val="single" w:sz="4" w:space="0" w:color="auto"/>
              <w:right w:val="single" w:sz="4" w:space="0" w:color="auto"/>
            </w:tcBorders>
            <w:hideMark/>
          </w:tcPr>
          <w:p w14:paraId="5385E700" w14:textId="77777777" w:rsidR="00A967D5" w:rsidRPr="0049402B" w:rsidRDefault="00A967D5" w:rsidP="00E542D5">
            <w:pPr>
              <w:spacing w:before="0" w:after="0"/>
              <w:jc w:val="center"/>
              <w:rPr>
                <w:b/>
                <w:bCs/>
                <w:szCs w:val="20"/>
                <w:lang w:val="es-ES"/>
              </w:rPr>
            </w:pPr>
            <w:r w:rsidRPr="0049402B">
              <w:rPr>
                <w:b/>
                <w:bCs/>
                <w:szCs w:val="20"/>
              </w:rPr>
              <w:t>Ketorolac-treated infants</w:t>
            </w:r>
          </w:p>
          <w:p w14:paraId="52FBBED8" w14:textId="77777777" w:rsidR="00A967D5" w:rsidRPr="0049402B" w:rsidRDefault="00A967D5" w:rsidP="00E542D5">
            <w:pPr>
              <w:spacing w:before="0" w:after="0"/>
              <w:jc w:val="center"/>
              <w:rPr>
                <w:b/>
                <w:bCs/>
                <w:szCs w:val="20"/>
              </w:rPr>
            </w:pPr>
            <w:r w:rsidRPr="0049402B">
              <w:rPr>
                <w:b/>
                <w:bCs/>
                <w:szCs w:val="20"/>
              </w:rPr>
              <w:t>48 (51.06%)</w:t>
            </w:r>
          </w:p>
        </w:tc>
        <w:tc>
          <w:tcPr>
            <w:tcW w:w="1000" w:type="pct"/>
            <w:tcBorders>
              <w:top w:val="single" w:sz="4" w:space="0" w:color="auto"/>
              <w:left w:val="single" w:sz="4" w:space="0" w:color="auto"/>
              <w:bottom w:val="single" w:sz="4" w:space="0" w:color="auto"/>
              <w:right w:val="single" w:sz="4" w:space="0" w:color="auto"/>
            </w:tcBorders>
            <w:hideMark/>
          </w:tcPr>
          <w:p w14:paraId="1ED54820" w14:textId="77777777" w:rsidR="00A967D5" w:rsidRPr="0049402B" w:rsidRDefault="00A967D5" w:rsidP="00E542D5">
            <w:pPr>
              <w:spacing w:before="0" w:after="0"/>
              <w:jc w:val="center"/>
              <w:rPr>
                <w:b/>
                <w:bCs/>
                <w:szCs w:val="20"/>
                <w:lang w:val="es-ES"/>
              </w:rPr>
            </w:pPr>
            <w:r w:rsidRPr="0049402B">
              <w:rPr>
                <w:b/>
                <w:bCs/>
                <w:szCs w:val="20"/>
              </w:rPr>
              <w:t>Nontreated infants</w:t>
            </w:r>
          </w:p>
          <w:p w14:paraId="773CBD6D" w14:textId="77777777" w:rsidR="00A967D5" w:rsidRPr="0049402B" w:rsidRDefault="00A967D5" w:rsidP="00E542D5">
            <w:pPr>
              <w:spacing w:before="0" w:after="0"/>
              <w:jc w:val="center"/>
              <w:rPr>
                <w:b/>
                <w:bCs/>
                <w:szCs w:val="20"/>
              </w:rPr>
            </w:pPr>
            <w:r w:rsidRPr="0049402B">
              <w:rPr>
                <w:b/>
                <w:bCs/>
                <w:szCs w:val="20"/>
              </w:rPr>
              <w:t>46 (48.94%)</w:t>
            </w:r>
          </w:p>
        </w:tc>
        <w:tc>
          <w:tcPr>
            <w:tcW w:w="1000" w:type="pct"/>
            <w:tcBorders>
              <w:top w:val="single" w:sz="4" w:space="0" w:color="auto"/>
              <w:left w:val="single" w:sz="4" w:space="0" w:color="auto"/>
              <w:bottom w:val="single" w:sz="4" w:space="0" w:color="auto"/>
              <w:right w:val="single" w:sz="4" w:space="0" w:color="auto"/>
            </w:tcBorders>
            <w:hideMark/>
          </w:tcPr>
          <w:p w14:paraId="703BFB93" w14:textId="77777777" w:rsidR="00A967D5" w:rsidRPr="0049402B" w:rsidRDefault="00A967D5" w:rsidP="00E542D5">
            <w:pPr>
              <w:spacing w:before="0" w:after="0"/>
              <w:jc w:val="center"/>
              <w:rPr>
                <w:b/>
                <w:bCs/>
                <w:szCs w:val="20"/>
              </w:rPr>
            </w:pPr>
            <w:r w:rsidRPr="0049402B">
              <w:rPr>
                <w:b/>
                <w:bCs/>
                <w:szCs w:val="20"/>
              </w:rPr>
              <w:t>p</w:t>
            </w:r>
          </w:p>
        </w:tc>
      </w:tr>
      <w:tr w:rsidR="00A967D5" w14:paraId="6907F853" w14:textId="77777777" w:rsidTr="00E542D5">
        <w:trPr>
          <w:jc w:val="center"/>
        </w:trPr>
        <w:tc>
          <w:tcPr>
            <w:tcW w:w="1000" w:type="pct"/>
            <w:tcBorders>
              <w:top w:val="single" w:sz="4" w:space="0" w:color="auto"/>
              <w:left w:val="single" w:sz="4" w:space="0" w:color="auto"/>
              <w:bottom w:val="single" w:sz="4" w:space="0" w:color="auto"/>
              <w:right w:val="single" w:sz="4" w:space="0" w:color="auto"/>
            </w:tcBorders>
            <w:hideMark/>
          </w:tcPr>
          <w:p w14:paraId="562C2B9B" w14:textId="77777777" w:rsidR="00A967D5" w:rsidRPr="0049402B" w:rsidRDefault="00A967D5" w:rsidP="00E542D5">
            <w:pPr>
              <w:spacing w:before="0" w:after="0"/>
              <w:rPr>
                <w:b/>
                <w:bCs/>
                <w:szCs w:val="20"/>
              </w:rPr>
            </w:pPr>
            <w:r w:rsidRPr="0049402B">
              <w:rPr>
                <w:b/>
                <w:bCs/>
                <w:szCs w:val="20"/>
              </w:rPr>
              <w:t>Progression to treatment-requiring disease</w:t>
            </w:r>
          </w:p>
        </w:tc>
        <w:tc>
          <w:tcPr>
            <w:tcW w:w="1000" w:type="pct"/>
            <w:tcBorders>
              <w:top w:val="single" w:sz="4" w:space="0" w:color="auto"/>
              <w:left w:val="single" w:sz="4" w:space="0" w:color="auto"/>
              <w:bottom w:val="single" w:sz="4" w:space="0" w:color="auto"/>
              <w:right w:val="single" w:sz="4" w:space="0" w:color="auto"/>
            </w:tcBorders>
            <w:hideMark/>
          </w:tcPr>
          <w:p w14:paraId="7791C4C1" w14:textId="77777777" w:rsidR="00A967D5" w:rsidRPr="0049402B" w:rsidRDefault="00A967D5" w:rsidP="00E542D5">
            <w:pPr>
              <w:spacing w:before="0" w:after="0"/>
              <w:jc w:val="center"/>
              <w:rPr>
                <w:szCs w:val="20"/>
              </w:rPr>
            </w:pPr>
            <w:r w:rsidRPr="0049402B">
              <w:rPr>
                <w:szCs w:val="20"/>
              </w:rPr>
              <w:t>31 (32.98%)</w:t>
            </w:r>
          </w:p>
        </w:tc>
        <w:tc>
          <w:tcPr>
            <w:tcW w:w="1000" w:type="pct"/>
            <w:tcBorders>
              <w:top w:val="single" w:sz="4" w:space="0" w:color="auto"/>
              <w:left w:val="single" w:sz="4" w:space="0" w:color="auto"/>
              <w:bottom w:val="single" w:sz="4" w:space="0" w:color="auto"/>
              <w:right w:val="single" w:sz="4" w:space="0" w:color="auto"/>
            </w:tcBorders>
            <w:hideMark/>
          </w:tcPr>
          <w:p w14:paraId="2E360C16" w14:textId="77777777" w:rsidR="00A967D5" w:rsidRPr="0049402B" w:rsidRDefault="00A967D5" w:rsidP="00E542D5">
            <w:pPr>
              <w:spacing w:before="0" w:after="0"/>
              <w:jc w:val="center"/>
              <w:rPr>
                <w:szCs w:val="20"/>
              </w:rPr>
            </w:pPr>
            <w:r w:rsidRPr="0049402B">
              <w:rPr>
                <w:szCs w:val="20"/>
              </w:rPr>
              <w:t>10 (20.83%)</w:t>
            </w:r>
          </w:p>
        </w:tc>
        <w:tc>
          <w:tcPr>
            <w:tcW w:w="1000" w:type="pct"/>
            <w:tcBorders>
              <w:top w:val="single" w:sz="4" w:space="0" w:color="auto"/>
              <w:left w:val="single" w:sz="4" w:space="0" w:color="auto"/>
              <w:bottom w:val="single" w:sz="4" w:space="0" w:color="auto"/>
              <w:right w:val="single" w:sz="4" w:space="0" w:color="auto"/>
            </w:tcBorders>
            <w:hideMark/>
          </w:tcPr>
          <w:p w14:paraId="6A7A7817" w14:textId="77777777" w:rsidR="00A967D5" w:rsidRPr="0049402B" w:rsidRDefault="00A967D5" w:rsidP="00E542D5">
            <w:pPr>
              <w:spacing w:before="0" w:after="0"/>
              <w:jc w:val="center"/>
              <w:rPr>
                <w:szCs w:val="20"/>
              </w:rPr>
            </w:pPr>
            <w:r w:rsidRPr="0049402B">
              <w:rPr>
                <w:szCs w:val="20"/>
              </w:rPr>
              <w:t>21 (45.65%)</w:t>
            </w:r>
          </w:p>
        </w:tc>
        <w:tc>
          <w:tcPr>
            <w:tcW w:w="1000" w:type="pct"/>
            <w:tcBorders>
              <w:top w:val="single" w:sz="4" w:space="0" w:color="auto"/>
              <w:left w:val="single" w:sz="4" w:space="0" w:color="auto"/>
              <w:bottom w:val="single" w:sz="4" w:space="0" w:color="auto"/>
              <w:right w:val="single" w:sz="4" w:space="0" w:color="auto"/>
            </w:tcBorders>
            <w:hideMark/>
          </w:tcPr>
          <w:p w14:paraId="775DEADC" w14:textId="77777777" w:rsidR="00A967D5" w:rsidRPr="0049402B" w:rsidRDefault="00A967D5" w:rsidP="00E542D5">
            <w:pPr>
              <w:spacing w:before="0" w:after="0"/>
              <w:jc w:val="center"/>
              <w:rPr>
                <w:szCs w:val="20"/>
              </w:rPr>
            </w:pPr>
            <w:r w:rsidRPr="0049402B">
              <w:rPr>
                <w:szCs w:val="20"/>
              </w:rPr>
              <w:t>0.0105</w:t>
            </w:r>
          </w:p>
        </w:tc>
      </w:tr>
      <w:tr w:rsidR="00A967D5" w14:paraId="208154FA" w14:textId="77777777" w:rsidTr="00E542D5">
        <w:trPr>
          <w:jc w:val="center"/>
        </w:trPr>
        <w:tc>
          <w:tcPr>
            <w:tcW w:w="1000" w:type="pct"/>
            <w:tcBorders>
              <w:top w:val="single" w:sz="4" w:space="0" w:color="auto"/>
              <w:left w:val="single" w:sz="4" w:space="0" w:color="auto"/>
              <w:bottom w:val="single" w:sz="4" w:space="0" w:color="auto"/>
              <w:right w:val="single" w:sz="4" w:space="0" w:color="auto"/>
            </w:tcBorders>
            <w:hideMark/>
          </w:tcPr>
          <w:p w14:paraId="71CE7279" w14:textId="77777777" w:rsidR="00A967D5" w:rsidRPr="0049402B" w:rsidRDefault="00A967D5" w:rsidP="00E542D5">
            <w:pPr>
              <w:spacing w:before="0" w:after="0"/>
              <w:rPr>
                <w:b/>
                <w:bCs/>
                <w:szCs w:val="20"/>
              </w:rPr>
            </w:pPr>
            <w:r w:rsidRPr="0049402B">
              <w:rPr>
                <w:b/>
                <w:bCs/>
                <w:szCs w:val="20"/>
              </w:rPr>
              <w:t>Follow-up visits</w:t>
            </w:r>
          </w:p>
        </w:tc>
        <w:tc>
          <w:tcPr>
            <w:tcW w:w="1000" w:type="pct"/>
            <w:tcBorders>
              <w:top w:val="single" w:sz="4" w:space="0" w:color="auto"/>
              <w:left w:val="single" w:sz="4" w:space="0" w:color="auto"/>
              <w:bottom w:val="single" w:sz="4" w:space="0" w:color="auto"/>
              <w:right w:val="single" w:sz="4" w:space="0" w:color="auto"/>
            </w:tcBorders>
            <w:hideMark/>
          </w:tcPr>
          <w:p w14:paraId="180A827F" w14:textId="77777777" w:rsidR="00A967D5" w:rsidRPr="0049402B" w:rsidRDefault="00A967D5" w:rsidP="00E542D5">
            <w:pPr>
              <w:spacing w:before="0" w:after="0"/>
              <w:jc w:val="center"/>
              <w:rPr>
                <w:szCs w:val="20"/>
              </w:rPr>
            </w:pPr>
            <w:r w:rsidRPr="0049402B">
              <w:rPr>
                <w:szCs w:val="20"/>
              </w:rPr>
              <w:t xml:space="preserve">5.63 </w:t>
            </w:r>
            <w:r w:rsidRPr="0049402B">
              <w:rPr>
                <w:rFonts w:cstheme="minorHAnsi"/>
                <w:szCs w:val="20"/>
              </w:rPr>
              <w:t>± 1.49</w:t>
            </w:r>
          </w:p>
        </w:tc>
        <w:tc>
          <w:tcPr>
            <w:tcW w:w="1000" w:type="pct"/>
            <w:tcBorders>
              <w:top w:val="single" w:sz="4" w:space="0" w:color="auto"/>
              <w:left w:val="single" w:sz="4" w:space="0" w:color="auto"/>
              <w:bottom w:val="single" w:sz="4" w:space="0" w:color="auto"/>
              <w:right w:val="single" w:sz="4" w:space="0" w:color="auto"/>
            </w:tcBorders>
            <w:hideMark/>
          </w:tcPr>
          <w:p w14:paraId="663D0366" w14:textId="77777777" w:rsidR="00A967D5" w:rsidRPr="0049402B" w:rsidRDefault="00A967D5" w:rsidP="00E542D5">
            <w:pPr>
              <w:spacing w:before="0" w:after="0"/>
              <w:jc w:val="center"/>
              <w:rPr>
                <w:szCs w:val="20"/>
              </w:rPr>
            </w:pPr>
            <w:bookmarkStart w:id="0" w:name="_Hlk223466410"/>
            <w:r w:rsidRPr="0049402B">
              <w:rPr>
                <w:szCs w:val="20"/>
              </w:rPr>
              <w:t xml:space="preserve">5.27 </w:t>
            </w:r>
            <w:r w:rsidRPr="0049402B">
              <w:rPr>
                <w:rFonts w:cstheme="minorHAnsi"/>
                <w:szCs w:val="20"/>
              </w:rPr>
              <w:t>± 1.65</w:t>
            </w:r>
            <w:bookmarkEnd w:id="0"/>
          </w:p>
        </w:tc>
        <w:tc>
          <w:tcPr>
            <w:tcW w:w="1000" w:type="pct"/>
            <w:tcBorders>
              <w:top w:val="single" w:sz="4" w:space="0" w:color="auto"/>
              <w:left w:val="single" w:sz="4" w:space="0" w:color="auto"/>
              <w:bottom w:val="single" w:sz="4" w:space="0" w:color="auto"/>
              <w:right w:val="single" w:sz="4" w:space="0" w:color="auto"/>
            </w:tcBorders>
            <w:hideMark/>
          </w:tcPr>
          <w:p w14:paraId="4DB841E9" w14:textId="77777777" w:rsidR="00A967D5" w:rsidRPr="0049402B" w:rsidRDefault="00A967D5" w:rsidP="00E542D5">
            <w:pPr>
              <w:spacing w:before="0" w:after="0"/>
              <w:jc w:val="center"/>
              <w:rPr>
                <w:szCs w:val="20"/>
              </w:rPr>
            </w:pPr>
            <w:bookmarkStart w:id="1" w:name="_Hlk223466425"/>
            <w:r w:rsidRPr="0049402B">
              <w:rPr>
                <w:szCs w:val="20"/>
              </w:rPr>
              <w:t xml:space="preserve">6.02 </w:t>
            </w:r>
            <w:r w:rsidRPr="0049402B">
              <w:rPr>
                <w:rFonts w:cstheme="minorHAnsi"/>
                <w:szCs w:val="20"/>
              </w:rPr>
              <w:t>± 1.20</w:t>
            </w:r>
            <w:bookmarkEnd w:id="1"/>
          </w:p>
        </w:tc>
        <w:tc>
          <w:tcPr>
            <w:tcW w:w="1000" w:type="pct"/>
            <w:tcBorders>
              <w:top w:val="single" w:sz="4" w:space="0" w:color="auto"/>
              <w:left w:val="single" w:sz="4" w:space="0" w:color="auto"/>
              <w:bottom w:val="single" w:sz="4" w:space="0" w:color="auto"/>
              <w:right w:val="single" w:sz="4" w:space="0" w:color="auto"/>
            </w:tcBorders>
            <w:hideMark/>
          </w:tcPr>
          <w:p w14:paraId="30C56A07" w14:textId="77777777" w:rsidR="00A967D5" w:rsidRPr="0049402B" w:rsidRDefault="00A967D5" w:rsidP="00E542D5">
            <w:pPr>
              <w:spacing w:before="0" w:after="0"/>
              <w:jc w:val="center"/>
              <w:rPr>
                <w:szCs w:val="20"/>
              </w:rPr>
            </w:pPr>
            <w:r w:rsidRPr="0049402B">
              <w:rPr>
                <w:szCs w:val="20"/>
              </w:rPr>
              <w:t>0.0026</w:t>
            </w:r>
          </w:p>
        </w:tc>
      </w:tr>
      <w:tr w:rsidR="00A967D5" w14:paraId="4A3171E3" w14:textId="77777777" w:rsidTr="00E542D5">
        <w:trPr>
          <w:jc w:val="center"/>
        </w:trPr>
        <w:tc>
          <w:tcPr>
            <w:tcW w:w="1000" w:type="pct"/>
            <w:tcBorders>
              <w:top w:val="single" w:sz="4" w:space="0" w:color="auto"/>
              <w:left w:val="single" w:sz="4" w:space="0" w:color="auto"/>
              <w:bottom w:val="single" w:sz="4" w:space="0" w:color="auto"/>
              <w:right w:val="single" w:sz="4" w:space="0" w:color="auto"/>
            </w:tcBorders>
            <w:hideMark/>
          </w:tcPr>
          <w:p w14:paraId="1CA5CAC5" w14:textId="77777777" w:rsidR="00A967D5" w:rsidRPr="0049402B" w:rsidRDefault="00A967D5" w:rsidP="00E542D5">
            <w:pPr>
              <w:spacing w:before="0" w:after="0"/>
              <w:rPr>
                <w:b/>
                <w:bCs/>
                <w:szCs w:val="20"/>
              </w:rPr>
            </w:pPr>
            <w:r w:rsidRPr="0049402B">
              <w:rPr>
                <w:b/>
                <w:bCs/>
                <w:szCs w:val="20"/>
              </w:rPr>
              <w:t>Time to disease progression (days)</w:t>
            </w:r>
          </w:p>
        </w:tc>
        <w:tc>
          <w:tcPr>
            <w:tcW w:w="1000" w:type="pct"/>
            <w:tcBorders>
              <w:top w:val="single" w:sz="4" w:space="0" w:color="auto"/>
              <w:left w:val="single" w:sz="4" w:space="0" w:color="auto"/>
              <w:bottom w:val="single" w:sz="4" w:space="0" w:color="auto"/>
              <w:right w:val="single" w:sz="4" w:space="0" w:color="auto"/>
            </w:tcBorders>
            <w:hideMark/>
          </w:tcPr>
          <w:p w14:paraId="1F60BA24" w14:textId="77777777" w:rsidR="00A967D5" w:rsidRPr="0049402B" w:rsidRDefault="00A967D5" w:rsidP="00E542D5">
            <w:pPr>
              <w:spacing w:before="0" w:after="0"/>
              <w:jc w:val="center"/>
              <w:rPr>
                <w:szCs w:val="20"/>
              </w:rPr>
            </w:pPr>
            <w:r w:rsidRPr="0049402B">
              <w:rPr>
                <w:szCs w:val="20"/>
              </w:rPr>
              <w:t xml:space="preserve">78.00 </w:t>
            </w:r>
            <w:r w:rsidRPr="0049402B">
              <w:rPr>
                <w:rFonts w:cstheme="minorHAnsi"/>
                <w:szCs w:val="20"/>
              </w:rPr>
              <w:t>± 3.77</w:t>
            </w:r>
          </w:p>
        </w:tc>
        <w:tc>
          <w:tcPr>
            <w:tcW w:w="1000" w:type="pct"/>
            <w:tcBorders>
              <w:top w:val="single" w:sz="4" w:space="0" w:color="auto"/>
              <w:left w:val="single" w:sz="4" w:space="0" w:color="auto"/>
              <w:bottom w:val="single" w:sz="4" w:space="0" w:color="auto"/>
              <w:right w:val="single" w:sz="4" w:space="0" w:color="auto"/>
            </w:tcBorders>
            <w:hideMark/>
          </w:tcPr>
          <w:p w14:paraId="5CD1B0FF" w14:textId="77777777" w:rsidR="00A967D5" w:rsidRPr="0049402B" w:rsidRDefault="00A967D5" w:rsidP="00E542D5">
            <w:pPr>
              <w:spacing w:before="0" w:after="0"/>
              <w:jc w:val="center"/>
              <w:rPr>
                <w:szCs w:val="20"/>
              </w:rPr>
            </w:pPr>
            <w:bookmarkStart w:id="2" w:name="_Hlk223466563"/>
            <w:r w:rsidRPr="0049402B">
              <w:rPr>
                <w:szCs w:val="20"/>
              </w:rPr>
              <w:t xml:space="preserve">49.80 </w:t>
            </w:r>
            <w:r w:rsidRPr="0049402B">
              <w:rPr>
                <w:rFonts w:cstheme="minorHAnsi"/>
                <w:szCs w:val="20"/>
              </w:rPr>
              <w:t>± 2.18</w:t>
            </w:r>
            <w:bookmarkEnd w:id="2"/>
          </w:p>
        </w:tc>
        <w:tc>
          <w:tcPr>
            <w:tcW w:w="1000" w:type="pct"/>
            <w:tcBorders>
              <w:top w:val="single" w:sz="4" w:space="0" w:color="auto"/>
              <w:left w:val="single" w:sz="4" w:space="0" w:color="auto"/>
              <w:bottom w:val="single" w:sz="4" w:space="0" w:color="auto"/>
              <w:right w:val="single" w:sz="4" w:space="0" w:color="auto"/>
            </w:tcBorders>
            <w:hideMark/>
          </w:tcPr>
          <w:p w14:paraId="73801022" w14:textId="77777777" w:rsidR="00A967D5" w:rsidRPr="0049402B" w:rsidRDefault="00A967D5" w:rsidP="00E542D5">
            <w:pPr>
              <w:spacing w:before="0" w:after="0"/>
              <w:jc w:val="center"/>
              <w:rPr>
                <w:szCs w:val="20"/>
              </w:rPr>
            </w:pPr>
            <w:bookmarkStart w:id="3" w:name="_Hlk223466583"/>
            <w:r w:rsidRPr="0049402B">
              <w:rPr>
                <w:szCs w:val="20"/>
              </w:rPr>
              <w:t xml:space="preserve">77.85 </w:t>
            </w:r>
            <w:r w:rsidRPr="0049402B">
              <w:rPr>
                <w:rFonts w:cstheme="minorHAnsi"/>
                <w:szCs w:val="20"/>
              </w:rPr>
              <w:t>± 4.05</w:t>
            </w:r>
            <w:bookmarkEnd w:id="3"/>
          </w:p>
        </w:tc>
        <w:tc>
          <w:tcPr>
            <w:tcW w:w="1000" w:type="pct"/>
            <w:tcBorders>
              <w:top w:val="single" w:sz="4" w:space="0" w:color="auto"/>
              <w:left w:val="single" w:sz="4" w:space="0" w:color="auto"/>
              <w:bottom w:val="single" w:sz="4" w:space="0" w:color="auto"/>
              <w:right w:val="single" w:sz="4" w:space="0" w:color="auto"/>
            </w:tcBorders>
            <w:hideMark/>
          </w:tcPr>
          <w:p w14:paraId="12F7DEF7" w14:textId="77777777" w:rsidR="00A967D5" w:rsidRPr="0049402B" w:rsidRDefault="00A967D5" w:rsidP="00E542D5">
            <w:pPr>
              <w:spacing w:before="0" w:after="0"/>
              <w:jc w:val="center"/>
              <w:rPr>
                <w:szCs w:val="20"/>
                <w:lang w:val="es-CO"/>
              </w:rPr>
            </w:pPr>
            <w:r w:rsidRPr="0049402B">
              <w:rPr>
                <w:szCs w:val="20"/>
              </w:rPr>
              <w:t>0.6942</w:t>
            </w:r>
          </w:p>
        </w:tc>
      </w:tr>
      <w:tr w:rsidR="00A967D5" w14:paraId="61485D33" w14:textId="77777777" w:rsidTr="00E542D5">
        <w:trPr>
          <w:jc w:val="center"/>
        </w:trPr>
        <w:tc>
          <w:tcPr>
            <w:tcW w:w="1000" w:type="pct"/>
            <w:tcBorders>
              <w:top w:val="single" w:sz="4" w:space="0" w:color="auto"/>
              <w:left w:val="single" w:sz="4" w:space="0" w:color="auto"/>
              <w:bottom w:val="single" w:sz="4" w:space="0" w:color="auto"/>
              <w:right w:val="single" w:sz="4" w:space="0" w:color="auto"/>
            </w:tcBorders>
            <w:hideMark/>
          </w:tcPr>
          <w:p w14:paraId="65EAE83B" w14:textId="77777777" w:rsidR="00A967D5" w:rsidRPr="0049402B" w:rsidRDefault="00A967D5" w:rsidP="00E542D5">
            <w:pPr>
              <w:spacing w:before="0" w:after="0"/>
              <w:rPr>
                <w:b/>
                <w:bCs/>
                <w:szCs w:val="20"/>
              </w:rPr>
            </w:pPr>
            <w:r w:rsidRPr="0049402B">
              <w:rPr>
                <w:b/>
                <w:bCs/>
                <w:szCs w:val="20"/>
              </w:rPr>
              <w:t>Time to disease regression (days)</w:t>
            </w:r>
          </w:p>
        </w:tc>
        <w:tc>
          <w:tcPr>
            <w:tcW w:w="1000" w:type="pct"/>
            <w:tcBorders>
              <w:top w:val="single" w:sz="4" w:space="0" w:color="auto"/>
              <w:left w:val="single" w:sz="4" w:space="0" w:color="auto"/>
              <w:bottom w:val="single" w:sz="4" w:space="0" w:color="auto"/>
              <w:right w:val="single" w:sz="4" w:space="0" w:color="auto"/>
            </w:tcBorders>
            <w:hideMark/>
          </w:tcPr>
          <w:p w14:paraId="7FDC064E" w14:textId="77777777" w:rsidR="00A967D5" w:rsidRPr="0049402B" w:rsidRDefault="00A967D5" w:rsidP="00E542D5">
            <w:pPr>
              <w:spacing w:before="0" w:after="0"/>
              <w:jc w:val="center"/>
              <w:rPr>
                <w:szCs w:val="20"/>
              </w:rPr>
            </w:pPr>
            <w:r w:rsidRPr="0049402B">
              <w:rPr>
                <w:szCs w:val="20"/>
              </w:rPr>
              <w:t xml:space="preserve">68.78 </w:t>
            </w:r>
            <w:r w:rsidRPr="0049402B">
              <w:rPr>
                <w:rFonts w:cstheme="minorHAnsi"/>
                <w:szCs w:val="20"/>
              </w:rPr>
              <w:t>± 5.16</w:t>
            </w:r>
          </w:p>
        </w:tc>
        <w:tc>
          <w:tcPr>
            <w:tcW w:w="1000" w:type="pct"/>
            <w:tcBorders>
              <w:top w:val="single" w:sz="4" w:space="0" w:color="auto"/>
              <w:left w:val="single" w:sz="4" w:space="0" w:color="auto"/>
              <w:bottom w:val="single" w:sz="4" w:space="0" w:color="auto"/>
              <w:right w:val="single" w:sz="4" w:space="0" w:color="auto"/>
            </w:tcBorders>
            <w:hideMark/>
          </w:tcPr>
          <w:p w14:paraId="36EAED9A" w14:textId="77777777" w:rsidR="00A967D5" w:rsidRPr="0049402B" w:rsidRDefault="00A967D5" w:rsidP="00E542D5">
            <w:pPr>
              <w:spacing w:before="0" w:after="0"/>
              <w:jc w:val="center"/>
              <w:rPr>
                <w:szCs w:val="20"/>
              </w:rPr>
            </w:pPr>
            <w:bookmarkStart w:id="4" w:name="_Hlk223466498"/>
            <w:r w:rsidRPr="0049402B">
              <w:rPr>
                <w:szCs w:val="20"/>
              </w:rPr>
              <w:t xml:space="preserve">51.35 </w:t>
            </w:r>
            <w:r w:rsidRPr="0049402B">
              <w:rPr>
                <w:rFonts w:cstheme="minorHAnsi"/>
                <w:szCs w:val="20"/>
              </w:rPr>
              <w:t>± 3.38</w:t>
            </w:r>
            <w:bookmarkEnd w:id="4"/>
          </w:p>
        </w:tc>
        <w:tc>
          <w:tcPr>
            <w:tcW w:w="1000" w:type="pct"/>
            <w:tcBorders>
              <w:top w:val="single" w:sz="4" w:space="0" w:color="auto"/>
              <w:left w:val="single" w:sz="4" w:space="0" w:color="auto"/>
              <w:bottom w:val="single" w:sz="4" w:space="0" w:color="auto"/>
              <w:right w:val="single" w:sz="4" w:space="0" w:color="auto"/>
            </w:tcBorders>
            <w:hideMark/>
          </w:tcPr>
          <w:p w14:paraId="6DA9EBCF" w14:textId="77777777" w:rsidR="00A967D5" w:rsidRPr="0049402B" w:rsidRDefault="00A967D5" w:rsidP="00E542D5">
            <w:pPr>
              <w:spacing w:before="0" w:after="0"/>
              <w:jc w:val="center"/>
              <w:rPr>
                <w:szCs w:val="20"/>
              </w:rPr>
            </w:pPr>
            <w:bookmarkStart w:id="5" w:name="_Hlk223466520"/>
            <w:r w:rsidRPr="0049402B">
              <w:rPr>
                <w:szCs w:val="20"/>
              </w:rPr>
              <w:t xml:space="preserve">89.50 </w:t>
            </w:r>
            <w:r w:rsidRPr="0049402B">
              <w:rPr>
                <w:rFonts w:cstheme="minorHAnsi"/>
                <w:szCs w:val="20"/>
              </w:rPr>
              <w:t>± 9.79</w:t>
            </w:r>
            <w:bookmarkEnd w:id="5"/>
          </w:p>
        </w:tc>
        <w:tc>
          <w:tcPr>
            <w:tcW w:w="1000" w:type="pct"/>
            <w:tcBorders>
              <w:top w:val="single" w:sz="4" w:space="0" w:color="auto"/>
              <w:left w:val="single" w:sz="4" w:space="0" w:color="auto"/>
              <w:bottom w:val="single" w:sz="4" w:space="0" w:color="auto"/>
              <w:right w:val="single" w:sz="4" w:space="0" w:color="auto"/>
            </w:tcBorders>
            <w:hideMark/>
          </w:tcPr>
          <w:p w14:paraId="2AC84D40" w14:textId="77777777" w:rsidR="00A967D5" w:rsidRPr="0049402B" w:rsidRDefault="00A967D5" w:rsidP="00E542D5">
            <w:pPr>
              <w:spacing w:before="0" w:after="0"/>
              <w:jc w:val="center"/>
              <w:rPr>
                <w:szCs w:val="20"/>
                <w:lang w:val="es-CO"/>
              </w:rPr>
            </w:pPr>
            <w:r w:rsidRPr="0049402B">
              <w:rPr>
                <w:szCs w:val="20"/>
              </w:rPr>
              <w:t>&lt;0.0001</w:t>
            </w:r>
          </w:p>
        </w:tc>
      </w:tr>
      <w:tr w:rsidR="00A967D5" w14:paraId="4219F9ED" w14:textId="77777777" w:rsidTr="00E542D5">
        <w:trPr>
          <w:jc w:val="center"/>
        </w:trPr>
        <w:tc>
          <w:tcPr>
            <w:tcW w:w="1000" w:type="pct"/>
            <w:tcBorders>
              <w:top w:val="single" w:sz="4" w:space="0" w:color="auto"/>
              <w:left w:val="single" w:sz="4" w:space="0" w:color="auto"/>
              <w:bottom w:val="single" w:sz="4" w:space="0" w:color="auto"/>
              <w:right w:val="single" w:sz="4" w:space="0" w:color="auto"/>
            </w:tcBorders>
            <w:hideMark/>
          </w:tcPr>
          <w:p w14:paraId="302C5C46" w14:textId="77777777" w:rsidR="00A967D5" w:rsidRPr="0049402B" w:rsidRDefault="00A967D5" w:rsidP="00E542D5">
            <w:pPr>
              <w:spacing w:before="0" w:after="0"/>
              <w:rPr>
                <w:b/>
                <w:bCs/>
                <w:szCs w:val="20"/>
              </w:rPr>
            </w:pPr>
            <w:r w:rsidRPr="0049402B">
              <w:rPr>
                <w:b/>
                <w:bCs/>
                <w:szCs w:val="20"/>
              </w:rPr>
              <w:t>Retreatment</w:t>
            </w:r>
          </w:p>
        </w:tc>
        <w:tc>
          <w:tcPr>
            <w:tcW w:w="1000" w:type="pct"/>
            <w:tcBorders>
              <w:top w:val="single" w:sz="4" w:space="0" w:color="auto"/>
              <w:left w:val="single" w:sz="4" w:space="0" w:color="auto"/>
              <w:bottom w:val="single" w:sz="4" w:space="0" w:color="auto"/>
              <w:right w:val="single" w:sz="4" w:space="0" w:color="auto"/>
            </w:tcBorders>
            <w:hideMark/>
          </w:tcPr>
          <w:p w14:paraId="30DCAEBD" w14:textId="77777777" w:rsidR="00A967D5" w:rsidRPr="0049402B" w:rsidRDefault="00A967D5" w:rsidP="00E542D5">
            <w:pPr>
              <w:spacing w:before="0" w:after="0"/>
              <w:jc w:val="center"/>
              <w:rPr>
                <w:szCs w:val="20"/>
              </w:rPr>
            </w:pPr>
            <w:r w:rsidRPr="0049402B">
              <w:rPr>
                <w:szCs w:val="20"/>
              </w:rPr>
              <w:t>3 (3.19%)</w:t>
            </w:r>
          </w:p>
        </w:tc>
        <w:tc>
          <w:tcPr>
            <w:tcW w:w="1000" w:type="pct"/>
            <w:tcBorders>
              <w:top w:val="single" w:sz="4" w:space="0" w:color="auto"/>
              <w:left w:val="single" w:sz="4" w:space="0" w:color="auto"/>
              <w:bottom w:val="single" w:sz="4" w:space="0" w:color="auto"/>
              <w:right w:val="single" w:sz="4" w:space="0" w:color="auto"/>
            </w:tcBorders>
            <w:hideMark/>
          </w:tcPr>
          <w:p w14:paraId="1D28632D" w14:textId="77777777" w:rsidR="00A967D5" w:rsidRPr="0049402B" w:rsidRDefault="00A967D5" w:rsidP="00E542D5">
            <w:pPr>
              <w:spacing w:before="0" w:after="0"/>
              <w:jc w:val="center"/>
              <w:rPr>
                <w:szCs w:val="20"/>
              </w:rPr>
            </w:pPr>
            <w:r w:rsidRPr="0049402B">
              <w:rPr>
                <w:szCs w:val="20"/>
              </w:rPr>
              <w:t>0 (0.00%)</w:t>
            </w:r>
          </w:p>
        </w:tc>
        <w:tc>
          <w:tcPr>
            <w:tcW w:w="1000" w:type="pct"/>
            <w:tcBorders>
              <w:top w:val="single" w:sz="4" w:space="0" w:color="auto"/>
              <w:left w:val="single" w:sz="4" w:space="0" w:color="auto"/>
              <w:bottom w:val="single" w:sz="4" w:space="0" w:color="auto"/>
              <w:right w:val="single" w:sz="4" w:space="0" w:color="auto"/>
            </w:tcBorders>
            <w:hideMark/>
          </w:tcPr>
          <w:p w14:paraId="31717902" w14:textId="77777777" w:rsidR="00A967D5" w:rsidRPr="0049402B" w:rsidRDefault="00A967D5" w:rsidP="00E542D5">
            <w:pPr>
              <w:spacing w:before="0" w:after="0"/>
              <w:jc w:val="center"/>
              <w:rPr>
                <w:szCs w:val="20"/>
              </w:rPr>
            </w:pPr>
            <w:r w:rsidRPr="0049402B">
              <w:rPr>
                <w:szCs w:val="20"/>
              </w:rPr>
              <w:t>3 (6.52%)</w:t>
            </w:r>
          </w:p>
        </w:tc>
        <w:tc>
          <w:tcPr>
            <w:tcW w:w="1000" w:type="pct"/>
            <w:tcBorders>
              <w:top w:val="single" w:sz="4" w:space="0" w:color="auto"/>
              <w:left w:val="single" w:sz="4" w:space="0" w:color="auto"/>
              <w:bottom w:val="single" w:sz="4" w:space="0" w:color="auto"/>
              <w:right w:val="single" w:sz="4" w:space="0" w:color="auto"/>
            </w:tcBorders>
            <w:hideMark/>
          </w:tcPr>
          <w:p w14:paraId="693C1C63" w14:textId="77777777" w:rsidR="00A967D5" w:rsidRPr="0049402B" w:rsidRDefault="00A967D5" w:rsidP="00E542D5">
            <w:pPr>
              <w:spacing w:before="0" w:after="0"/>
              <w:jc w:val="center"/>
              <w:rPr>
                <w:szCs w:val="20"/>
                <w:lang w:val="es-CO"/>
              </w:rPr>
            </w:pPr>
            <w:r w:rsidRPr="0049402B">
              <w:rPr>
                <w:szCs w:val="20"/>
              </w:rPr>
              <w:t>0.0721</w:t>
            </w:r>
          </w:p>
        </w:tc>
      </w:tr>
    </w:tbl>
    <w:p w14:paraId="7995CB84" w14:textId="77777777" w:rsidR="00A967D5" w:rsidRDefault="00A967D5" w:rsidP="00A967D5">
      <w:pPr>
        <w:pStyle w:val="NormalWeb"/>
        <w:spacing w:before="0" w:beforeAutospacing="0" w:after="0" w:afterAutospacing="0"/>
        <w:jc w:val="both"/>
        <w:rPr>
          <w:b/>
          <w:bCs/>
        </w:rPr>
      </w:pPr>
    </w:p>
    <w:p w14:paraId="02AD7FAB" w14:textId="77777777" w:rsidR="00A967D5" w:rsidRPr="00057655" w:rsidRDefault="00A967D5" w:rsidP="00A967D5">
      <w:pPr>
        <w:pStyle w:val="NormalWeb"/>
        <w:spacing w:before="0" w:beforeAutospacing="0" w:after="0" w:afterAutospacing="0"/>
        <w:jc w:val="both"/>
        <w:rPr>
          <w:b/>
          <w:bCs/>
        </w:rPr>
      </w:pPr>
      <w:r w:rsidRPr="00057655">
        <w:rPr>
          <w:b/>
          <w:bCs/>
        </w:rPr>
        <w:t>Footnotes</w:t>
      </w:r>
    </w:p>
    <w:p w14:paraId="55076836" w14:textId="77777777" w:rsidR="00A967D5" w:rsidRDefault="00A967D5" w:rsidP="00A967D5">
      <w:pPr>
        <w:pStyle w:val="NormalWeb"/>
        <w:numPr>
          <w:ilvl w:val="0"/>
          <w:numId w:val="2"/>
        </w:numPr>
        <w:spacing w:before="0" w:beforeAutospacing="0" w:after="0" w:afterAutospacing="0"/>
        <w:jc w:val="both"/>
      </w:pPr>
      <w:r>
        <w:t>Data are presented as the n (%) or mean ± standard deviation.</w:t>
      </w:r>
    </w:p>
    <w:p w14:paraId="1835B617" w14:textId="77777777" w:rsidR="00A967D5" w:rsidRDefault="00A967D5" w:rsidP="00A967D5">
      <w:pPr>
        <w:pStyle w:val="NormalWeb"/>
        <w:numPr>
          <w:ilvl w:val="0"/>
          <w:numId w:val="2"/>
        </w:numPr>
        <w:spacing w:before="0" w:beforeAutospacing="0" w:after="0" w:afterAutospacing="0"/>
        <w:jc w:val="both"/>
      </w:pPr>
      <w:r>
        <w:t>p values compare the prophylaxis cohort with the historical surveillance-only cohort.</w:t>
      </w:r>
    </w:p>
    <w:p w14:paraId="5F974BFF" w14:textId="77777777" w:rsidR="00A967D5" w:rsidRDefault="00A967D5" w:rsidP="00A967D5">
      <w:pPr>
        <w:pStyle w:val="NormalWeb"/>
        <w:numPr>
          <w:ilvl w:val="0"/>
          <w:numId w:val="2"/>
        </w:numPr>
        <w:spacing w:before="0" w:beforeAutospacing="0" w:after="0" w:afterAutospacing="0"/>
        <w:jc w:val="both"/>
      </w:pPr>
      <w:r>
        <w:t>The percentages may not total 100.00% because of rounding.</w:t>
      </w:r>
    </w:p>
    <w:p w14:paraId="4A4B65F4" w14:textId="77777777" w:rsidR="00A967D5" w:rsidRDefault="00A967D5" w:rsidP="00A967D5">
      <w:pPr>
        <w:spacing w:before="100" w:beforeAutospacing="1" w:after="100" w:afterAutospacing="1"/>
        <w:jc w:val="both"/>
        <w:rPr>
          <w:rFonts w:eastAsia="Times New Roman" w:cs="Times New Roman"/>
          <w:color w:val="000000"/>
          <w:szCs w:val="24"/>
        </w:rPr>
      </w:pPr>
    </w:p>
    <w:p w14:paraId="49932632" w14:textId="77777777" w:rsidR="00A967D5" w:rsidRDefault="00A967D5" w:rsidP="00A967D5">
      <w:pPr>
        <w:spacing w:before="100" w:beforeAutospacing="1" w:after="100" w:afterAutospacing="1"/>
        <w:jc w:val="both"/>
        <w:rPr>
          <w:rFonts w:eastAsia="Times New Roman" w:cs="Times New Roman"/>
          <w:color w:val="000000"/>
          <w:szCs w:val="24"/>
        </w:rPr>
      </w:pPr>
    </w:p>
    <w:p w14:paraId="2D2D1CDD" w14:textId="77777777" w:rsidR="00A967D5" w:rsidRDefault="00A967D5" w:rsidP="00A967D5">
      <w:pPr>
        <w:spacing w:before="100" w:beforeAutospacing="1" w:after="100" w:afterAutospacing="1"/>
        <w:jc w:val="both"/>
        <w:rPr>
          <w:rFonts w:eastAsia="Times New Roman" w:cs="Times New Roman"/>
          <w:color w:val="000000"/>
          <w:szCs w:val="24"/>
        </w:rPr>
      </w:pPr>
    </w:p>
    <w:p w14:paraId="36B915D0" w14:textId="77777777" w:rsidR="00A967D5" w:rsidRDefault="00A967D5" w:rsidP="00A967D5">
      <w:pPr>
        <w:spacing w:before="100" w:beforeAutospacing="1" w:after="100" w:afterAutospacing="1"/>
        <w:jc w:val="both"/>
        <w:rPr>
          <w:rFonts w:eastAsia="Times New Roman" w:cs="Times New Roman"/>
          <w:color w:val="000000"/>
          <w:szCs w:val="24"/>
        </w:rPr>
      </w:pPr>
    </w:p>
    <w:p w14:paraId="7586A9FF" w14:textId="77777777" w:rsidR="00A967D5" w:rsidRDefault="00A967D5" w:rsidP="00A967D5">
      <w:pPr>
        <w:spacing w:before="100" w:beforeAutospacing="1" w:after="100" w:afterAutospacing="1"/>
        <w:jc w:val="both"/>
        <w:rPr>
          <w:rFonts w:eastAsia="Times New Roman" w:cs="Times New Roman"/>
          <w:color w:val="000000"/>
          <w:szCs w:val="24"/>
        </w:rPr>
      </w:pPr>
    </w:p>
    <w:p w14:paraId="4A3488E2" w14:textId="77777777" w:rsidR="00A967D5" w:rsidRDefault="00A967D5" w:rsidP="00A967D5">
      <w:pPr>
        <w:spacing w:before="100" w:beforeAutospacing="1" w:after="100" w:afterAutospacing="1"/>
        <w:jc w:val="both"/>
        <w:rPr>
          <w:rFonts w:eastAsia="Times New Roman" w:cs="Times New Roman"/>
          <w:color w:val="000000"/>
          <w:szCs w:val="24"/>
        </w:rPr>
      </w:pPr>
    </w:p>
    <w:p w14:paraId="5C7419A5" w14:textId="77777777" w:rsidR="00A967D5" w:rsidRDefault="00A967D5" w:rsidP="00A967D5">
      <w:pPr>
        <w:spacing w:before="100" w:beforeAutospacing="1" w:after="100" w:afterAutospacing="1"/>
        <w:jc w:val="both"/>
        <w:rPr>
          <w:rFonts w:eastAsia="Times New Roman" w:cs="Times New Roman"/>
          <w:color w:val="000000"/>
          <w:szCs w:val="24"/>
        </w:rPr>
      </w:pPr>
    </w:p>
    <w:p w14:paraId="6D08BD15" w14:textId="77777777" w:rsidR="00A967D5" w:rsidRDefault="00A967D5" w:rsidP="00A967D5">
      <w:pPr>
        <w:spacing w:before="100" w:beforeAutospacing="1" w:after="100" w:afterAutospacing="1"/>
        <w:jc w:val="both"/>
        <w:rPr>
          <w:rFonts w:eastAsia="Times New Roman" w:cs="Times New Roman"/>
          <w:color w:val="000000"/>
          <w:szCs w:val="24"/>
        </w:rPr>
      </w:pPr>
    </w:p>
    <w:p w14:paraId="034ACF49" w14:textId="77777777" w:rsidR="00A967D5" w:rsidRDefault="00A967D5" w:rsidP="00A967D5">
      <w:pPr>
        <w:spacing w:before="100" w:beforeAutospacing="1" w:after="100" w:afterAutospacing="1"/>
        <w:jc w:val="both"/>
        <w:rPr>
          <w:rFonts w:eastAsia="Times New Roman" w:cs="Times New Roman"/>
          <w:color w:val="000000"/>
          <w:szCs w:val="24"/>
        </w:rPr>
      </w:pPr>
    </w:p>
    <w:p w14:paraId="67FED259" w14:textId="77777777" w:rsidR="00A967D5" w:rsidRDefault="00A967D5" w:rsidP="00A967D5">
      <w:pPr>
        <w:spacing w:before="100" w:beforeAutospacing="1" w:after="100" w:afterAutospacing="1"/>
        <w:jc w:val="both"/>
        <w:rPr>
          <w:rFonts w:eastAsia="Times New Roman" w:cs="Times New Roman"/>
          <w:color w:val="000000"/>
          <w:szCs w:val="24"/>
        </w:rPr>
      </w:pPr>
    </w:p>
    <w:p w14:paraId="35D88E54" w14:textId="77777777" w:rsidR="00A967D5" w:rsidRDefault="00A967D5" w:rsidP="00A967D5">
      <w:pPr>
        <w:spacing w:before="100" w:beforeAutospacing="1" w:after="100" w:afterAutospacing="1"/>
        <w:jc w:val="both"/>
        <w:rPr>
          <w:rFonts w:eastAsia="Times New Roman" w:cs="Times New Roman"/>
          <w:color w:val="000000"/>
          <w:szCs w:val="24"/>
        </w:rPr>
      </w:pPr>
    </w:p>
    <w:p w14:paraId="4FD90FDF" w14:textId="77777777" w:rsidR="00A967D5" w:rsidRDefault="00A967D5" w:rsidP="00A967D5">
      <w:pPr>
        <w:spacing w:before="100" w:beforeAutospacing="1" w:after="100" w:afterAutospacing="1"/>
        <w:jc w:val="both"/>
        <w:rPr>
          <w:rFonts w:eastAsia="Times New Roman" w:cs="Times New Roman"/>
          <w:color w:val="000000"/>
          <w:szCs w:val="24"/>
        </w:rPr>
      </w:pPr>
    </w:p>
    <w:p w14:paraId="5542B24E" w14:textId="77777777" w:rsidR="00A967D5" w:rsidRDefault="00A967D5" w:rsidP="00A967D5">
      <w:pPr>
        <w:spacing w:before="100" w:beforeAutospacing="1" w:after="100" w:afterAutospacing="1"/>
        <w:jc w:val="both"/>
        <w:rPr>
          <w:rFonts w:eastAsia="Times New Roman" w:cs="Times New Roman"/>
          <w:color w:val="000000"/>
          <w:szCs w:val="24"/>
        </w:rPr>
      </w:pPr>
    </w:p>
    <w:p w14:paraId="7ABF416F" w14:textId="77777777" w:rsidR="00A967D5" w:rsidRDefault="00A967D5" w:rsidP="00A967D5">
      <w:pPr>
        <w:spacing w:before="100" w:beforeAutospacing="1" w:after="100" w:afterAutospacing="1"/>
        <w:jc w:val="both"/>
        <w:rPr>
          <w:rFonts w:eastAsia="Times New Roman" w:cs="Times New Roman"/>
          <w:color w:val="000000"/>
          <w:szCs w:val="24"/>
        </w:rPr>
      </w:pPr>
    </w:p>
    <w:tbl>
      <w:tblPr>
        <w:tblStyle w:val="TableGrid"/>
        <w:tblW w:w="5000" w:type="pct"/>
        <w:tblLook w:val="04A0" w:firstRow="1" w:lastRow="0" w:firstColumn="1" w:lastColumn="0" w:noHBand="0" w:noVBand="1"/>
      </w:tblPr>
      <w:tblGrid>
        <w:gridCol w:w="2139"/>
        <w:gridCol w:w="1995"/>
        <w:gridCol w:w="2017"/>
        <w:gridCol w:w="1952"/>
        <w:gridCol w:w="1667"/>
      </w:tblGrid>
      <w:tr w:rsidR="00A967D5" w14:paraId="0189BC3E" w14:textId="77777777" w:rsidTr="00E542D5">
        <w:tc>
          <w:tcPr>
            <w:tcW w:w="5000" w:type="pct"/>
            <w:gridSpan w:val="5"/>
            <w:tcBorders>
              <w:top w:val="single" w:sz="4" w:space="0" w:color="auto"/>
              <w:left w:val="single" w:sz="4" w:space="0" w:color="auto"/>
              <w:bottom w:val="single" w:sz="4" w:space="0" w:color="auto"/>
              <w:right w:val="single" w:sz="4" w:space="0" w:color="auto"/>
            </w:tcBorders>
            <w:hideMark/>
          </w:tcPr>
          <w:p w14:paraId="163E3D22" w14:textId="77777777" w:rsidR="00A967D5" w:rsidRPr="0049402B" w:rsidRDefault="00A967D5" w:rsidP="00E542D5">
            <w:pPr>
              <w:spacing w:before="0" w:after="0"/>
              <w:jc w:val="both"/>
              <w:rPr>
                <w:b/>
                <w:bCs/>
                <w:szCs w:val="20"/>
              </w:rPr>
            </w:pPr>
            <w:r w:rsidRPr="0049402B">
              <w:rPr>
                <w:b/>
                <w:bCs/>
                <w:szCs w:val="20"/>
              </w:rPr>
              <w:t>Table 3</w:t>
            </w:r>
          </w:p>
          <w:p w14:paraId="6CBBF3ED" w14:textId="77777777" w:rsidR="00A967D5" w:rsidRPr="0049402B" w:rsidRDefault="00A967D5" w:rsidP="00E542D5">
            <w:pPr>
              <w:spacing w:before="0" w:after="0"/>
              <w:jc w:val="both"/>
              <w:rPr>
                <w:b/>
                <w:bCs/>
                <w:szCs w:val="20"/>
              </w:rPr>
            </w:pPr>
            <w:r w:rsidRPr="0049402B">
              <w:rPr>
                <w:b/>
                <w:bCs/>
                <w:szCs w:val="20"/>
              </w:rPr>
              <w:lastRenderedPageBreak/>
              <w:t>Comparison of baseline characteristics between the nepafenac-treated cohort and the historical surveillance-only cohort</w:t>
            </w:r>
          </w:p>
        </w:tc>
      </w:tr>
      <w:tr w:rsidR="00A967D5" w14:paraId="17C23AAE" w14:textId="77777777" w:rsidTr="00E542D5">
        <w:tc>
          <w:tcPr>
            <w:tcW w:w="1095" w:type="pct"/>
            <w:tcBorders>
              <w:top w:val="single" w:sz="4" w:space="0" w:color="auto"/>
              <w:left w:val="single" w:sz="4" w:space="0" w:color="auto"/>
              <w:bottom w:val="single" w:sz="4" w:space="0" w:color="auto"/>
              <w:right w:val="single" w:sz="4" w:space="0" w:color="auto"/>
            </w:tcBorders>
          </w:tcPr>
          <w:p w14:paraId="1C0754CB" w14:textId="77777777" w:rsidR="00A967D5" w:rsidRPr="0049402B" w:rsidRDefault="00A967D5" w:rsidP="00E542D5">
            <w:pPr>
              <w:spacing w:before="0" w:after="0"/>
              <w:rPr>
                <w:b/>
                <w:bCs/>
                <w:szCs w:val="20"/>
              </w:rPr>
            </w:pPr>
          </w:p>
        </w:tc>
        <w:tc>
          <w:tcPr>
            <w:tcW w:w="1021" w:type="pct"/>
            <w:tcBorders>
              <w:top w:val="single" w:sz="4" w:space="0" w:color="auto"/>
              <w:left w:val="single" w:sz="4" w:space="0" w:color="auto"/>
              <w:bottom w:val="single" w:sz="4" w:space="0" w:color="auto"/>
              <w:right w:val="single" w:sz="4" w:space="0" w:color="auto"/>
            </w:tcBorders>
            <w:hideMark/>
          </w:tcPr>
          <w:p w14:paraId="604CA10C" w14:textId="77777777" w:rsidR="00A967D5" w:rsidRPr="0049402B" w:rsidRDefault="00A967D5" w:rsidP="00E542D5">
            <w:pPr>
              <w:spacing w:before="0" w:after="0"/>
              <w:jc w:val="center"/>
              <w:rPr>
                <w:b/>
                <w:bCs/>
                <w:szCs w:val="20"/>
                <w:lang w:val="es-ES"/>
              </w:rPr>
            </w:pPr>
            <w:r w:rsidRPr="0049402B">
              <w:rPr>
                <w:b/>
                <w:bCs/>
                <w:szCs w:val="20"/>
              </w:rPr>
              <w:t>Overall</w:t>
            </w:r>
          </w:p>
          <w:p w14:paraId="76CB42A1" w14:textId="77777777" w:rsidR="00A967D5" w:rsidRPr="0049402B" w:rsidRDefault="00A967D5" w:rsidP="00E542D5">
            <w:pPr>
              <w:spacing w:before="0" w:after="0"/>
              <w:jc w:val="center"/>
              <w:rPr>
                <w:b/>
                <w:bCs/>
                <w:szCs w:val="20"/>
                <w:lang w:val="es-ES"/>
              </w:rPr>
            </w:pPr>
            <w:r w:rsidRPr="0049402B">
              <w:rPr>
                <w:b/>
                <w:bCs/>
                <w:szCs w:val="20"/>
              </w:rPr>
              <w:t>144 (100.00%)</w:t>
            </w:r>
          </w:p>
        </w:tc>
        <w:tc>
          <w:tcPr>
            <w:tcW w:w="1032" w:type="pct"/>
            <w:tcBorders>
              <w:top w:val="single" w:sz="4" w:space="0" w:color="auto"/>
              <w:left w:val="single" w:sz="4" w:space="0" w:color="auto"/>
              <w:bottom w:val="single" w:sz="4" w:space="0" w:color="auto"/>
              <w:right w:val="single" w:sz="4" w:space="0" w:color="auto"/>
            </w:tcBorders>
            <w:hideMark/>
          </w:tcPr>
          <w:p w14:paraId="6EC806FB" w14:textId="77777777" w:rsidR="00A967D5" w:rsidRPr="0049402B" w:rsidRDefault="00A967D5" w:rsidP="00E542D5">
            <w:pPr>
              <w:spacing w:before="0" w:after="0"/>
              <w:jc w:val="center"/>
              <w:rPr>
                <w:b/>
                <w:bCs/>
                <w:szCs w:val="20"/>
                <w:lang w:val="es-ES"/>
              </w:rPr>
            </w:pPr>
            <w:r w:rsidRPr="0049402B">
              <w:rPr>
                <w:b/>
                <w:bCs/>
                <w:szCs w:val="20"/>
              </w:rPr>
              <w:t>Nepafenac-treated infants</w:t>
            </w:r>
          </w:p>
          <w:p w14:paraId="0AC0CBFD" w14:textId="77777777" w:rsidR="00A967D5" w:rsidRPr="0049402B" w:rsidRDefault="00A967D5" w:rsidP="00E542D5">
            <w:pPr>
              <w:spacing w:before="0" w:after="0"/>
              <w:jc w:val="center"/>
              <w:rPr>
                <w:b/>
                <w:bCs/>
                <w:szCs w:val="20"/>
                <w:lang w:val="es-ES"/>
              </w:rPr>
            </w:pPr>
            <w:r w:rsidRPr="0049402B">
              <w:rPr>
                <w:b/>
                <w:bCs/>
                <w:szCs w:val="20"/>
              </w:rPr>
              <w:t>98 (68.06%)</w:t>
            </w:r>
          </w:p>
        </w:tc>
        <w:tc>
          <w:tcPr>
            <w:tcW w:w="999" w:type="pct"/>
            <w:tcBorders>
              <w:top w:val="single" w:sz="4" w:space="0" w:color="auto"/>
              <w:left w:val="single" w:sz="4" w:space="0" w:color="auto"/>
              <w:bottom w:val="single" w:sz="4" w:space="0" w:color="auto"/>
              <w:right w:val="single" w:sz="4" w:space="0" w:color="auto"/>
            </w:tcBorders>
            <w:hideMark/>
          </w:tcPr>
          <w:p w14:paraId="215E65AE" w14:textId="77777777" w:rsidR="00A967D5" w:rsidRPr="0049402B" w:rsidRDefault="00A967D5" w:rsidP="00E542D5">
            <w:pPr>
              <w:spacing w:before="0" w:after="0"/>
              <w:jc w:val="center"/>
              <w:rPr>
                <w:b/>
                <w:bCs/>
                <w:szCs w:val="20"/>
                <w:lang w:val="es-ES"/>
              </w:rPr>
            </w:pPr>
            <w:r w:rsidRPr="0049402B">
              <w:rPr>
                <w:b/>
                <w:bCs/>
                <w:szCs w:val="20"/>
              </w:rPr>
              <w:t>Nontreated infants</w:t>
            </w:r>
          </w:p>
          <w:p w14:paraId="3D6F839A" w14:textId="77777777" w:rsidR="00A967D5" w:rsidRPr="0049402B" w:rsidRDefault="00A967D5" w:rsidP="00E542D5">
            <w:pPr>
              <w:spacing w:before="0" w:after="0"/>
              <w:jc w:val="center"/>
              <w:rPr>
                <w:b/>
                <w:bCs/>
                <w:szCs w:val="20"/>
                <w:lang w:val="es-ES"/>
              </w:rPr>
            </w:pPr>
            <w:r w:rsidRPr="0049402B">
              <w:rPr>
                <w:b/>
                <w:bCs/>
                <w:szCs w:val="20"/>
              </w:rPr>
              <w:t>46 (48.94%)</w:t>
            </w:r>
          </w:p>
        </w:tc>
        <w:tc>
          <w:tcPr>
            <w:tcW w:w="853" w:type="pct"/>
            <w:tcBorders>
              <w:top w:val="single" w:sz="4" w:space="0" w:color="auto"/>
              <w:left w:val="single" w:sz="4" w:space="0" w:color="auto"/>
              <w:bottom w:val="single" w:sz="4" w:space="0" w:color="auto"/>
              <w:right w:val="single" w:sz="4" w:space="0" w:color="auto"/>
            </w:tcBorders>
            <w:hideMark/>
          </w:tcPr>
          <w:p w14:paraId="7A18780B" w14:textId="77777777" w:rsidR="00A967D5" w:rsidRPr="0049402B" w:rsidRDefault="00A967D5" w:rsidP="00E542D5">
            <w:pPr>
              <w:spacing w:before="0" w:after="0"/>
              <w:jc w:val="center"/>
              <w:rPr>
                <w:b/>
                <w:bCs/>
                <w:szCs w:val="20"/>
                <w:lang w:val="es-ES"/>
              </w:rPr>
            </w:pPr>
            <w:r w:rsidRPr="0049402B">
              <w:rPr>
                <w:b/>
                <w:bCs/>
                <w:szCs w:val="20"/>
              </w:rPr>
              <w:t>p</w:t>
            </w:r>
          </w:p>
        </w:tc>
      </w:tr>
      <w:tr w:rsidR="00A967D5" w14:paraId="6354DA28"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1151E248" w14:textId="77777777" w:rsidR="00A967D5" w:rsidRPr="0049402B" w:rsidRDefault="00A967D5" w:rsidP="00E542D5">
            <w:pPr>
              <w:spacing w:before="0" w:after="0"/>
              <w:rPr>
                <w:b/>
                <w:bCs/>
                <w:szCs w:val="20"/>
                <w:lang w:val="es-ES"/>
              </w:rPr>
            </w:pPr>
            <w:r w:rsidRPr="0049402B">
              <w:rPr>
                <w:b/>
                <w:bCs/>
                <w:szCs w:val="20"/>
              </w:rPr>
              <w:t>Sex</w:t>
            </w:r>
          </w:p>
          <w:p w14:paraId="0D62990F" w14:textId="77777777" w:rsidR="00A967D5" w:rsidRPr="0049402B" w:rsidRDefault="00A967D5" w:rsidP="00E542D5">
            <w:pPr>
              <w:spacing w:before="0" w:after="0"/>
              <w:rPr>
                <w:szCs w:val="20"/>
                <w:lang w:val="es-ES"/>
              </w:rPr>
            </w:pPr>
            <w:r w:rsidRPr="0049402B">
              <w:rPr>
                <w:szCs w:val="20"/>
              </w:rPr>
              <w:t>Males</w:t>
            </w:r>
          </w:p>
          <w:p w14:paraId="1A969112" w14:textId="77777777" w:rsidR="00A967D5" w:rsidRPr="0049402B" w:rsidRDefault="00A967D5" w:rsidP="00E542D5">
            <w:pPr>
              <w:spacing w:before="0" w:after="0"/>
              <w:rPr>
                <w:b/>
                <w:bCs/>
                <w:szCs w:val="20"/>
                <w:lang w:val="es-ES"/>
              </w:rPr>
            </w:pPr>
            <w:r w:rsidRPr="0049402B">
              <w:rPr>
                <w:szCs w:val="20"/>
              </w:rPr>
              <w:t>Females</w:t>
            </w:r>
          </w:p>
        </w:tc>
        <w:tc>
          <w:tcPr>
            <w:tcW w:w="1021" w:type="pct"/>
            <w:tcBorders>
              <w:top w:val="single" w:sz="4" w:space="0" w:color="auto"/>
              <w:left w:val="single" w:sz="4" w:space="0" w:color="auto"/>
              <w:bottom w:val="single" w:sz="4" w:space="0" w:color="auto"/>
              <w:right w:val="single" w:sz="4" w:space="0" w:color="auto"/>
            </w:tcBorders>
          </w:tcPr>
          <w:p w14:paraId="1D4810FF" w14:textId="77777777" w:rsidR="00A967D5" w:rsidRPr="0049402B" w:rsidRDefault="00A967D5" w:rsidP="00E542D5">
            <w:pPr>
              <w:spacing w:before="0" w:after="0"/>
              <w:jc w:val="center"/>
              <w:rPr>
                <w:szCs w:val="20"/>
                <w:lang w:val="es-ES"/>
              </w:rPr>
            </w:pPr>
          </w:p>
          <w:p w14:paraId="70C0B59D" w14:textId="77777777" w:rsidR="00A967D5" w:rsidRPr="0049402B" w:rsidRDefault="00A967D5" w:rsidP="00E542D5">
            <w:pPr>
              <w:spacing w:before="0" w:after="0"/>
              <w:jc w:val="center"/>
              <w:rPr>
                <w:szCs w:val="20"/>
                <w:lang w:val="es-ES"/>
              </w:rPr>
            </w:pPr>
            <w:r w:rsidRPr="0049402B">
              <w:rPr>
                <w:szCs w:val="20"/>
              </w:rPr>
              <w:t>75 (52.08%)</w:t>
            </w:r>
          </w:p>
          <w:p w14:paraId="2C0443F8" w14:textId="77777777" w:rsidR="00A967D5" w:rsidRPr="0049402B" w:rsidRDefault="00A967D5" w:rsidP="00E542D5">
            <w:pPr>
              <w:spacing w:before="0" w:after="0"/>
              <w:jc w:val="center"/>
              <w:rPr>
                <w:szCs w:val="20"/>
                <w:lang w:val="es-ES"/>
              </w:rPr>
            </w:pPr>
            <w:r w:rsidRPr="0049402B">
              <w:rPr>
                <w:szCs w:val="20"/>
              </w:rPr>
              <w:t>69 (47.92%)</w:t>
            </w:r>
          </w:p>
        </w:tc>
        <w:tc>
          <w:tcPr>
            <w:tcW w:w="1032" w:type="pct"/>
            <w:tcBorders>
              <w:top w:val="single" w:sz="4" w:space="0" w:color="auto"/>
              <w:left w:val="single" w:sz="4" w:space="0" w:color="auto"/>
              <w:bottom w:val="single" w:sz="4" w:space="0" w:color="auto"/>
              <w:right w:val="single" w:sz="4" w:space="0" w:color="auto"/>
            </w:tcBorders>
          </w:tcPr>
          <w:p w14:paraId="3AB0455B" w14:textId="77777777" w:rsidR="00A967D5" w:rsidRPr="0049402B" w:rsidRDefault="00A967D5" w:rsidP="00E542D5">
            <w:pPr>
              <w:spacing w:before="0" w:after="0"/>
              <w:jc w:val="center"/>
              <w:rPr>
                <w:szCs w:val="20"/>
                <w:lang w:val="es-ES"/>
              </w:rPr>
            </w:pPr>
          </w:p>
          <w:p w14:paraId="176179BF" w14:textId="77777777" w:rsidR="00A967D5" w:rsidRPr="0049402B" w:rsidRDefault="00A967D5" w:rsidP="00E542D5">
            <w:pPr>
              <w:spacing w:before="0" w:after="0"/>
              <w:jc w:val="center"/>
              <w:rPr>
                <w:szCs w:val="20"/>
                <w:lang w:val="es-ES"/>
              </w:rPr>
            </w:pPr>
            <w:r w:rsidRPr="0049402B">
              <w:rPr>
                <w:szCs w:val="20"/>
              </w:rPr>
              <w:t>55 (56.12%)</w:t>
            </w:r>
          </w:p>
          <w:p w14:paraId="11884505" w14:textId="77777777" w:rsidR="00A967D5" w:rsidRPr="0049402B" w:rsidRDefault="00A967D5" w:rsidP="00E542D5">
            <w:pPr>
              <w:spacing w:before="0" w:after="0"/>
              <w:jc w:val="center"/>
              <w:rPr>
                <w:szCs w:val="20"/>
                <w:lang w:val="es-ES"/>
              </w:rPr>
            </w:pPr>
            <w:r w:rsidRPr="0049402B">
              <w:rPr>
                <w:szCs w:val="20"/>
              </w:rPr>
              <w:t>43 (43.88%)</w:t>
            </w:r>
          </w:p>
        </w:tc>
        <w:tc>
          <w:tcPr>
            <w:tcW w:w="999" w:type="pct"/>
            <w:tcBorders>
              <w:top w:val="single" w:sz="4" w:space="0" w:color="auto"/>
              <w:left w:val="single" w:sz="4" w:space="0" w:color="auto"/>
              <w:bottom w:val="single" w:sz="4" w:space="0" w:color="auto"/>
              <w:right w:val="single" w:sz="4" w:space="0" w:color="auto"/>
            </w:tcBorders>
          </w:tcPr>
          <w:p w14:paraId="33CC7FDF" w14:textId="77777777" w:rsidR="00A967D5" w:rsidRPr="0049402B" w:rsidRDefault="00A967D5" w:rsidP="00E542D5">
            <w:pPr>
              <w:spacing w:before="0" w:after="0"/>
              <w:jc w:val="center"/>
              <w:rPr>
                <w:szCs w:val="20"/>
                <w:lang w:val="es-ES"/>
              </w:rPr>
            </w:pPr>
          </w:p>
          <w:p w14:paraId="47526A8C" w14:textId="77777777" w:rsidR="00A967D5" w:rsidRPr="0049402B" w:rsidRDefault="00A967D5" w:rsidP="00E542D5">
            <w:pPr>
              <w:spacing w:before="0" w:after="0"/>
              <w:jc w:val="center"/>
              <w:rPr>
                <w:szCs w:val="20"/>
                <w:lang w:val="es-ES"/>
              </w:rPr>
            </w:pPr>
            <w:r w:rsidRPr="0049402B">
              <w:rPr>
                <w:szCs w:val="20"/>
              </w:rPr>
              <w:t>20 (43.48%)</w:t>
            </w:r>
          </w:p>
          <w:p w14:paraId="3FCE6336" w14:textId="77777777" w:rsidR="00A967D5" w:rsidRPr="0049402B" w:rsidRDefault="00A967D5" w:rsidP="00E542D5">
            <w:pPr>
              <w:spacing w:before="0" w:after="0"/>
              <w:jc w:val="center"/>
              <w:rPr>
                <w:szCs w:val="20"/>
                <w:lang w:val="es-ES"/>
              </w:rPr>
            </w:pPr>
            <w:r w:rsidRPr="0049402B">
              <w:rPr>
                <w:szCs w:val="20"/>
              </w:rPr>
              <w:t>26 (56.52%)</w:t>
            </w:r>
          </w:p>
        </w:tc>
        <w:tc>
          <w:tcPr>
            <w:tcW w:w="853" w:type="pct"/>
            <w:tcBorders>
              <w:top w:val="single" w:sz="4" w:space="0" w:color="auto"/>
              <w:left w:val="single" w:sz="4" w:space="0" w:color="auto"/>
              <w:bottom w:val="single" w:sz="4" w:space="0" w:color="auto"/>
              <w:right w:val="single" w:sz="4" w:space="0" w:color="auto"/>
            </w:tcBorders>
            <w:hideMark/>
          </w:tcPr>
          <w:p w14:paraId="6BC0ED19" w14:textId="77777777" w:rsidR="00A967D5" w:rsidRPr="0049402B" w:rsidRDefault="00A967D5" w:rsidP="00E542D5">
            <w:pPr>
              <w:spacing w:before="0" w:after="0"/>
              <w:jc w:val="center"/>
              <w:rPr>
                <w:szCs w:val="20"/>
                <w:lang w:val="es-ES"/>
              </w:rPr>
            </w:pPr>
            <w:r w:rsidRPr="0049402B">
              <w:rPr>
                <w:szCs w:val="20"/>
              </w:rPr>
              <w:t>0.1567</w:t>
            </w:r>
          </w:p>
        </w:tc>
      </w:tr>
      <w:tr w:rsidR="00A967D5" w14:paraId="5DCB3B3C"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494216F5" w14:textId="77777777" w:rsidR="00A967D5" w:rsidRPr="0049402B" w:rsidRDefault="00A967D5" w:rsidP="00E542D5">
            <w:pPr>
              <w:spacing w:before="0" w:after="0"/>
              <w:rPr>
                <w:b/>
                <w:bCs/>
                <w:szCs w:val="20"/>
                <w:lang w:val="es-ES"/>
              </w:rPr>
            </w:pPr>
            <w:r w:rsidRPr="0049402B">
              <w:rPr>
                <w:b/>
                <w:bCs/>
                <w:szCs w:val="20"/>
              </w:rPr>
              <w:t>Gestational age (weeks)</w:t>
            </w:r>
          </w:p>
        </w:tc>
        <w:tc>
          <w:tcPr>
            <w:tcW w:w="1021" w:type="pct"/>
            <w:tcBorders>
              <w:top w:val="single" w:sz="4" w:space="0" w:color="auto"/>
              <w:left w:val="single" w:sz="4" w:space="0" w:color="auto"/>
              <w:bottom w:val="single" w:sz="4" w:space="0" w:color="auto"/>
              <w:right w:val="single" w:sz="4" w:space="0" w:color="auto"/>
            </w:tcBorders>
            <w:hideMark/>
          </w:tcPr>
          <w:p w14:paraId="07779A76" w14:textId="77777777" w:rsidR="00A967D5" w:rsidRPr="0049402B" w:rsidRDefault="00A967D5" w:rsidP="00E542D5">
            <w:pPr>
              <w:spacing w:before="0" w:after="0"/>
              <w:jc w:val="center"/>
              <w:rPr>
                <w:szCs w:val="20"/>
                <w:lang w:val="es-ES"/>
              </w:rPr>
            </w:pPr>
            <w:r w:rsidRPr="0049402B">
              <w:rPr>
                <w:szCs w:val="20"/>
              </w:rPr>
              <w:t>31.00 ± 2.33</w:t>
            </w:r>
          </w:p>
        </w:tc>
        <w:tc>
          <w:tcPr>
            <w:tcW w:w="1032" w:type="pct"/>
            <w:tcBorders>
              <w:top w:val="single" w:sz="4" w:space="0" w:color="auto"/>
              <w:left w:val="single" w:sz="4" w:space="0" w:color="auto"/>
              <w:bottom w:val="single" w:sz="4" w:space="0" w:color="auto"/>
              <w:right w:val="single" w:sz="4" w:space="0" w:color="auto"/>
            </w:tcBorders>
            <w:hideMark/>
          </w:tcPr>
          <w:p w14:paraId="126D5219" w14:textId="77777777" w:rsidR="00A967D5" w:rsidRPr="0049402B" w:rsidRDefault="00A967D5" w:rsidP="00E542D5">
            <w:pPr>
              <w:spacing w:before="0" w:after="0"/>
              <w:jc w:val="center"/>
              <w:rPr>
                <w:szCs w:val="20"/>
                <w:lang w:val="es-ES"/>
              </w:rPr>
            </w:pPr>
            <w:r w:rsidRPr="0049402B">
              <w:rPr>
                <w:rFonts w:cstheme="minorHAnsi"/>
                <w:szCs w:val="20"/>
              </w:rPr>
              <w:t>31.28 ± 2.17</w:t>
            </w:r>
          </w:p>
        </w:tc>
        <w:tc>
          <w:tcPr>
            <w:tcW w:w="999" w:type="pct"/>
            <w:tcBorders>
              <w:top w:val="single" w:sz="4" w:space="0" w:color="auto"/>
              <w:left w:val="single" w:sz="4" w:space="0" w:color="auto"/>
              <w:bottom w:val="single" w:sz="4" w:space="0" w:color="auto"/>
              <w:right w:val="single" w:sz="4" w:space="0" w:color="auto"/>
            </w:tcBorders>
            <w:hideMark/>
          </w:tcPr>
          <w:p w14:paraId="06F34986" w14:textId="77777777" w:rsidR="00A967D5" w:rsidRPr="0049402B" w:rsidRDefault="00A967D5" w:rsidP="00E542D5">
            <w:pPr>
              <w:spacing w:before="0" w:after="0"/>
              <w:jc w:val="center"/>
              <w:rPr>
                <w:szCs w:val="20"/>
                <w:lang w:val="es-ES"/>
              </w:rPr>
            </w:pPr>
            <w:r w:rsidRPr="0049402B">
              <w:rPr>
                <w:rFonts w:cstheme="minorHAnsi"/>
                <w:szCs w:val="20"/>
              </w:rPr>
              <w:t>30.39 ± 2.55</w:t>
            </w:r>
          </w:p>
        </w:tc>
        <w:tc>
          <w:tcPr>
            <w:tcW w:w="853" w:type="pct"/>
            <w:tcBorders>
              <w:top w:val="single" w:sz="4" w:space="0" w:color="auto"/>
              <w:left w:val="single" w:sz="4" w:space="0" w:color="auto"/>
              <w:bottom w:val="single" w:sz="4" w:space="0" w:color="auto"/>
              <w:right w:val="single" w:sz="4" w:space="0" w:color="auto"/>
            </w:tcBorders>
            <w:hideMark/>
          </w:tcPr>
          <w:p w14:paraId="3E585540" w14:textId="77777777" w:rsidR="00A967D5" w:rsidRPr="0049402B" w:rsidRDefault="00A967D5" w:rsidP="00E542D5">
            <w:pPr>
              <w:spacing w:before="0" w:after="0"/>
              <w:jc w:val="center"/>
              <w:rPr>
                <w:szCs w:val="20"/>
                <w:lang w:val="es-ES"/>
              </w:rPr>
            </w:pPr>
            <w:r w:rsidRPr="0049402B">
              <w:rPr>
                <w:szCs w:val="20"/>
              </w:rPr>
              <w:t>0.0429</w:t>
            </w:r>
          </w:p>
        </w:tc>
      </w:tr>
      <w:tr w:rsidR="00A967D5" w14:paraId="5D9ACD61"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58AC5578" w14:textId="77777777" w:rsidR="00A967D5" w:rsidRPr="0049402B" w:rsidRDefault="00A967D5" w:rsidP="00E542D5">
            <w:pPr>
              <w:spacing w:before="0" w:after="0"/>
              <w:rPr>
                <w:b/>
                <w:bCs/>
                <w:szCs w:val="20"/>
                <w:lang w:val="es-ES"/>
              </w:rPr>
            </w:pPr>
            <w:r w:rsidRPr="0049402B">
              <w:rPr>
                <w:b/>
                <w:bCs/>
                <w:szCs w:val="20"/>
              </w:rPr>
              <w:t>Birth weight (grams)</w:t>
            </w:r>
          </w:p>
        </w:tc>
        <w:tc>
          <w:tcPr>
            <w:tcW w:w="1021" w:type="pct"/>
            <w:tcBorders>
              <w:top w:val="single" w:sz="4" w:space="0" w:color="auto"/>
              <w:left w:val="single" w:sz="4" w:space="0" w:color="auto"/>
              <w:bottom w:val="single" w:sz="4" w:space="0" w:color="auto"/>
              <w:right w:val="single" w:sz="4" w:space="0" w:color="auto"/>
            </w:tcBorders>
            <w:hideMark/>
          </w:tcPr>
          <w:p w14:paraId="6657D347" w14:textId="77777777" w:rsidR="00A967D5" w:rsidRPr="0049402B" w:rsidRDefault="00A967D5" w:rsidP="00E542D5">
            <w:pPr>
              <w:spacing w:before="0" w:after="0"/>
              <w:jc w:val="center"/>
              <w:rPr>
                <w:szCs w:val="20"/>
                <w:lang w:val="es-ES"/>
              </w:rPr>
            </w:pPr>
            <w:r w:rsidRPr="0049402B">
              <w:rPr>
                <w:rFonts w:cstheme="minorHAnsi"/>
                <w:szCs w:val="20"/>
              </w:rPr>
              <w:t>1,577.53 ± 462.71</w:t>
            </w:r>
          </w:p>
        </w:tc>
        <w:tc>
          <w:tcPr>
            <w:tcW w:w="1032" w:type="pct"/>
            <w:tcBorders>
              <w:top w:val="single" w:sz="4" w:space="0" w:color="auto"/>
              <w:left w:val="single" w:sz="4" w:space="0" w:color="auto"/>
              <w:bottom w:val="single" w:sz="4" w:space="0" w:color="auto"/>
              <w:right w:val="single" w:sz="4" w:space="0" w:color="auto"/>
            </w:tcBorders>
            <w:hideMark/>
          </w:tcPr>
          <w:p w14:paraId="52514034" w14:textId="77777777" w:rsidR="00A967D5" w:rsidRPr="0049402B" w:rsidRDefault="00A967D5" w:rsidP="00E542D5">
            <w:pPr>
              <w:spacing w:before="0" w:after="0"/>
              <w:jc w:val="center"/>
              <w:rPr>
                <w:szCs w:val="20"/>
                <w:lang w:val="es-ES"/>
              </w:rPr>
            </w:pPr>
            <w:r w:rsidRPr="0049402B">
              <w:rPr>
                <w:rFonts w:cstheme="minorHAnsi"/>
                <w:szCs w:val="20"/>
              </w:rPr>
              <w:t>1,675.36 ± 480.00</w:t>
            </w:r>
          </w:p>
        </w:tc>
        <w:tc>
          <w:tcPr>
            <w:tcW w:w="999" w:type="pct"/>
            <w:tcBorders>
              <w:top w:val="single" w:sz="4" w:space="0" w:color="auto"/>
              <w:left w:val="single" w:sz="4" w:space="0" w:color="auto"/>
              <w:bottom w:val="single" w:sz="4" w:space="0" w:color="auto"/>
              <w:right w:val="single" w:sz="4" w:space="0" w:color="auto"/>
            </w:tcBorders>
            <w:hideMark/>
          </w:tcPr>
          <w:p w14:paraId="1218FCEF" w14:textId="77777777" w:rsidR="00A967D5" w:rsidRPr="0049402B" w:rsidRDefault="00A967D5" w:rsidP="00E542D5">
            <w:pPr>
              <w:spacing w:before="0" w:after="0"/>
              <w:jc w:val="center"/>
              <w:rPr>
                <w:szCs w:val="20"/>
                <w:lang w:val="es-ES"/>
              </w:rPr>
            </w:pPr>
            <w:r w:rsidRPr="0049402B">
              <w:rPr>
                <w:rFonts w:cstheme="minorHAnsi"/>
                <w:szCs w:val="20"/>
              </w:rPr>
              <w:t>1,369.13 ± 344.19</w:t>
            </w:r>
          </w:p>
        </w:tc>
        <w:tc>
          <w:tcPr>
            <w:tcW w:w="853" w:type="pct"/>
            <w:tcBorders>
              <w:top w:val="single" w:sz="4" w:space="0" w:color="auto"/>
              <w:left w:val="single" w:sz="4" w:space="0" w:color="auto"/>
              <w:bottom w:val="single" w:sz="4" w:space="0" w:color="auto"/>
              <w:right w:val="single" w:sz="4" w:space="0" w:color="auto"/>
            </w:tcBorders>
            <w:hideMark/>
          </w:tcPr>
          <w:p w14:paraId="63AC21D5" w14:textId="77777777" w:rsidR="00A967D5" w:rsidRPr="0049402B" w:rsidRDefault="00A967D5" w:rsidP="00E542D5">
            <w:pPr>
              <w:spacing w:before="0" w:after="0"/>
              <w:jc w:val="center"/>
              <w:rPr>
                <w:szCs w:val="20"/>
                <w:lang w:val="es-ES"/>
              </w:rPr>
            </w:pPr>
            <w:r w:rsidRPr="0049402B">
              <w:rPr>
                <w:szCs w:val="20"/>
              </w:rPr>
              <w:t>&lt;0.0001</w:t>
            </w:r>
          </w:p>
        </w:tc>
      </w:tr>
      <w:tr w:rsidR="00A967D5" w14:paraId="37E956BB"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16C5FCC0" w14:textId="77777777" w:rsidR="00A967D5" w:rsidRPr="0049402B" w:rsidRDefault="00A967D5" w:rsidP="00E542D5">
            <w:pPr>
              <w:spacing w:before="0" w:after="0"/>
              <w:rPr>
                <w:b/>
                <w:bCs/>
                <w:szCs w:val="20"/>
                <w:u w:val="single"/>
                <w:lang w:val="es-ES"/>
              </w:rPr>
            </w:pPr>
            <w:r w:rsidRPr="0049402B">
              <w:rPr>
                <w:b/>
                <w:bCs/>
                <w:szCs w:val="20"/>
              </w:rPr>
              <w:t>Plus dis</w:t>
            </w:r>
            <w:r w:rsidRPr="0049402B">
              <w:rPr>
                <w:b/>
                <w:bCs/>
                <w:szCs w:val="20"/>
                <w:u w:val="single"/>
              </w:rPr>
              <w:t>ease</w:t>
            </w:r>
          </w:p>
        </w:tc>
        <w:tc>
          <w:tcPr>
            <w:tcW w:w="1021" w:type="pct"/>
            <w:tcBorders>
              <w:top w:val="single" w:sz="4" w:space="0" w:color="auto"/>
              <w:left w:val="single" w:sz="4" w:space="0" w:color="auto"/>
              <w:bottom w:val="single" w:sz="4" w:space="0" w:color="auto"/>
              <w:right w:val="single" w:sz="4" w:space="0" w:color="auto"/>
            </w:tcBorders>
            <w:hideMark/>
          </w:tcPr>
          <w:p w14:paraId="447E048D" w14:textId="77777777" w:rsidR="00A967D5" w:rsidRPr="0049402B" w:rsidRDefault="00A967D5" w:rsidP="00E542D5">
            <w:pPr>
              <w:spacing w:before="0" w:after="0"/>
              <w:jc w:val="center"/>
              <w:rPr>
                <w:szCs w:val="20"/>
                <w:lang w:val="es-ES"/>
              </w:rPr>
            </w:pPr>
            <w:r w:rsidRPr="0049402B">
              <w:rPr>
                <w:szCs w:val="20"/>
              </w:rPr>
              <w:t>23 (15.97%)</w:t>
            </w:r>
          </w:p>
        </w:tc>
        <w:tc>
          <w:tcPr>
            <w:tcW w:w="1032" w:type="pct"/>
            <w:tcBorders>
              <w:top w:val="single" w:sz="4" w:space="0" w:color="auto"/>
              <w:left w:val="single" w:sz="4" w:space="0" w:color="auto"/>
              <w:bottom w:val="single" w:sz="4" w:space="0" w:color="auto"/>
              <w:right w:val="single" w:sz="4" w:space="0" w:color="auto"/>
            </w:tcBorders>
            <w:hideMark/>
          </w:tcPr>
          <w:p w14:paraId="318174E8" w14:textId="77777777" w:rsidR="00A967D5" w:rsidRPr="0049402B" w:rsidRDefault="00A967D5" w:rsidP="00E542D5">
            <w:pPr>
              <w:spacing w:before="0" w:after="0"/>
              <w:jc w:val="center"/>
              <w:rPr>
                <w:szCs w:val="20"/>
                <w:lang w:val="es-ES"/>
              </w:rPr>
            </w:pPr>
            <w:r w:rsidRPr="0049402B">
              <w:rPr>
                <w:szCs w:val="20"/>
              </w:rPr>
              <w:t>11 (11.22%)</w:t>
            </w:r>
          </w:p>
        </w:tc>
        <w:tc>
          <w:tcPr>
            <w:tcW w:w="999" w:type="pct"/>
            <w:tcBorders>
              <w:top w:val="single" w:sz="4" w:space="0" w:color="auto"/>
              <w:left w:val="single" w:sz="4" w:space="0" w:color="auto"/>
              <w:bottom w:val="single" w:sz="4" w:space="0" w:color="auto"/>
              <w:right w:val="single" w:sz="4" w:space="0" w:color="auto"/>
            </w:tcBorders>
            <w:hideMark/>
          </w:tcPr>
          <w:p w14:paraId="4E6EC065" w14:textId="77777777" w:rsidR="00A967D5" w:rsidRPr="0049402B" w:rsidRDefault="00A967D5" w:rsidP="00E542D5">
            <w:pPr>
              <w:spacing w:before="0" w:after="0"/>
              <w:jc w:val="center"/>
              <w:rPr>
                <w:szCs w:val="20"/>
                <w:lang w:val="es-ES"/>
              </w:rPr>
            </w:pPr>
            <w:r w:rsidRPr="0049402B">
              <w:rPr>
                <w:szCs w:val="20"/>
              </w:rPr>
              <w:t>12 (26.09%)</w:t>
            </w:r>
          </w:p>
        </w:tc>
        <w:tc>
          <w:tcPr>
            <w:tcW w:w="853" w:type="pct"/>
            <w:tcBorders>
              <w:top w:val="single" w:sz="4" w:space="0" w:color="auto"/>
              <w:left w:val="single" w:sz="4" w:space="0" w:color="auto"/>
              <w:bottom w:val="single" w:sz="4" w:space="0" w:color="auto"/>
              <w:right w:val="single" w:sz="4" w:space="0" w:color="auto"/>
            </w:tcBorders>
            <w:hideMark/>
          </w:tcPr>
          <w:p w14:paraId="09D7D3E9" w14:textId="77777777" w:rsidR="00A967D5" w:rsidRPr="0049402B" w:rsidRDefault="00A967D5" w:rsidP="00E542D5">
            <w:pPr>
              <w:spacing w:before="0" w:after="0"/>
              <w:jc w:val="center"/>
              <w:rPr>
                <w:szCs w:val="20"/>
                <w:lang w:val="es-ES"/>
              </w:rPr>
            </w:pPr>
            <w:r w:rsidRPr="0049402B">
              <w:rPr>
                <w:szCs w:val="20"/>
              </w:rPr>
              <w:t>0.0232</w:t>
            </w:r>
          </w:p>
        </w:tc>
      </w:tr>
      <w:tr w:rsidR="00A967D5" w14:paraId="42EB5C92"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0DB1098C" w14:textId="77777777" w:rsidR="00A967D5" w:rsidRPr="0049402B" w:rsidRDefault="00A967D5" w:rsidP="00E542D5">
            <w:pPr>
              <w:spacing w:before="0" w:after="0"/>
              <w:rPr>
                <w:b/>
                <w:bCs/>
                <w:szCs w:val="20"/>
                <w:lang w:val="es-ES"/>
              </w:rPr>
            </w:pPr>
            <w:r w:rsidRPr="0049402B">
              <w:rPr>
                <w:b/>
                <w:bCs/>
                <w:szCs w:val="20"/>
              </w:rPr>
              <w:t>Caffeine</w:t>
            </w:r>
          </w:p>
        </w:tc>
        <w:tc>
          <w:tcPr>
            <w:tcW w:w="1021" w:type="pct"/>
            <w:tcBorders>
              <w:top w:val="single" w:sz="4" w:space="0" w:color="auto"/>
              <w:left w:val="single" w:sz="4" w:space="0" w:color="auto"/>
              <w:bottom w:val="single" w:sz="4" w:space="0" w:color="auto"/>
              <w:right w:val="single" w:sz="4" w:space="0" w:color="auto"/>
            </w:tcBorders>
            <w:hideMark/>
          </w:tcPr>
          <w:p w14:paraId="5BC7E985" w14:textId="77777777" w:rsidR="00A967D5" w:rsidRPr="0049402B" w:rsidRDefault="00A967D5" w:rsidP="00E542D5">
            <w:pPr>
              <w:spacing w:before="0" w:after="0"/>
              <w:jc w:val="center"/>
              <w:rPr>
                <w:szCs w:val="20"/>
                <w:lang w:val="es-ES"/>
              </w:rPr>
            </w:pPr>
            <w:r w:rsidRPr="0049402B">
              <w:rPr>
                <w:szCs w:val="20"/>
              </w:rPr>
              <w:t>81 (56.25%)</w:t>
            </w:r>
          </w:p>
        </w:tc>
        <w:tc>
          <w:tcPr>
            <w:tcW w:w="1032" w:type="pct"/>
            <w:tcBorders>
              <w:top w:val="single" w:sz="4" w:space="0" w:color="auto"/>
              <w:left w:val="single" w:sz="4" w:space="0" w:color="auto"/>
              <w:bottom w:val="single" w:sz="4" w:space="0" w:color="auto"/>
              <w:right w:val="single" w:sz="4" w:space="0" w:color="auto"/>
            </w:tcBorders>
            <w:hideMark/>
          </w:tcPr>
          <w:p w14:paraId="1F566CDC" w14:textId="77777777" w:rsidR="00A967D5" w:rsidRPr="0049402B" w:rsidRDefault="00A967D5" w:rsidP="00E542D5">
            <w:pPr>
              <w:spacing w:before="0" w:after="0"/>
              <w:jc w:val="center"/>
              <w:rPr>
                <w:szCs w:val="20"/>
                <w:lang w:val="es-ES"/>
              </w:rPr>
            </w:pPr>
            <w:r w:rsidRPr="0049402B">
              <w:rPr>
                <w:szCs w:val="20"/>
              </w:rPr>
              <w:t>49 (50.00%)</w:t>
            </w:r>
          </w:p>
        </w:tc>
        <w:tc>
          <w:tcPr>
            <w:tcW w:w="999" w:type="pct"/>
            <w:tcBorders>
              <w:top w:val="single" w:sz="4" w:space="0" w:color="auto"/>
              <w:left w:val="single" w:sz="4" w:space="0" w:color="auto"/>
              <w:bottom w:val="single" w:sz="4" w:space="0" w:color="auto"/>
              <w:right w:val="single" w:sz="4" w:space="0" w:color="auto"/>
            </w:tcBorders>
            <w:hideMark/>
          </w:tcPr>
          <w:p w14:paraId="519AE9B8" w14:textId="77777777" w:rsidR="00A967D5" w:rsidRPr="0049402B" w:rsidRDefault="00A967D5" w:rsidP="00E542D5">
            <w:pPr>
              <w:spacing w:before="0" w:after="0"/>
              <w:jc w:val="center"/>
              <w:rPr>
                <w:szCs w:val="20"/>
                <w:lang w:val="es-ES"/>
              </w:rPr>
            </w:pPr>
            <w:r w:rsidRPr="0049402B">
              <w:rPr>
                <w:szCs w:val="20"/>
              </w:rPr>
              <w:t>32 (69.57%)</w:t>
            </w:r>
          </w:p>
        </w:tc>
        <w:tc>
          <w:tcPr>
            <w:tcW w:w="853" w:type="pct"/>
            <w:tcBorders>
              <w:top w:val="single" w:sz="4" w:space="0" w:color="auto"/>
              <w:left w:val="single" w:sz="4" w:space="0" w:color="auto"/>
              <w:bottom w:val="single" w:sz="4" w:space="0" w:color="auto"/>
              <w:right w:val="single" w:sz="4" w:space="0" w:color="auto"/>
            </w:tcBorders>
            <w:hideMark/>
          </w:tcPr>
          <w:p w14:paraId="3F0521B8" w14:textId="77777777" w:rsidR="00A967D5" w:rsidRPr="0049402B" w:rsidRDefault="00A967D5" w:rsidP="00E542D5">
            <w:pPr>
              <w:spacing w:before="0" w:after="0"/>
              <w:jc w:val="center"/>
              <w:rPr>
                <w:szCs w:val="20"/>
                <w:lang w:val="es-ES"/>
              </w:rPr>
            </w:pPr>
            <w:r w:rsidRPr="0049402B">
              <w:rPr>
                <w:szCs w:val="20"/>
              </w:rPr>
              <w:t>0.0273</w:t>
            </w:r>
          </w:p>
        </w:tc>
      </w:tr>
      <w:tr w:rsidR="00A967D5" w14:paraId="336A2F4E"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5A4B26E0" w14:textId="77777777" w:rsidR="00A967D5" w:rsidRPr="0049402B" w:rsidRDefault="00A967D5" w:rsidP="00E542D5">
            <w:pPr>
              <w:spacing w:before="0" w:after="0"/>
              <w:rPr>
                <w:b/>
                <w:bCs/>
                <w:szCs w:val="20"/>
                <w:lang w:val="es-ES"/>
              </w:rPr>
            </w:pPr>
            <w:r w:rsidRPr="0049402B">
              <w:rPr>
                <w:b/>
                <w:bCs/>
                <w:szCs w:val="20"/>
              </w:rPr>
              <w:t>Oxygen administration (days)</w:t>
            </w:r>
          </w:p>
        </w:tc>
        <w:tc>
          <w:tcPr>
            <w:tcW w:w="1021" w:type="pct"/>
            <w:tcBorders>
              <w:top w:val="single" w:sz="4" w:space="0" w:color="auto"/>
              <w:left w:val="single" w:sz="4" w:space="0" w:color="auto"/>
              <w:bottom w:val="single" w:sz="4" w:space="0" w:color="auto"/>
              <w:right w:val="single" w:sz="4" w:space="0" w:color="auto"/>
            </w:tcBorders>
            <w:hideMark/>
          </w:tcPr>
          <w:p w14:paraId="101F576A" w14:textId="77777777" w:rsidR="00A967D5" w:rsidRPr="0049402B" w:rsidRDefault="00A967D5" w:rsidP="00E542D5">
            <w:pPr>
              <w:spacing w:before="0" w:after="0"/>
              <w:jc w:val="center"/>
              <w:rPr>
                <w:szCs w:val="20"/>
                <w:lang w:val="es-ES"/>
              </w:rPr>
            </w:pPr>
            <w:r w:rsidRPr="0049402B">
              <w:rPr>
                <w:rFonts w:cstheme="minorHAnsi"/>
                <w:szCs w:val="20"/>
              </w:rPr>
              <w:t>21.72 ± 14.17</w:t>
            </w:r>
          </w:p>
        </w:tc>
        <w:tc>
          <w:tcPr>
            <w:tcW w:w="1032" w:type="pct"/>
            <w:tcBorders>
              <w:top w:val="single" w:sz="4" w:space="0" w:color="auto"/>
              <w:left w:val="single" w:sz="4" w:space="0" w:color="auto"/>
              <w:bottom w:val="single" w:sz="4" w:space="0" w:color="auto"/>
              <w:right w:val="single" w:sz="4" w:space="0" w:color="auto"/>
            </w:tcBorders>
            <w:hideMark/>
          </w:tcPr>
          <w:p w14:paraId="1D693089" w14:textId="77777777" w:rsidR="00A967D5" w:rsidRPr="0049402B" w:rsidRDefault="00A967D5" w:rsidP="00E542D5">
            <w:pPr>
              <w:spacing w:before="0" w:after="0"/>
              <w:jc w:val="center"/>
              <w:rPr>
                <w:szCs w:val="20"/>
                <w:lang w:val="es-ES"/>
              </w:rPr>
            </w:pPr>
            <w:r w:rsidRPr="0049402B">
              <w:rPr>
                <w:rFonts w:cstheme="minorHAnsi"/>
                <w:szCs w:val="20"/>
              </w:rPr>
              <w:t>23.21 ± 15.14</w:t>
            </w:r>
          </w:p>
        </w:tc>
        <w:tc>
          <w:tcPr>
            <w:tcW w:w="999" w:type="pct"/>
            <w:tcBorders>
              <w:top w:val="single" w:sz="4" w:space="0" w:color="auto"/>
              <w:left w:val="single" w:sz="4" w:space="0" w:color="auto"/>
              <w:bottom w:val="single" w:sz="4" w:space="0" w:color="auto"/>
              <w:right w:val="single" w:sz="4" w:space="0" w:color="auto"/>
            </w:tcBorders>
            <w:hideMark/>
          </w:tcPr>
          <w:p w14:paraId="6777C5FE" w14:textId="77777777" w:rsidR="00A967D5" w:rsidRPr="0049402B" w:rsidRDefault="00A967D5" w:rsidP="00E542D5">
            <w:pPr>
              <w:spacing w:before="0" w:after="0"/>
              <w:jc w:val="center"/>
              <w:rPr>
                <w:szCs w:val="20"/>
                <w:lang w:val="es-ES"/>
              </w:rPr>
            </w:pPr>
            <w:r w:rsidRPr="0049402B">
              <w:rPr>
                <w:rFonts w:cstheme="minorHAnsi"/>
                <w:szCs w:val="20"/>
              </w:rPr>
              <w:t>18.52 ± 11.36</w:t>
            </w:r>
          </w:p>
        </w:tc>
        <w:tc>
          <w:tcPr>
            <w:tcW w:w="853" w:type="pct"/>
            <w:tcBorders>
              <w:top w:val="single" w:sz="4" w:space="0" w:color="auto"/>
              <w:left w:val="single" w:sz="4" w:space="0" w:color="auto"/>
              <w:bottom w:val="single" w:sz="4" w:space="0" w:color="auto"/>
              <w:right w:val="single" w:sz="4" w:space="0" w:color="auto"/>
            </w:tcBorders>
            <w:hideMark/>
          </w:tcPr>
          <w:p w14:paraId="78F39363" w14:textId="77777777" w:rsidR="00A967D5" w:rsidRPr="0049402B" w:rsidRDefault="00A967D5" w:rsidP="00E542D5">
            <w:pPr>
              <w:spacing w:before="0" w:after="0"/>
              <w:jc w:val="center"/>
              <w:rPr>
                <w:szCs w:val="20"/>
                <w:lang w:val="es-ES"/>
              </w:rPr>
            </w:pPr>
            <w:r w:rsidRPr="0049402B">
              <w:rPr>
                <w:szCs w:val="20"/>
              </w:rPr>
              <w:t>0.0656</w:t>
            </w:r>
          </w:p>
        </w:tc>
      </w:tr>
      <w:tr w:rsidR="00A967D5" w14:paraId="1B510494"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0BA5A45F" w14:textId="77777777" w:rsidR="00A967D5" w:rsidRPr="0049402B" w:rsidRDefault="00A967D5" w:rsidP="00E542D5">
            <w:pPr>
              <w:spacing w:before="0" w:after="0"/>
              <w:rPr>
                <w:b/>
                <w:bCs/>
                <w:szCs w:val="20"/>
                <w:lang w:val="es-ES"/>
              </w:rPr>
            </w:pPr>
            <w:r w:rsidRPr="0049402B">
              <w:rPr>
                <w:b/>
                <w:bCs/>
                <w:szCs w:val="20"/>
              </w:rPr>
              <w:t>Sepsis</w:t>
            </w:r>
          </w:p>
        </w:tc>
        <w:tc>
          <w:tcPr>
            <w:tcW w:w="1021" w:type="pct"/>
            <w:tcBorders>
              <w:top w:val="single" w:sz="4" w:space="0" w:color="auto"/>
              <w:left w:val="single" w:sz="4" w:space="0" w:color="auto"/>
              <w:bottom w:val="single" w:sz="4" w:space="0" w:color="auto"/>
              <w:right w:val="single" w:sz="4" w:space="0" w:color="auto"/>
            </w:tcBorders>
            <w:hideMark/>
          </w:tcPr>
          <w:p w14:paraId="6C9F8C9A" w14:textId="77777777" w:rsidR="00A967D5" w:rsidRPr="0049402B" w:rsidRDefault="00A967D5" w:rsidP="00E542D5">
            <w:pPr>
              <w:spacing w:before="0" w:after="0"/>
              <w:jc w:val="center"/>
              <w:rPr>
                <w:szCs w:val="20"/>
                <w:lang w:val="es-ES"/>
              </w:rPr>
            </w:pPr>
            <w:r w:rsidRPr="0049402B">
              <w:rPr>
                <w:szCs w:val="20"/>
              </w:rPr>
              <w:t>95 (65.97%)</w:t>
            </w:r>
          </w:p>
        </w:tc>
        <w:tc>
          <w:tcPr>
            <w:tcW w:w="1032" w:type="pct"/>
            <w:tcBorders>
              <w:top w:val="single" w:sz="4" w:space="0" w:color="auto"/>
              <w:left w:val="single" w:sz="4" w:space="0" w:color="auto"/>
              <w:bottom w:val="single" w:sz="4" w:space="0" w:color="auto"/>
              <w:right w:val="single" w:sz="4" w:space="0" w:color="auto"/>
            </w:tcBorders>
            <w:hideMark/>
          </w:tcPr>
          <w:p w14:paraId="3FE1E3B6" w14:textId="77777777" w:rsidR="00A967D5" w:rsidRPr="0049402B" w:rsidRDefault="00A967D5" w:rsidP="00E542D5">
            <w:pPr>
              <w:spacing w:before="0" w:after="0"/>
              <w:jc w:val="center"/>
              <w:rPr>
                <w:szCs w:val="20"/>
                <w:lang w:val="es-ES"/>
              </w:rPr>
            </w:pPr>
            <w:r w:rsidRPr="0049402B">
              <w:rPr>
                <w:szCs w:val="20"/>
              </w:rPr>
              <w:t>58 (59.18%)</w:t>
            </w:r>
          </w:p>
        </w:tc>
        <w:tc>
          <w:tcPr>
            <w:tcW w:w="999" w:type="pct"/>
            <w:tcBorders>
              <w:top w:val="single" w:sz="4" w:space="0" w:color="auto"/>
              <w:left w:val="single" w:sz="4" w:space="0" w:color="auto"/>
              <w:bottom w:val="single" w:sz="4" w:space="0" w:color="auto"/>
              <w:right w:val="single" w:sz="4" w:space="0" w:color="auto"/>
            </w:tcBorders>
            <w:hideMark/>
          </w:tcPr>
          <w:p w14:paraId="57E98905" w14:textId="77777777" w:rsidR="00A967D5" w:rsidRPr="0049402B" w:rsidRDefault="00A967D5" w:rsidP="00E542D5">
            <w:pPr>
              <w:spacing w:before="0" w:after="0"/>
              <w:jc w:val="center"/>
              <w:rPr>
                <w:szCs w:val="20"/>
                <w:lang w:val="es-ES"/>
              </w:rPr>
            </w:pPr>
            <w:r w:rsidRPr="0049402B">
              <w:rPr>
                <w:szCs w:val="20"/>
              </w:rPr>
              <w:t>37 (80.43%)</w:t>
            </w:r>
          </w:p>
        </w:tc>
        <w:tc>
          <w:tcPr>
            <w:tcW w:w="853" w:type="pct"/>
            <w:tcBorders>
              <w:top w:val="single" w:sz="4" w:space="0" w:color="auto"/>
              <w:left w:val="single" w:sz="4" w:space="0" w:color="auto"/>
              <w:bottom w:val="single" w:sz="4" w:space="0" w:color="auto"/>
              <w:right w:val="single" w:sz="4" w:space="0" w:color="auto"/>
            </w:tcBorders>
            <w:hideMark/>
          </w:tcPr>
          <w:p w14:paraId="353A5EBB" w14:textId="77777777" w:rsidR="00A967D5" w:rsidRPr="0049402B" w:rsidRDefault="00A967D5" w:rsidP="00E542D5">
            <w:pPr>
              <w:spacing w:before="0" w:after="0"/>
              <w:jc w:val="center"/>
              <w:rPr>
                <w:szCs w:val="20"/>
                <w:lang w:val="es-ES"/>
              </w:rPr>
            </w:pPr>
            <w:r w:rsidRPr="0049402B">
              <w:rPr>
                <w:szCs w:val="20"/>
              </w:rPr>
              <w:t>0.0121</w:t>
            </w:r>
          </w:p>
        </w:tc>
      </w:tr>
      <w:tr w:rsidR="00A967D5" w14:paraId="41FF8193"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0E2950AD" w14:textId="77777777" w:rsidR="00A967D5" w:rsidRPr="0049402B" w:rsidRDefault="00A967D5" w:rsidP="00E542D5">
            <w:pPr>
              <w:spacing w:before="0" w:after="0"/>
              <w:rPr>
                <w:b/>
                <w:bCs/>
                <w:szCs w:val="20"/>
                <w:lang w:val="es-ES"/>
              </w:rPr>
            </w:pPr>
            <w:r w:rsidRPr="0049402B">
              <w:rPr>
                <w:b/>
                <w:bCs/>
                <w:szCs w:val="20"/>
              </w:rPr>
              <w:t>Red blood cell transfusions</w:t>
            </w:r>
          </w:p>
        </w:tc>
        <w:tc>
          <w:tcPr>
            <w:tcW w:w="1021" w:type="pct"/>
            <w:tcBorders>
              <w:top w:val="single" w:sz="4" w:space="0" w:color="auto"/>
              <w:left w:val="single" w:sz="4" w:space="0" w:color="auto"/>
              <w:bottom w:val="single" w:sz="4" w:space="0" w:color="auto"/>
              <w:right w:val="single" w:sz="4" w:space="0" w:color="auto"/>
            </w:tcBorders>
            <w:hideMark/>
          </w:tcPr>
          <w:p w14:paraId="6208A515" w14:textId="77777777" w:rsidR="00A967D5" w:rsidRPr="0049402B" w:rsidRDefault="00A967D5" w:rsidP="00E542D5">
            <w:pPr>
              <w:spacing w:before="0" w:after="0"/>
              <w:jc w:val="center"/>
              <w:rPr>
                <w:szCs w:val="20"/>
                <w:lang w:val="es-ES"/>
              </w:rPr>
            </w:pPr>
            <w:r w:rsidRPr="0049402B">
              <w:rPr>
                <w:szCs w:val="20"/>
              </w:rPr>
              <w:t>68 (47.22%)</w:t>
            </w:r>
          </w:p>
        </w:tc>
        <w:tc>
          <w:tcPr>
            <w:tcW w:w="1032" w:type="pct"/>
            <w:tcBorders>
              <w:top w:val="single" w:sz="4" w:space="0" w:color="auto"/>
              <w:left w:val="single" w:sz="4" w:space="0" w:color="auto"/>
              <w:bottom w:val="single" w:sz="4" w:space="0" w:color="auto"/>
              <w:right w:val="single" w:sz="4" w:space="0" w:color="auto"/>
            </w:tcBorders>
            <w:hideMark/>
          </w:tcPr>
          <w:p w14:paraId="00B2053A" w14:textId="77777777" w:rsidR="00A967D5" w:rsidRPr="0049402B" w:rsidRDefault="00A967D5" w:rsidP="00E542D5">
            <w:pPr>
              <w:spacing w:before="0" w:after="0"/>
              <w:jc w:val="center"/>
              <w:rPr>
                <w:szCs w:val="20"/>
                <w:lang w:val="es-ES"/>
              </w:rPr>
            </w:pPr>
            <w:r w:rsidRPr="0049402B">
              <w:rPr>
                <w:szCs w:val="20"/>
              </w:rPr>
              <w:t>33 (33.67%)</w:t>
            </w:r>
          </w:p>
        </w:tc>
        <w:tc>
          <w:tcPr>
            <w:tcW w:w="999" w:type="pct"/>
            <w:tcBorders>
              <w:top w:val="single" w:sz="4" w:space="0" w:color="auto"/>
              <w:left w:val="single" w:sz="4" w:space="0" w:color="auto"/>
              <w:bottom w:val="single" w:sz="4" w:space="0" w:color="auto"/>
              <w:right w:val="single" w:sz="4" w:space="0" w:color="auto"/>
            </w:tcBorders>
            <w:hideMark/>
          </w:tcPr>
          <w:p w14:paraId="487F3971" w14:textId="77777777" w:rsidR="00A967D5" w:rsidRPr="0049402B" w:rsidRDefault="00A967D5" w:rsidP="00E542D5">
            <w:pPr>
              <w:spacing w:before="0" w:after="0"/>
              <w:jc w:val="center"/>
              <w:rPr>
                <w:szCs w:val="20"/>
                <w:lang w:val="es-ES"/>
              </w:rPr>
            </w:pPr>
            <w:r w:rsidRPr="0049402B">
              <w:rPr>
                <w:szCs w:val="20"/>
              </w:rPr>
              <w:t>35 (76.09%)</w:t>
            </w:r>
          </w:p>
        </w:tc>
        <w:tc>
          <w:tcPr>
            <w:tcW w:w="853" w:type="pct"/>
            <w:tcBorders>
              <w:top w:val="single" w:sz="4" w:space="0" w:color="auto"/>
              <w:left w:val="single" w:sz="4" w:space="0" w:color="auto"/>
              <w:bottom w:val="single" w:sz="4" w:space="0" w:color="auto"/>
              <w:right w:val="single" w:sz="4" w:space="0" w:color="auto"/>
            </w:tcBorders>
            <w:hideMark/>
          </w:tcPr>
          <w:p w14:paraId="53CB86CE" w14:textId="77777777" w:rsidR="00A967D5" w:rsidRPr="0049402B" w:rsidRDefault="00A967D5" w:rsidP="00E542D5">
            <w:pPr>
              <w:spacing w:before="0" w:after="0"/>
              <w:jc w:val="center"/>
              <w:rPr>
                <w:szCs w:val="20"/>
                <w:lang w:val="es-ES"/>
              </w:rPr>
            </w:pPr>
            <w:r w:rsidRPr="0049402B">
              <w:rPr>
                <w:szCs w:val="20"/>
              </w:rPr>
              <w:t>&lt;0.0001</w:t>
            </w:r>
          </w:p>
        </w:tc>
      </w:tr>
      <w:tr w:rsidR="00A967D5" w14:paraId="2D9C1306"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021ABE18" w14:textId="77777777" w:rsidR="00A967D5" w:rsidRPr="0049402B" w:rsidRDefault="00A967D5" w:rsidP="00E542D5">
            <w:pPr>
              <w:spacing w:before="0" w:after="0"/>
              <w:rPr>
                <w:b/>
                <w:bCs/>
                <w:szCs w:val="20"/>
                <w:lang w:val="es-ES"/>
              </w:rPr>
            </w:pPr>
            <w:r w:rsidRPr="0049402B">
              <w:rPr>
                <w:b/>
                <w:bCs/>
                <w:szCs w:val="20"/>
              </w:rPr>
              <w:t>Intraventricular hemorrhage</w:t>
            </w:r>
          </w:p>
        </w:tc>
        <w:tc>
          <w:tcPr>
            <w:tcW w:w="1021" w:type="pct"/>
            <w:tcBorders>
              <w:top w:val="single" w:sz="4" w:space="0" w:color="auto"/>
              <w:left w:val="single" w:sz="4" w:space="0" w:color="auto"/>
              <w:bottom w:val="single" w:sz="4" w:space="0" w:color="auto"/>
              <w:right w:val="single" w:sz="4" w:space="0" w:color="auto"/>
            </w:tcBorders>
            <w:hideMark/>
          </w:tcPr>
          <w:p w14:paraId="56FB6274" w14:textId="77777777" w:rsidR="00A967D5" w:rsidRPr="0049402B" w:rsidRDefault="00A967D5" w:rsidP="00E542D5">
            <w:pPr>
              <w:spacing w:before="0" w:after="0"/>
              <w:jc w:val="center"/>
              <w:rPr>
                <w:szCs w:val="20"/>
                <w:lang w:val="es-ES"/>
              </w:rPr>
            </w:pPr>
            <w:r w:rsidRPr="0049402B">
              <w:rPr>
                <w:szCs w:val="20"/>
              </w:rPr>
              <w:t>21 (14.58%)</w:t>
            </w:r>
          </w:p>
        </w:tc>
        <w:tc>
          <w:tcPr>
            <w:tcW w:w="1032" w:type="pct"/>
            <w:tcBorders>
              <w:top w:val="single" w:sz="4" w:space="0" w:color="auto"/>
              <w:left w:val="single" w:sz="4" w:space="0" w:color="auto"/>
              <w:bottom w:val="single" w:sz="4" w:space="0" w:color="auto"/>
              <w:right w:val="single" w:sz="4" w:space="0" w:color="auto"/>
            </w:tcBorders>
            <w:hideMark/>
          </w:tcPr>
          <w:p w14:paraId="04FCDDC7" w14:textId="77777777" w:rsidR="00A967D5" w:rsidRPr="0049402B" w:rsidRDefault="00A967D5" w:rsidP="00E542D5">
            <w:pPr>
              <w:spacing w:before="0" w:after="0"/>
              <w:jc w:val="center"/>
              <w:rPr>
                <w:szCs w:val="20"/>
                <w:lang w:val="es-ES"/>
              </w:rPr>
            </w:pPr>
            <w:r w:rsidRPr="0049402B">
              <w:rPr>
                <w:szCs w:val="20"/>
              </w:rPr>
              <w:t>2 (2.04%)</w:t>
            </w:r>
          </w:p>
        </w:tc>
        <w:tc>
          <w:tcPr>
            <w:tcW w:w="999" w:type="pct"/>
            <w:tcBorders>
              <w:top w:val="single" w:sz="4" w:space="0" w:color="auto"/>
              <w:left w:val="single" w:sz="4" w:space="0" w:color="auto"/>
              <w:bottom w:val="single" w:sz="4" w:space="0" w:color="auto"/>
              <w:right w:val="single" w:sz="4" w:space="0" w:color="auto"/>
            </w:tcBorders>
            <w:hideMark/>
          </w:tcPr>
          <w:p w14:paraId="73D4D968" w14:textId="77777777" w:rsidR="00A967D5" w:rsidRPr="0049402B" w:rsidRDefault="00A967D5" w:rsidP="00E542D5">
            <w:pPr>
              <w:spacing w:before="0" w:after="0"/>
              <w:jc w:val="center"/>
              <w:rPr>
                <w:szCs w:val="20"/>
                <w:lang w:val="es-ES"/>
              </w:rPr>
            </w:pPr>
            <w:r w:rsidRPr="0049402B">
              <w:rPr>
                <w:szCs w:val="20"/>
              </w:rPr>
              <w:t>19 (41.30%)</w:t>
            </w:r>
          </w:p>
        </w:tc>
        <w:tc>
          <w:tcPr>
            <w:tcW w:w="853" w:type="pct"/>
            <w:tcBorders>
              <w:top w:val="single" w:sz="4" w:space="0" w:color="auto"/>
              <w:left w:val="single" w:sz="4" w:space="0" w:color="auto"/>
              <w:bottom w:val="single" w:sz="4" w:space="0" w:color="auto"/>
              <w:right w:val="single" w:sz="4" w:space="0" w:color="auto"/>
            </w:tcBorders>
            <w:hideMark/>
          </w:tcPr>
          <w:p w14:paraId="47A55AE0" w14:textId="77777777" w:rsidR="00A967D5" w:rsidRPr="0049402B" w:rsidRDefault="00A967D5" w:rsidP="00E542D5">
            <w:pPr>
              <w:spacing w:before="0" w:after="0"/>
              <w:jc w:val="center"/>
              <w:rPr>
                <w:szCs w:val="20"/>
                <w:lang w:val="es-CO"/>
              </w:rPr>
            </w:pPr>
            <w:r w:rsidRPr="0049402B">
              <w:rPr>
                <w:szCs w:val="20"/>
              </w:rPr>
              <w:t>&lt;0.0001</w:t>
            </w:r>
          </w:p>
        </w:tc>
      </w:tr>
      <w:tr w:rsidR="00A967D5" w14:paraId="165B7D9D"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5792AA3D" w14:textId="77777777" w:rsidR="00A967D5" w:rsidRPr="0049402B" w:rsidRDefault="00A967D5" w:rsidP="00E542D5">
            <w:pPr>
              <w:spacing w:before="0" w:after="0"/>
              <w:rPr>
                <w:b/>
                <w:bCs/>
                <w:szCs w:val="20"/>
                <w:lang w:val="es-ES"/>
              </w:rPr>
            </w:pPr>
            <w:r w:rsidRPr="0049402B">
              <w:rPr>
                <w:b/>
                <w:bCs/>
                <w:szCs w:val="20"/>
              </w:rPr>
              <w:t>Hydrocephalus</w:t>
            </w:r>
          </w:p>
        </w:tc>
        <w:tc>
          <w:tcPr>
            <w:tcW w:w="1021" w:type="pct"/>
            <w:tcBorders>
              <w:top w:val="single" w:sz="4" w:space="0" w:color="auto"/>
              <w:left w:val="single" w:sz="4" w:space="0" w:color="auto"/>
              <w:bottom w:val="single" w:sz="4" w:space="0" w:color="auto"/>
              <w:right w:val="single" w:sz="4" w:space="0" w:color="auto"/>
            </w:tcBorders>
            <w:hideMark/>
          </w:tcPr>
          <w:p w14:paraId="3099D6EE" w14:textId="77777777" w:rsidR="00A967D5" w:rsidRPr="0049402B" w:rsidRDefault="00A967D5" w:rsidP="00E542D5">
            <w:pPr>
              <w:spacing w:before="0" w:after="0"/>
              <w:jc w:val="center"/>
              <w:rPr>
                <w:szCs w:val="20"/>
                <w:lang w:val="es-ES"/>
              </w:rPr>
            </w:pPr>
            <w:r w:rsidRPr="0049402B">
              <w:rPr>
                <w:szCs w:val="20"/>
              </w:rPr>
              <w:t>0 (0.00%)</w:t>
            </w:r>
          </w:p>
        </w:tc>
        <w:tc>
          <w:tcPr>
            <w:tcW w:w="1032" w:type="pct"/>
            <w:tcBorders>
              <w:top w:val="single" w:sz="4" w:space="0" w:color="auto"/>
              <w:left w:val="single" w:sz="4" w:space="0" w:color="auto"/>
              <w:bottom w:val="single" w:sz="4" w:space="0" w:color="auto"/>
              <w:right w:val="single" w:sz="4" w:space="0" w:color="auto"/>
            </w:tcBorders>
            <w:hideMark/>
          </w:tcPr>
          <w:p w14:paraId="18D72A1A" w14:textId="77777777" w:rsidR="00A967D5" w:rsidRPr="0049402B" w:rsidRDefault="00A967D5" w:rsidP="00E542D5">
            <w:pPr>
              <w:spacing w:before="0" w:after="0"/>
              <w:jc w:val="center"/>
              <w:rPr>
                <w:szCs w:val="20"/>
                <w:lang w:val="es-ES"/>
              </w:rPr>
            </w:pPr>
            <w:r w:rsidRPr="0049402B">
              <w:rPr>
                <w:szCs w:val="20"/>
              </w:rPr>
              <w:t>0 (0.00%)</w:t>
            </w:r>
          </w:p>
        </w:tc>
        <w:tc>
          <w:tcPr>
            <w:tcW w:w="999" w:type="pct"/>
            <w:tcBorders>
              <w:top w:val="single" w:sz="4" w:space="0" w:color="auto"/>
              <w:left w:val="single" w:sz="4" w:space="0" w:color="auto"/>
              <w:bottom w:val="single" w:sz="4" w:space="0" w:color="auto"/>
              <w:right w:val="single" w:sz="4" w:space="0" w:color="auto"/>
            </w:tcBorders>
            <w:hideMark/>
          </w:tcPr>
          <w:p w14:paraId="1176DF6B" w14:textId="77777777" w:rsidR="00A967D5" w:rsidRPr="0049402B" w:rsidRDefault="00A967D5" w:rsidP="00E542D5">
            <w:pPr>
              <w:spacing w:before="0" w:after="0"/>
              <w:jc w:val="center"/>
              <w:rPr>
                <w:szCs w:val="20"/>
                <w:lang w:val="es-ES"/>
              </w:rPr>
            </w:pPr>
            <w:r w:rsidRPr="0049402B">
              <w:rPr>
                <w:szCs w:val="20"/>
              </w:rPr>
              <w:t>0 (0.00%)</w:t>
            </w:r>
          </w:p>
        </w:tc>
        <w:tc>
          <w:tcPr>
            <w:tcW w:w="853" w:type="pct"/>
            <w:tcBorders>
              <w:top w:val="single" w:sz="4" w:space="0" w:color="auto"/>
              <w:left w:val="single" w:sz="4" w:space="0" w:color="auto"/>
              <w:bottom w:val="single" w:sz="4" w:space="0" w:color="auto"/>
              <w:right w:val="single" w:sz="4" w:space="0" w:color="auto"/>
            </w:tcBorders>
            <w:hideMark/>
          </w:tcPr>
          <w:p w14:paraId="1865D9A6" w14:textId="77777777" w:rsidR="00A967D5" w:rsidRPr="0049402B" w:rsidRDefault="00A967D5" w:rsidP="00E542D5">
            <w:pPr>
              <w:spacing w:before="0" w:after="0"/>
              <w:jc w:val="center"/>
              <w:rPr>
                <w:szCs w:val="20"/>
                <w:lang w:val="es-CO"/>
              </w:rPr>
            </w:pPr>
            <w:r w:rsidRPr="0049402B">
              <w:rPr>
                <w:szCs w:val="20"/>
              </w:rPr>
              <w:t>-</w:t>
            </w:r>
          </w:p>
        </w:tc>
      </w:tr>
      <w:tr w:rsidR="00A967D5" w14:paraId="18537A38"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4EEEAE60" w14:textId="77777777" w:rsidR="00A967D5" w:rsidRPr="0049402B" w:rsidRDefault="00A967D5" w:rsidP="00E542D5">
            <w:pPr>
              <w:spacing w:before="0" w:after="0"/>
              <w:rPr>
                <w:b/>
                <w:bCs/>
                <w:szCs w:val="20"/>
                <w:lang w:val="es-ES"/>
              </w:rPr>
            </w:pPr>
            <w:r w:rsidRPr="0049402B">
              <w:rPr>
                <w:b/>
                <w:bCs/>
                <w:szCs w:val="20"/>
              </w:rPr>
              <w:t>Pulmonary surfactant administrations</w:t>
            </w:r>
          </w:p>
        </w:tc>
        <w:tc>
          <w:tcPr>
            <w:tcW w:w="1021" w:type="pct"/>
            <w:tcBorders>
              <w:top w:val="single" w:sz="4" w:space="0" w:color="auto"/>
              <w:left w:val="single" w:sz="4" w:space="0" w:color="auto"/>
              <w:bottom w:val="single" w:sz="4" w:space="0" w:color="auto"/>
              <w:right w:val="single" w:sz="4" w:space="0" w:color="auto"/>
            </w:tcBorders>
            <w:hideMark/>
          </w:tcPr>
          <w:p w14:paraId="35A47783" w14:textId="77777777" w:rsidR="00A967D5" w:rsidRPr="0049402B" w:rsidRDefault="00A967D5" w:rsidP="00E542D5">
            <w:pPr>
              <w:spacing w:before="0" w:after="0"/>
              <w:jc w:val="center"/>
              <w:rPr>
                <w:szCs w:val="20"/>
                <w:lang w:val="es-ES"/>
              </w:rPr>
            </w:pPr>
            <w:r w:rsidRPr="0049402B">
              <w:rPr>
                <w:szCs w:val="20"/>
              </w:rPr>
              <w:t>96 (65.97%)</w:t>
            </w:r>
          </w:p>
        </w:tc>
        <w:tc>
          <w:tcPr>
            <w:tcW w:w="1032" w:type="pct"/>
            <w:tcBorders>
              <w:top w:val="single" w:sz="4" w:space="0" w:color="auto"/>
              <w:left w:val="single" w:sz="4" w:space="0" w:color="auto"/>
              <w:bottom w:val="single" w:sz="4" w:space="0" w:color="auto"/>
              <w:right w:val="single" w:sz="4" w:space="0" w:color="auto"/>
            </w:tcBorders>
            <w:hideMark/>
          </w:tcPr>
          <w:p w14:paraId="01899FE1" w14:textId="77777777" w:rsidR="00A967D5" w:rsidRPr="0049402B" w:rsidRDefault="00A967D5" w:rsidP="00E542D5">
            <w:pPr>
              <w:spacing w:before="0" w:after="0"/>
              <w:jc w:val="center"/>
              <w:rPr>
                <w:szCs w:val="20"/>
                <w:lang w:val="es-ES"/>
              </w:rPr>
            </w:pPr>
            <w:r w:rsidRPr="0049402B">
              <w:rPr>
                <w:szCs w:val="20"/>
              </w:rPr>
              <w:t>64 (65.31%)</w:t>
            </w:r>
          </w:p>
        </w:tc>
        <w:tc>
          <w:tcPr>
            <w:tcW w:w="999" w:type="pct"/>
            <w:tcBorders>
              <w:top w:val="single" w:sz="4" w:space="0" w:color="auto"/>
              <w:left w:val="single" w:sz="4" w:space="0" w:color="auto"/>
              <w:bottom w:val="single" w:sz="4" w:space="0" w:color="auto"/>
              <w:right w:val="single" w:sz="4" w:space="0" w:color="auto"/>
            </w:tcBorders>
            <w:hideMark/>
          </w:tcPr>
          <w:p w14:paraId="17C73290" w14:textId="77777777" w:rsidR="00A967D5" w:rsidRPr="0049402B" w:rsidRDefault="00A967D5" w:rsidP="00E542D5">
            <w:pPr>
              <w:spacing w:before="0" w:after="0"/>
              <w:jc w:val="center"/>
              <w:rPr>
                <w:szCs w:val="20"/>
                <w:lang w:val="es-ES"/>
              </w:rPr>
            </w:pPr>
            <w:r w:rsidRPr="0049402B">
              <w:rPr>
                <w:szCs w:val="20"/>
              </w:rPr>
              <w:t>31 (67.39%)</w:t>
            </w:r>
          </w:p>
        </w:tc>
        <w:tc>
          <w:tcPr>
            <w:tcW w:w="853" w:type="pct"/>
            <w:tcBorders>
              <w:top w:val="single" w:sz="4" w:space="0" w:color="auto"/>
              <w:left w:val="single" w:sz="4" w:space="0" w:color="auto"/>
              <w:bottom w:val="single" w:sz="4" w:space="0" w:color="auto"/>
              <w:right w:val="single" w:sz="4" w:space="0" w:color="auto"/>
            </w:tcBorders>
            <w:hideMark/>
          </w:tcPr>
          <w:p w14:paraId="4FEB7E27" w14:textId="77777777" w:rsidR="00A967D5" w:rsidRPr="0049402B" w:rsidRDefault="00A967D5" w:rsidP="00E542D5">
            <w:pPr>
              <w:spacing w:before="0" w:after="0"/>
              <w:jc w:val="center"/>
              <w:rPr>
                <w:szCs w:val="20"/>
                <w:lang w:val="es-CO"/>
              </w:rPr>
            </w:pPr>
            <w:r w:rsidRPr="0049402B">
              <w:rPr>
                <w:szCs w:val="20"/>
              </w:rPr>
              <w:t>0.8055</w:t>
            </w:r>
          </w:p>
        </w:tc>
      </w:tr>
      <w:tr w:rsidR="00A967D5" w14:paraId="219CA674"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5584829F" w14:textId="77777777" w:rsidR="00A967D5" w:rsidRPr="0049402B" w:rsidRDefault="00A967D5" w:rsidP="00E542D5">
            <w:pPr>
              <w:spacing w:before="0" w:after="0"/>
              <w:rPr>
                <w:b/>
                <w:bCs/>
                <w:szCs w:val="20"/>
                <w:lang w:val="es-ES"/>
              </w:rPr>
            </w:pPr>
            <w:r w:rsidRPr="0049402B">
              <w:rPr>
                <w:b/>
                <w:bCs/>
                <w:szCs w:val="20"/>
              </w:rPr>
              <w:t>Positive pressure resuscitation</w:t>
            </w:r>
          </w:p>
        </w:tc>
        <w:tc>
          <w:tcPr>
            <w:tcW w:w="1021" w:type="pct"/>
            <w:tcBorders>
              <w:top w:val="single" w:sz="4" w:space="0" w:color="auto"/>
              <w:left w:val="single" w:sz="4" w:space="0" w:color="auto"/>
              <w:bottom w:val="single" w:sz="4" w:space="0" w:color="auto"/>
              <w:right w:val="single" w:sz="4" w:space="0" w:color="auto"/>
            </w:tcBorders>
            <w:hideMark/>
          </w:tcPr>
          <w:p w14:paraId="5793E427" w14:textId="77777777" w:rsidR="00A967D5" w:rsidRPr="0049402B" w:rsidRDefault="00A967D5" w:rsidP="00E542D5">
            <w:pPr>
              <w:spacing w:before="0" w:after="0"/>
              <w:jc w:val="center"/>
              <w:rPr>
                <w:szCs w:val="20"/>
                <w:lang w:val="es-ES"/>
              </w:rPr>
            </w:pPr>
            <w:r w:rsidRPr="0049402B">
              <w:rPr>
                <w:szCs w:val="20"/>
              </w:rPr>
              <w:t>9 (6.25%)</w:t>
            </w:r>
          </w:p>
        </w:tc>
        <w:tc>
          <w:tcPr>
            <w:tcW w:w="1032" w:type="pct"/>
            <w:tcBorders>
              <w:top w:val="single" w:sz="4" w:space="0" w:color="auto"/>
              <w:left w:val="single" w:sz="4" w:space="0" w:color="auto"/>
              <w:bottom w:val="single" w:sz="4" w:space="0" w:color="auto"/>
              <w:right w:val="single" w:sz="4" w:space="0" w:color="auto"/>
            </w:tcBorders>
            <w:hideMark/>
          </w:tcPr>
          <w:p w14:paraId="5FA49691" w14:textId="77777777" w:rsidR="00A967D5" w:rsidRPr="0049402B" w:rsidRDefault="00A967D5" w:rsidP="00E542D5">
            <w:pPr>
              <w:spacing w:before="0" w:after="0"/>
              <w:jc w:val="center"/>
              <w:rPr>
                <w:szCs w:val="20"/>
                <w:lang w:val="es-ES"/>
              </w:rPr>
            </w:pPr>
            <w:r w:rsidRPr="0049402B">
              <w:rPr>
                <w:szCs w:val="20"/>
              </w:rPr>
              <w:t>7 (7.14%)</w:t>
            </w:r>
          </w:p>
        </w:tc>
        <w:tc>
          <w:tcPr>
            <w:tcW w:w="999" w:type="pct"/>
            <w:tcBorders>
              <w:top w:val="single" w:sz="4" w:space="0" w:color="auto"/>
              <w:left w:val="single" w:sz="4" w:space="0" w:color="auto"/>
              <w:bottom w:val="single" w:sz="4" w:space="0" w:color="auto"/>
              <w:right w:val="single" w:sz="4" w:space="0" w:color="auto"/>
            </w:tcBorders>
            <w:hideMark/>
          </w:tcPr>
          <w:p w14:paraId="48310FD1" w14:textId="77777777" w:rsidR="00A967D5" w:rsidRPr="0049402B" w:rsidRDefault="00A967D5" w:rsidP="00E542D5">
            <w:pPr>
              <w:spacing w:before="0" w:after="0"/>
              <w:jc w:val="center"/>
              <w:rPr>
                <w:szCs w:val="20"/>
                <w:lang w:val="es-ES"/>
              </w:rPr>
            </w:pPr>
            <w:r w:rsidRPr="0049402B">
              <w:rPr>
                <w:szCs w:val="20"/>
              </w:rPr>
              <w:t>2 (4.35%)</w:t>
            </w:r>
          </w:p>
        </w:tc>
        <w:tc>
          <w:tcPr>
            <w:tcW w:w="853" w:type="pct"/>
            <w:tcBorders>
              <w:top w:val="single" w:sz="4" w:space="0" w:color="auto"/>
              <w:left w:val="single" w:sz="4" w:space="0" w:color="auto"/>
              <w:bottom w:val="single" w:sz="4" w:space="0" w:color="auto"/>
              <w:right w:val="single" w:sz="4" w:space="0" w:color="auto"/>
            </w:tcBorders>
            <w:hideMark/>
          </w:tcPr>
          <w:p w14:paraId="1D38A848" w14:textId="77777777" w:rsidR="00A967D5" w:rsidRPr="0049402B" w:rsidRDefault="00A967D5" w:rsidP="00E542D5">
            <w:pPr>
              <w:spacing w:before="0" w:after="0"/>
              <w:jc w:val="center"/>
              <w:rPr>
                <w:szCs w:val="20"/>
                <w:lang w:val="es-CO"/>
              </w:rPr>
            </w:pPr>
            <w:r w:rsidRPr="0049402B">
              <w:rPr>
                <w:szCs w:val="20"/>
              </w:rPr>
              <w:t>0.5182</w:t>
            </w:r>
          </w:p>
        </w:tc>
      </w:tr>
      <w:tr w:rsidR="00A967D5" w14:paraId="3B5A78B8"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11AA70E2" w14:textId="77777777" w:rsidR="00A967D5" w:rsidRPr="0049402B" w:rsidRDefault="00A967D5" w:rsidP="00E542D5">
            <w:pPr>
              <w:spacing w:before="0" w:after="0"/>
              <w:rPr>
                <w:b/>
                <w:bCs/>
                <w:szCs w:val="20"/>
                <w:lang w:val="es-ES"/>
              </w:rPr>
            </w:pPr>
            <w:r w:rsidRPr="0049402B">
              <w:rPr>
                <w:b/>
                <w:bCs/>
                <w:szCs w:val="20"/>
              </w:rPr>
              <w:t>Perinatal asphyxia</w:t>
            </w:r>
          </w:p>
        </w:tc>
        <w:tc>
          <w:tcPr>
            <w:tcW w:w="1021" w:type="pct"/>
            <w:tcBorders>
              <w:top w:val="single" w:sz="4" w:space="0" w:color="auto"/>
              <w:left w:val="single" w:sz="4" w:space="0" w:color="auto"/>
              <w:bottom w:val="single" w:sz="4" w:space="0" w:color="auto"/>
              <w:right w:val="single" w:sz="4" w:space="0" w:color="auto"/>
            </w:tcBorders>
            <w:hideMark/>
          </w:tcPr>
          <w:p w14:paraId="52B93F2E" w14:textId="77777777" w:rsidR="00A967D5" w:rsidRPr="0049402B" w:rsidRDefault="00A967D5" w:rsidP="00E542D5">
            <w:pPr>
              <w:spacing w:before="0" w:after="0"/>
              <w:jc w:val="center"/>
              <w:rPr>
                <w:szCs w:val="20"/>
                <w:lang w:val="es-ES"/>
              </w:rPr>
            </w:pPr>
            <w:r w:rsidRPr="0049402B">
              <w:rPr>
                <w:szCs w:val="20"/>
              </w:rPr>
              <w:t>16 (11.11%)</w:t>
            </w:r>
          </w:p>
        </w:tc>
        <w:tc>
          <w:tcPr>
            <w:tcW w:w="1032" w:type="pct"/>
            <w:tcBorders>
              <w:top w:val="single" w:sz="4" w:space="0" w:color="auto"/>
              <w:left w:val="single" w:sz="4" w:space="0" w:color="auto"/>
              <w:bottom w:val="single" w:sz="4" w:space="0" w:color="auto"/>
              <w:right w:val="single" w:sz="4" w:space="0" w:color="auto"/>
            </w:tcBorders>
            <w:hideMark/>
          </w:tcPr>
          <w:p w14:paraId="27B9A094" w14:textId="77777777" w:rsidR="00A967D5" w:rsidRPr="0049402B" w:rsidRDefault="00A967D5" w:rsidP="00E542D5">
            <w:pPr>
              <w:spacing w:before="0" w:after="0"/>
              <w:jc w:val="center"/>
              <w:rPr>
                <w:szCs w:val="20"/>
                <w:lang w:val="es-ES"/>
              </w:rPr>
            </w:pPr>
            <w:r w:rsidRPr="0049402B">
              <w:rPr>
                <w:szCs w:val="20"/>
              </w:rPr>
              <w:t>13 (13.27%)</w:t>
            </w:r>
          </w:p>
        </w:tc>
        <w:tc>
          <w:tcPr>
            <w:tcW w:w="999" w:type="pct"/>
            <w:tcBorders>
              <w:top w:val="single" w:sz="4" w:space="0" w:color="auto"/>
              <w:left w:val="single" w:sz="4" w:space="0" w:color="auto"/>
              <w:bottom w:val="single" w:sz="4" w:space="0" w:color="auto"/>
              <w:right w:val="single" w:sz="4" w:space="0" w:color="auto"/>
            </w:tcBorders>
            <w:hideMark/>
          </w:tcPr>
          <w:p w14:paraId="17521194" w14:textId="77777777" w:rsidR="00A967D5" w:rsidRPr="0049402B" w:rsidRDefault="00A967D5" w:rsidP="00E542D5">
            <w:pPr>
              <w:spacing w:before="0" w:after="0"/>
              <w:jc w:val="center"/>
              <w:rPr>
                <w:szCs w:val="20"/>
                <w:lang w:val="es-ES"/>
              </w:rPr>
            </w:pPr>
            <w:r w:rsidRPr="0049402B">
              <w:rPr>
                <w:szCs w:val="20"/>
              </w:rPr>
              <w:t>3 (6.52%)</w:t>
            </w:r>
          </w:p>
        </w:tc>
        <w:tc>
          <w:tcPr>
            <w:tcW w:w="853" w:type="pct"/>
            <w:tcBorders>
              <w:top w:val="single" w:sz="4" w:space="0" w:color="auto"/>
              <w:left w:val="single" w:sz="4" w:space="0" w:color="auto"/>
              <w:bottom w:val="single" w:sz="4" w:space="0" w:color="auto"/>
              <w:right w:val="single" w:sz="4" w:space="0" w:color="auto"/>
            </w:tcBorders>
            <w:hideMark/>
          </w:tcPr>
          <w:p w14:paraId="42791D01" w14:textId="77777777" w:rsidR="00A967D5" w:rsidRPr="0049402B" w:rsidRDefault="00A967D5" w:rsidP="00E542D5">
            <w:pPr>
              <w:spacing w:before="0" w:after="0"/>
              <w:jc w:val="center"/>
              <w:rPr>
                <w:szCs w:val="20"/>
                <w:lang w:val="es-CO"/>
              </w:rPr>
            </w:pPr>
            <w:r w:rsidRPr="0049402B">
              <w:rPr>
                <w:szCs w:val="20"/>
              </w:rPr>
              <w:t>0.2299</w:t>
            </w:r>
          </w:p>
        </w:tc>
      </w:tr>
      <w:tr w:rsidR="00A967D5" w14:paraId="15419F55"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18D5FE04" w14:textId="77777777" w:rsidR="00A967D5" w:rsidRPr="0049402B" w:rsidRDefault="00A967D5" w:rsidP="00E542D5">
            <w:pPr>
              <w:spacing w:before="0" w:after="0"/>
              <w:rPr>
                <w:b/>
                <w:bCs/>
                <w:szCs w:val="20"/>
              </w:rPr>
            </w:pPr>
            <w:r w:rsidRPr="0049402B">
              <w:rPr>
                <w:b/>
                <w:bCs/>
                <w:szCs w:val="20"/>
              </w:rPr>
              <w:t>Premature rupture of membranes lasting over 18 hours</w:t>
            </w:r>
          </w:p>
        </w:tc>
        <w:tc>
          <w:tcPr>
            <w:tcW w:w="1021" w:type="pct"/>
            <w:tcBorders>
              <w:top w:val="single" w:sz="4" w:space="0" w:color="auto"/>
              <w:left w:val="single" w:sz="4" w:space="0" w:color="auto"/>
              <w:bottom w:val="single" w:sz="4" w:space="0" w:color="auto"/>
              <w:right w:val="single" w:sz="4" w:space="0" w:color="auto"/>
            </w:tcBorders>
            <w:hideMark/>
          </w:tcPr>
          <w:p w14:paraId="647EAAC1" w14:textId="77777777" w:rsidR="00A967D5" w:rsidRPr="0049402B" w:rsidRDefault="00A967D5" w:rsidP="00E542D5">
            <w:pPr>
              <w:spacing w:before="0" w:after="0"/>
              <w:jc w:val="center"/>
              <w:rPr>
                <w:szCs w:val="20"/>
              </w:rPr>
            </w:pPr>
            <w:r w:rsidRPr="0049402B">
              <w:rPr>
                <w:szCs w:val="20"/>
              </w:rPr>
              <w:t>62 (43.06%)</w:t>
            </w:r>
          </w:p>
        </w:tc>
        <w:tc>
          <w:tcPr>
            <w:tcW w:w="1032" w:type="pct"/>
            <w:tcBorders>
              <w:top w:val="single" w:sz="4" w:space="0" w:color="auto"/>
              <w:left w:val="single" w:sz="4" w:space="0" w:color="auto"/>
              <w:bottom w:val="single" w:sz="4" w:space="0" w:color="auto"/>
              <w:right w:val="single" w:sz="4" w:space="0" w:color="auto"/>
            </w:tcBorders>
            <w:hideMark/>
          </w:tcPr>
          <w:p w14:paraId="6A699D01" w14:textId="77777777" w:rsidR="00A967D5" w:rsidRPr="0049402B" w:rsidRDefault="00A967D5" w:rsidP="00E542D5">
            <w:pPr>
              <w:spacing w:before="0" w:after="0"/>
              <w:jc w:val="center"/>
              <w:rPr>
                <w:szCs w:val="20"/>
              </w:rPr>
            </w:pPr>
            <w:r w:rsidRPr="0049402B">
              <w:rPr>
                <w:szCs w:val="20"/>
              </w:rPr>
              <w:t>40 (40.82%)</w:t>
            </w:r>
          </w:p>
        </w:tc>
        <w:tc>
          <w:tcPr>
            <w:tcW w:w="999" w:type="pct"/>
            <w:tcBorders>
              <w:top w:val="single" w:sz="4" w:space="0" w:color="auto"/>
              <w:left w:val="single" w:sz="4" w:space="0" w:color="auto"/>
              <w:bottom w:val="single" w:sz="4" w:space="0" w:color="auto"/>
              <w:right w:val="single" w:sz="4" w:space="0" w:color="auto"/>
            </w:tcBorders>
            <w:hideMark/>
          </w:tcPr>
          <w:p w14:paraId="70B928F8" w14:textId="77777777" w:rsidR="00A967D5" w:rsidRPr="0049402B" w:rsidRDefault="00A967D5" w:rsidP="00E542D5">
            <w:pPr>
              <w:spacing w:before="0" w:after="0"/>
              <w:jc w:val="center"/>
              <w:rPr>
                <w:szCs w:val="20"/>
              </w:rPr>
            </w:pPr>
            <w:r w:rsidRPr="0049402B">
              <w:rPr>
                <w:szCs w:val="20"/>
              </w:rPr>
              <w:t>22 (47.83%)</w:t>
            </w:r>
          </w:p>
        </w:tc>
        <w:tc>
          <w:tcPr>
            <w:tcW w:w="853" w:type="pct"/>
            <w:tcBorders>
              <w:top w:val="single" w:sz="4" w:space="0" w:color="auto"/>
              <w:left w:val="single" w:sz="4" w:space="0" w:color="auto"/>
              <w:bottom w:val="single" w:sz="4" w:space="0" w:color="auto"/>
              <w:right w:val="single" w:sz="4" w:space="0" w:color="auto"/>
            </w:tcBorders>
          </w:tcPr>
          <w:p w14:paraId="0A65AABB" w14:textId="77777777" w:rsidR="00A967D5" w:rsidRPr="0049402B" w:rsidRDefault="00A967D5" w:rsidP="00E542D5">
            <w:pPr>
              <w:spacing w:before="0" w:after="0"/>
              <w:jc w:val="center"/>
              <w:rPr>
                <w:szCs w:val="20"/>
              </w:rPr>
            </w:pPr>
            <w:r w:rsidRPr="0049402B">
              <w:rPr>
                <w:szCs w:val="20"/>
              </w:rPr>
              <w:t>0.4383</w:t>
            </w:r>
          </w:p>
          <w:p w14:paraId="79538C7D" w14:textId="77777777" w:rsidR="00A967D5" w:rsidRPr="0049402B" w:rsidRDefault="00A967D5" w:rsidP="00E542D5">
            <w:pPr>
              <w:spacing w:before="0" w:after="0"/>
              <w:jc w:val="center"/>
              <w:rPr>
                <w:szCs w:val="20"/>
              </w:rPr>
            </w:pPr>
          </w:p>
        </w:tc>
      </w:tr>
      <w:tr w:rsidR="00A967D5" w14:paraId="02DA6175"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118A468A" w14:textId="77777777" w:rsidR="00A967D5" w:rsidRPr="0049402B" w:rsidRDefault="00A967D5" w:rsidP="00E542D5">
            <w:pPr>
              <w:spacing w:before="0" w:after="0"/>
              <w:rPr>
                <w:b/>
                <w:bCs/>
                <w:szCs w:val="20"/>
              </w:rPr>
            </w:pPr>
            <w:r w:rsidRPr="0049402B">
              <w:rPr>
                <w:b/>
                <w:bCs/>
                <w:szCs w:val="20"/>
              </w:rPr>
              <w:t>Bronchopulmonary dysplasia</w:t>
            </w:r>
          </w:p>
        </w:tc>
        <w:tc>
          <w:tcPr>
            <w:tcW w:w="1021" w:type="pct"/>
            <w:tcBorders>
              <w:top w:val="single" w:sz="4" w:space="0" w:color="auto"/>
              <w:left w:val="single" w:sz="4" w:space="0" w:color="auto"/>
              <w:bottom w:val="single" w:sz="4" w:space="0" w:color="auto"/>
              <w:right w:val="single" w:sz="4" w:space="0" w:color="auto"/>
            </w:tcBorders>
            <w:hideMark/>
          </w:tcPr>
          <w:p w14:paraId="00C0DAA1" w14:textId="77777777" w:rsidR="00A967D5" w:rsidRPr="0049402B" w:rsidRDefault="00A967D5" w:rsidP="00E542D5">
            <w:pPr>
              <w:spacing w:before="0" w:after="0"/>
              <w:jc w:val="center"/>
              <w:rPr>
                <w:szCs w:val="20"/>
              </w:rPr>
            </w:pPr>
            <w:r w:rsidRPr="0049402B">
              <w:rPr>
                <w:szCs w:val="20"/>
              </w:rPr>
              <w:t>18 (12.50%)</w:t>
            </w:r>
          </w:p>
        </w:tc>
        <w:tc>
          <w:tcPr>
            <w:tcW w:w="1032" w:type="pct"/>
            <w:tcBorders>
              <w:top w:val="single" w:sz="4" w:space="0" w:color="auto"/>
              <w:left w:val="single" w:sz="4" w:space="0" w:color="auto"/>
              <w:bottom w:val="single" w:sz="4" w:space="0" w:color="auto"/>
              <w:right w:val="single" w:sz="4" w:space="0" w:color="auto"/>
            </w:tcBorders>
            <w:hideMark/>
          </w:tcPr>
          <w:p w14:paraId="018FF256" w14:textId="77777777" w:rsidR="00A967D5" w:rsidRPr="0049402B" w:rsidRDefault="00A967D5" w:rsidP="00E542D5">
            <w:pPr>
              <w:spacing w:before="0" w:after="0"/>
              <w:jc w:val="center"/>
              <w:rPr>
                <w:szCs w:val="20"/>
              </w:rPr>
            </w:pPr>
            <w:r w:rsidRPr="0049402B">
              <w:rPr>
                <w:szCs w:val="20"/>
              </w:rPr>
              <w:t>15 (15.31%)</w:t>
            </w:r>
          </w:p>
        </w:tc>
        <w:tc>
          <w:tcPr>
            <w:tcW w:w="999" w:type="pct"/>
            <w:tcBorders>
              <w:top w:val="single" w:sz="4" w:space="0" w:color="auto"/>
              <w:left w:val="single" w:sz="4" w:space="0" w:color="auto"/>
              <w:bottom w:val="single" w:sz="4" w:space="0" w:color="auto"/>
              <w:right w:val="single" w:sz="4" w:space="0" w:color="auto"/>
            </w:tcBorders>
            <w:hideMark/>
          </w:tcPr>
          <w:p w14:paraId="0A50884A" w14:textId="77777777" w:rsidR="00A967D5" w:rsidRPr="0049402B" w:rsidRDefault="00A967D5" w:rsidP="00E542D5">
            <w:pPr>
              <w:spacing w:before="0" w:after="0"/>
              <w:jc w:val="center"/>
              <w:rPr>
                <w:szCs w:val="20"/>
              </w:rPr>
            </w:pPr>
            <w:r w:rsidRPr="0049402B">
              <w:rPr>
                <w:szCs w:val="20"/>
              </w:rPr>
              <w:t>3 (6.52%)</w:t>
            </w:r>
          </w:p>
        </w:tc>
        <w:tc>
          <w:tcPr>
            <w:tcW w:w="853" w:type="pct"/>
            <w:tcBorders>
              <w:top w:val="single" w:sz="4" w:space="0" w:color="auto"/>
              <w:left w:val="single" w:sz="4" w:space="0" w:color="auto"/>
              <w:bottom w:val="single" w:sz="4" w:space="0" w:color="auto"/>
              <w:right w:val="single" w:sz="4" w:space="0" w:color="auto"/>
            </w:tcBorders>
            <w:hideMark/>
          </w:tcPr>
          <w:p w14:paraId="4E8942F4" w14:textId="77777777" w:rsidR="00A967D5" w:rsidRPr="0049402B" w:rsidRDefault="00A967D5" w:rsidP="00E542D5">
            <w:pPr>
              <w:spacing w:before="0" w:after="0"/>
              <w:jc w:val="center"/>
              <w:rPr>
                <w:szCs w:val="20"/>
              </w:rPr>
            </w:pPr>
            <w:r w:rsidRPr="0049402B">
              <w:rPr>
                <w:szCs w:val="20"/>
              </w:rPr>
              <w:t>0.1372</w:t>
            </w:r>
          </w:p>
        </w:tc>
      </w:tr>
      <w:tr w:rsidR="00A967D5" w14:paraId="3EC35FE8"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0ED98592" w14:textId="77777777" w:rsidR="00A967D5" w:rsidRPr="0049402B" w:rsidRDefault="00A967D5" w:rsidP="00E542D5">
            <w:pPr>
              <w:spacing w:before="0" w:after="0"/>
              <w:rPr>
                <w:b/>
                <w:bCs/>
                <w:szCs w:val="20"/>
              </w:rPr>
            </w:pPr>
            <w:r w:rsidRPr="0049402B">
              <w:rPr>
                <w:b/>
                <w:bCs/>
                <w:szCs w:val="20"/>
              </w:rPr>
              <w:t>Necrotizing enterocolitis</w:t>
            </w:r>
          </w:p>
        </w:tc>
        <w:tc>
          <w:tcPr>
            <w:tcW w:w="1021" w:type="pct"/>
            <w:tcBorders>
              <w:top w:val="single" w:sz="4" w:space="0" w:color="auto"/>
              <w:left w:val="single" w:sz="4" w:space="0" w:color="auto"/>
              <w:bottom w:val="single" w:sz="4" w:space="0" w:color="auto"/>
              <w:right w:val="single" w:sz="4" w:space="0" w:color="auto"/>
            </w:tcBorders>
            <w:hideMark/>
          </w:tcPr>
          <w:p w14:paraId="49E5F121" w14:textId="77777777" w:rsidR="00A967D5" w:rsidRPr="0049402B" w:rsidRDefault="00A967D5" w:rsidP="00E542D5">
            <w:pPr>
              <w:spacing w:before="0" w:after="0"/>
              <w:jc w:val="center"/>
              <w:rPr>
                <w:szCs w:val="20"/>
              </w:rPr>
            </w:pPr>
            <w:r w:rsidRPr="0049402B">
              <w:rPr>
                <w:szCs w:val="20"/>
              </w:rPr>
              <w:t>7 (4.86%)</w:t>
            </w:r>
          </w:p>
        </w:tc>
        <w:tc>
          <w:tcPr>
            <w:tcW w:w="1032" w:type="pct"/>
            <w:tcBorders>
              <w:top w:val="single" w:sz="4" w:space="0" w:color="auto"/>
              <w:left w:val="single" w:sz="4" w:space="0" w:color="auto"/>
              <w:bottom w:val="single" w:sz="4" w:space="0" w:color="auto"/>
              <w:right w:val="single" w:sz="4" w:space="0" w:color="auto"/>
            </w:tcBorders>
            <w:hideMark/>
          </w:tcPr>
          <w:p w14:paraId="15606D96" w14:textId="77777777" w:rsidR="00A967D5" w:rsidRPr="0049402B" w:rsidRDefault="00A967D5" w:rsidP="00E542D5">
            <w:pPr>
              <w:spacing w:before="0" w:after="0"/>
              <w:jc w:val="center"/>
              <w:rPr>
                <w:szCs w:val="20"/>
              </w:rPr>
            </w:pPr>
            <w:r w:rsidRPr="0049402B">
              <w:rPr>
                <w:szCs w:val="20"/>
              </w:rPr>
              <w:t>7 (7.14%)</w:t>
            </w:r>
          </w:p>
        </w:tc>
        <w:tc>
          <w:tcPr>
            <w:tcW w:w="999" w:type="pct"/>
            <w:tcBorders>
              <w:top w:val="single" w:sz="4" w:space="0" w:color="auto"/>
              <w:left w:val="single" w:sz="4" w:space="0" w:color="auto"/>
              <w:bottom w:val="single" w:sz="4" w:space="0" w:color="auto"/>
              <w:right w:val="single" w:sz="4" w:space="0" w:color="auto"/>
            </w:tcBorders>
            <w:hideMark/>
          </w:tcPr>
          <w:p w14:paraId="2F58CADE" w14:textId="77777777" w:rsidR="00A967D5" w:rsidRPr="0049402B" w:rsidRDefault="00A967D5" w:rsidP="00E542D5">
            <w:pPr>
              <w:spacing w:before="0" w:after="0"/>
              <w:jc w:val="center"/>
              <w:rPr>
                <w:szCs w:val="20"/>
              </w:rPr>
            </w:pPr>
            <w:r w:rsidRPr="0049402B">
              <w:rPr>
                <w:szCs w:val="20"/>
              </w:rPr>
              <w:t>0 (0.00%)</w:t>
            </w:r>
          </w:p>
        </w:tc>
        <w:tc>
          <w:tcPr>
            <w:tcW w:w="853" w:type="pct"/>
            <w:tcBorders>
              <w:top w:val="single" w:sz="4" w:space="0" w:color="auto"/>
              <w:left w:val="single" w:sz="4" w:space="0" w:color="auto"/>
              <w:bottom w:val="single" w:sz="4" w:space="0" w:color="auto"/>
              <w:right w:val="single" w:sz="4" w:space="0" w:color="auto"/>
            </w:tcBorders>
            <w:hideMark/>
          </w:tcPr>
          <w:p w14:paraId="7C6B630A" w14:textId="77777777" w:rsidR="00A967D5" w:rsidRPr="0049402B" w:rsidRDefault="00A967D5" w:rsidP="00E542D5">
            <w:pPr>
              <w:spacing w:before="0" w:after="0"/>
              <w:jc w:val="center"/>
              <w:rPr>
                <w:szCs w:val="20"/>
              </w:rPr>
            </w:pPr>
            <w:r w:rsidRPr="0049402B">
              <w:rPr>
                <w:szCs w:val="20"/>
              </w:rPr>
              <w:t>0.0631</w:t>
            </w:r>
          </w:p>
        </w:tc>
      </w:tr>
      <w:tr w:rsidR="00A967D5" w14:paraId="7A8480D3" w14:textId="77777777" w:rsidTr="00E542D5">
        <w:tc>
          <w:tcPr>
            <w:tcW w:w="1095" w:type="pct"/>
            <w:tcBorders>
              <w:top w:val="single" w:sz="4" w:space="0" w:color="auto"/>
              <w:left w:val="single" w:sz="4" w:space="0" w:color="auto"/>
              <w:bottom w:val="single" w:sz="4" w:space="0" w:color="auto"/>
              <w:right w:val="single" w:sz="4" w:space="0" w:color="auto"/>
            </w:tcBorders>
            <w:hideMark/>
          </w:tcPr>
          <w:p w14:paraId="6843290F" w14:textId="77777777" w:rsidR="00A967D5" w:rsidRPr="0049402B" w:rsidRDefault="00A967D5" w:rsidP="00E542D5">
            <w:pPr>
              <w:spacing w:before="0" w:after="0"/>
              <w:rPr>
                <w:b/>
                <w:bCs/>
                <w:szCs w:val="20"/>
              </w:rPr>
            </w:pPr>
            <w:r w:rsidRPr="0049402B">
              <w:rPr>
                <w:b/>
                <w:bCs/>
                <w:szCs w:val="20"/>
              </w:rPr>
              <w:t>Preeclampsia history</w:t>
            </w:r>
          </w:p>
        </w:tc>
        <w:tc>
          <w:tcPr>
            <w:tcW w:w="1021" w:type="pct"/>
            <w:tcBorders>
              <w:top w:val="single" w:sz="4" w:space="0" w:color="auto"/>
              <w:left w:val="single" w:sz="4" w:space="0" w:color="auto"/>
              <w:bottom w:val="single" w:sz="4" w:space="0" w:color="auto"/>
              <w:right w:val="single" w:sz="4" w:space="0" w:color="auto"/>
            </w:tcBorders>
            <w:hideMark/>
          </w:tcPr>
          <w:p w14:paraId="738B2639" w14:textId="77777777" w:rsidR="00A967D5" w:rsidRPr="0049402B" w:rsidRDefault="00A967D5" w:rsidP="00E542D5">
            <w:pPr>
              <w:spacing w:before="0" w:after="0"/>
              <w:jc w:val="center"/>
              <w:rPr>
                <w:szCs w:val="20"/>
              </w:rPr>
            </w:pPr>
            <w:r w:rsidRPr="0049402B">
              <w:rPr>
                <w:szCs w:val="20"/>
              </w:rPr>
              <w:t>37 (25.69%)</w:t>
            </w:r>
          </w:p>
        </w:tc>
        <w:tc>
          <w:tcPr>
            <w:tcW w:w="1032" w:type="pct"/>
            <w:tcBorders>
              <w:top w:val="single" w:sz="4" w:space="0" w:color="auto"/>
              <w:left w:val="single" w:sz="4" w:space="0" w:color="auto"/>
              <w:bottom w:val="single" w:sz="4" w:space="0" w:color="auto"/>
              <w:right w:val="single" w:sz="4" w:space="0" w:color="auto"/>
            </w:tcBorders>
            <w:hideMark/>
          </w:tcPr>
          <w:p w14:paraId="3C4649A0" w14:textId="77777777" w:rsidR="00A967D5" w:rsidRPr="0049402B" w:rsidRDefault="00A967D5" w:rsidP="00E542D5">
            <w:pPr>
              <w:spacing w:before="0" w:after="0"/>
              <w:jc w:val="center"/>
              <w:rPr>
                <w:szCs w:val="20"/>
              </w:rPr>
            </w:pPr>
            <w:r w:rsidRPr="0049402B">
              <w:rPr>
                <w:szCs w:val="20"/>
              </w:rPr>
              <w:t>6 (6.12%)</w:t>
            </w:r>
          </w:p>
        </w:tc>
        <w:tc>
          <w:tcPr>
            <w:tcW w:w="999" w:type="pct"/>
            <w:tcBorders>
              <w:top w:val="single" w:sz="4" w:space="0" w:color="auto"/>
              <w:left w:val="single" w:sz="4" w:space="0" w:color="auto"/>
              <w:bottom w:val="single" w:sz="4" w:space="0" w:color="auto"/>
              <w:right w:val="single" w:sz="4" w:space="0" w:color="auto"/>
            </w:tcBorders>
            <w:hideMark/>
          </w:tcPr>
          <w:p w14:paraId="6F834EC5" w14:textId="77777777" w:rsidR="00A967D5" w:rsidRPr="0049402B" w:rsidRDefault="00A967D5" w:rsidP="00E542D5">
            <w:pPr>
              <w:spacing w:before="0" w:after="0"/>
              <w:jc w:val="center"/>
              <w:rPr>
                <w:szCs w:val="20"/>
              </w:rPr>
            </w:pPr>
            <w:r w:rsidRPr="0049402B">
              <w:rPr>
                <w:szCs w:val="20"/>
              </w:rPr>
              <w:t>31 (67.39%)</w:t>
            </w:r>
          </w:p>
        </w:tc>
        <w:tc>
          <w:tcPr>
            <w:tcW w:w="853" w:type="pct"/>
            <w:tcBorders>
              <w:top w:val="single" w:sz="4" w:space="0" w:color="auto"/>
              <w:left w:val="single" w:sz="4" w:space="0" w:color="auto"/>
              <w:bottom w:val="single" w:sz="4" w:space="0" w:color="auto"/>
              <w:right w:val="single" w:sz="4" w:space="0" w:color="auto"/>
            </w:tcBorders>
            <w:hideMark/>
          </w:tcPr>
          <w:p w14:paraId="1B71DEFE" w14:textId="77777777" w:rsidR="00A967D5" w:rsidRPr="0049402B" w:rsidRDefault="00A967D5" w:rsidP="00E542D5">
            <w:pPr>
              <w:spacing w:before="0" w:after="0"/>
              <w:jc w:val="center"/>
              <w:rPr>
                <w:szCs w:val="20"/>
              </w:rPr>
            </w:pPr>
            <w:r w:rsidRPr="0049402B">
              <w:rPr>
                <w:szCs w:val="20"/>
              </w:rPr>
              <w:t>&lt;0.0001</w:t>
            </w:r>
          </w:p>
        </w:tc>
      </w:tr>
    </w:tbl>
    <w:p w14:paraId="484F1497" w14:textId="77777777" w:rsidR="00A967D5" w:rsidRDefault="00A967D5" w:rsidP="00A967D5">
      <w:pPr>
        <w:pStyle w:val="NormalWeb"/>
        <w:spacing w:before="0" w:beforeAutospacing="0" w:after="0" w:afterAutospacing="0"/>
        <w:jc w:val="both"/>
        <w:rPr>
          <w:b/>
          <w:bCs/>
        </w:rPr>
      </w:pPr>
    </w:p>
    <w:p w14:paraId="1CD5BB1A" w14:textId="77777777" w:rsidR="00A967D5" w:rsidRPr="00057655" w:rsidRDefault="00A967D5" w:rsidP="00A967D5">
      <w:pPr>
        <w:pStyle w:val="NormalWeb"/>
        <w:spacing w:before="0" w:beforeAutospacing="0" w:after="0" w:afterAutospacing="0"/>
        <w:jc w:val="both"/>
        <w:rPr>
          <w:b/>
          <w:bCs/>
        </w:rPr>
      </w:pPr>
      <w:r w:rsidRPr="00057655">
        <w:rPr>
          <w:b/>
          <w:bCs/>
        </w:rPr>
        <w:t>Footnotes</w:t>
      </w:r>
    </w:p>
    <w:p w14:paraId="4E778A8B" w14:textId="77777777" w:rsidR="00A967D5" w:rsidRDefault="00A967D5" w:rsidP="00A967D5">
      <w:pPr>
        <w:pStyle w:val="NormalWeb"/>
        <w:numPr>
          <w:ilvl w:val="0"/>
          <w:numId w:val="2"/>
        </w:numPr>
        <w:spacing w:before="0" w:beforeAutospacing="0" w:after="0" w:afterAutospacing="0"/>
        <w:jc w:val="both"/>
      </w:pPr>
      <w:r>
        <w:t>Data are presented as the n (%) or mean ± standard deviation.</w:t>
      </w:r>
    </w:p>
    <w:p w14:paraId="5B0AD5E1" w14:textId="77777777" w:rsidR="00A967D5" w:rsidRDefault="00A967D5" w:rsidP="00A967D5">
      <w:pPr>
        <w:pStyle w:val="NormalWeb"/>
        <w:numPr>
          <w:ilvl w:val="0"/>
          <w:numId w:val="2"/>
        </w:numPr>
        <w:spacing w:before="0" w:beforeAutospacing="0" w:after="0" w:afterAutospacing="0"/>
        <w:jc w:val="both"/>
      </w:pPr>
      <w:r>
        <w:t>p values compare the prophylaxis cohort with the historical surveillance-only cohort.</w:t>
      </w:r>
    </w:p>
    <w:p w14:paraId="49BBFB58" w14:textId="77777777" w:rsidR="00A967D5" w:rsidRDefault="00A967D5" w:rsidP="00A967D5">
      <w:pPr>
        <w:pStyle w:val="NormalWeb"/>
        <w:numPr>
          <w:ilvl w:val="0"/>
          <w:numId w:val="2"/>
        </w:numPr>
        <w:spacing w:before="0" w:beforeAutospacing="0" w:after="0" w:afterAutospacing="0"/>
        <w:jc w:val="both"/>
      </w:pPr>
      <w:r>
        <w:t>The percentages may not total 100.00% because of rounding.</w:t>
      </w:r>
    </w:p>
    <w:p w14:paraId="4BA63A4E" w14:textId="77777777" w:rsidR="00A967D5" w:rsidRDefault="00A967D5" w:rsidP="00A967D5">
      <w:pPr>
        <w:spacing w:before="100" w:beforeAutospacing="1" w:after="100" w:afterAutospacing="1"/>
        <w:jc w:val="both"/>
        <w:rPr>
          <w:rFonts w:eastAsia="Times New Roman" w:cs="Times New Roman"/>
          <w:color w:val="000000"/>
          <w:szCs w:val="24"/>
        </w:rPr>
      </w:pPr>
    </w:p>
    <w:p w14:paraId="4317AC49" w14:textId="77777777" w:rsidR="00A967D5" w:rsidRDefault="00A967D5" w:rsidP="00A967D5">
      <w:pPr>
        <w:spacing w:before="100" w:beforeAutospacing="1" w:after="100" w:afterAutospacing="1"/>
        <w:jc w:val="both"/>
        <w:rPr>
          <w:rFonts w:eastAsia="Times New Roman" w:cs="Times New Roman"/>
          <w:color w:val="000000"/>
          <w:szCs w:val="24"/>
        </w:rPr>
      </w:pPr>
    </w:p>
    <w:p w14:paraId="7E394036" w14:textId="77777777" w:rsidR="00A967D5" w:rsidRDefault="00A967D5" w:rsidP="00A967D5">
      <w:pPr>
        <w:spacing w:before="100" w:beforeAutospacing="1" w:after="100" w:afterAutospacing="1"/>
        <w:jc w:val="both"/>
        <w:rPr>
          <w:rFonts w:eastAsia="Times New Roman" w:cs="Times New Roman"/>
          <w:color w:val="000000"/>
          <w:szCs w:val="24"/>
        </w:rPr>
      </w:pPr>
    </w:p>
    <w:tbl>
      <w:tblPr>
        <w:tblStyle w:val="TableGrid"/>
        <w:tblW w:w="5000" w:type="pct"/>
        <w:tblLook w:val="04A0" w:firstRow="1" w:lastRow="0" w:firstColumn="1" w:lastColumn="0" w:noHBand="0" w:noVBand="1"/>
      </w:tblPr>
      <w:tblGrid>
        <w:gridCol w:w="1954"/>
        <w:gridCol w:w="1954"/>
        <w:gridCol w:w="1954"/>
        <w:gridCol w:w="1954"/>
        <w:gridCol w:w="1954"/>
      </w:tblGrid>
      <w:tr w:rsidR="00A967D5" w14:paraId="4BA5CAD8" w14:textId="77777777" w:rsidTr="00E542D5">
        <w:tc>
          <w:tcPr>
            <w:tcW w:w="5000" w:type="pct"/>
            <w:gridSpan w:val="5"/>
            <w:tcBorders>
              <w:top w:val="single" w:sz="4" w:space="0" w:color="auto"/>
              <w:left w:val="single" w:sz="4" w:space="0" w:color="auto"/>
              <w:bottom w:val="single" w:sz="4" w:space="0" w:color="auto"/>
              <w:right w:val="single" w:sz="4" w:space="0" w:color="auto"/>
            </w:tcBorders>
            <w:hideMark/>
          </w:tcPr>
          <w:p w14:paraId="756153B2" w14:textId="77777777" w:rsidR="00A967D5" w:rsidRPr="0049402B" w:rsidRDefault="00A967D5" w:rsidP="00E542D5">
            <w:pPr>
              <w:spacing w:before="0" w:after="0"/>
              <w:jc w:val="both"/>
              <w:rPr>
                <w:b/>
                <w:bCs/>
                <w:iCs/>
                <w:szCs w:val="20"/>
              </w:rPr>
            </w:pPr>
            <w:r w:rsidRPr="0049402B">
              <w:rPr>
                <w:b/>
                <w:bCs/>
                <w:iCs/>
                <w:szCs w:val="20"/>
              </w:rPr>
              <w:lastRenderedPageBreak/>
              <w:t>Table 4</w:t>
            </w:r>
          </w:p>
          <w:p w14:paraId="31D4CC13" w14:textId="77777777" w:rsidR="00A967D5" w:rsidRPr="0049402B" w:rsidRDefault="00A967D5" w:rsidP="00E542D5">
            <w:pPr>
              <w:spacing w:before="0" w:after="0"/>
              <w:jc w:val="both"/>
              <w:rPr>
                <w:b/>
                <w:bCs/>
                <w:iCs/>
                <w:szCs w:val="20"/>
              </w:rPr>
            </w:pPr>
            <w:r w:rsidRPr="0049402B">
              <w:rPr>
                <w:b/>
                <w:bCs/>
                <w:szCs w:val="20"/>
              </w:rPr>
              <w:t>Comparison of outcomes between the nepafenac-treated cohort and the historical surveillance-only cohort</w:t>
            </w:r>
          </w:p>
        </w:tc>
      </w:tr>
      <w:tr w:rsidR="00A967D5" w14:paraId="0D7A661A" w14:textId="77777777" w:rsidTr="00E542D5">
        <w:tc>
          <w:tcPr>
            <w:tcW w:w="1000" w:type="pct"/>
            <w:tcBorders>
              <w:top w:val="single" w:sz="4" w:space="0" w:color="auto"/>
              <w:left w:val="single" w:sz="4" w:space="0" w:color="auto"/>
              <w:bottom w:val="single" w:sz="4" w:space="0" w:color="auto"/>
              <w:right w:val="single" w:sz="4" w:space="0" w:color="auto"/>
            </w:tcBorders>
          </w:tcPr>
          <w:p w14:paraId="3263A76C" w14:textId="77777777" w:rsidR="00A967D5" w:rsidRPr="0049402B" w:rsidRDefault="00A967D5" w:rsidP="00E542D5">
            <w:pPr>
              <w:spacing w:before="0" w:after="0"/>
              <w:rPr>
                <w:b/>
                <w:bCs/>
                <w:szCs w:val="20"/>
              </w:rPr>
            </w:pPr>
          </w:p>
        </w:tc>
        <w:tc>
          <w:tcPr>
            <w:tcW w:w="1000" w:type="pct"/>
            <w:tcBorders>
              <w:top w:val="single" w:sz="4" w:space="0" w:color="auto"/>
              <w:left w:val="single" w:sz="4" w:space="0" w:color="auto"/>
              <w:bottom w:val="single" w:sz="4" w:space="0" w:color="auto"/>
              <w:right w:val="single" w:sz="4" w:space="0" w:color="auto"/>
            </w:tcBorders>
            <w:hideMark/>
          </w:tcPr>
          <w:p w14:paraId="341AA3BD" w14:textId="77777777" w:rsidR="00A967D5" w:rsidRPr="0049402B" w:rsidRDefault="00A967D5" w:rsidP="00E542D5">
            <w:pPr>
              <w:spacing w:before="0" w:after="0"/>
              <w:jc w:val="center"/>
              <w:rPr>
                <w:b/>
                <w:bCs/>
                <w:szCs w:val="20"/>
                <w:lang w:val="es-ES"/>
              </w:rPr>
            </w:pPr>
            <w:r w:rsidRPr="0049402B">
              <w:rPr>
                <w:b/>
                <w:bCs/>
                <w:szCs w:val="20"/>
              </w:rPr>
              <w:t>Overall</w:t>
            </w:r>
          </w:p>
          <w:p w14:paraId="7D086AC4" w14:textId="77777777" w:rsidR="00A967D5" w:rsidRPr="0049402B" w:rsidRDefault="00A967D5" w:rsidP="00E542D5">
            <w:pPr>
              <w:spacing w:before="0" w:after="0"/>
              <w:jc w:val="center"/>
              <w:rPr>
                <w:b/>
                <w:bCs/>
                <w:szCs w:val="20"/>
              </w:rPr>
            </w:pPr>
            <w:r w:rsidRPr="0049402B">
              <w:rPr>
                <w:b/>
                <w:bCs/>
                <w:szCs w:val="20"/>
              </w:rPr>
              <w:t>144 (100.00%)</w:t>
            </w:r>
          </w:p>
        </w:tc>
        <w:tc>
          <w:tcPr>
            <w:tcW w:w="1000" w:type="pct"/>
            <w:tcBorders>
              <w:top w:val="single" w:sz="4" w:space="0" w:color="auto"/>
              <w:left w:val="single" w:sz="4" w:space="0" w:color="auto"/>
              <w:bottom w:val="single" w:sz="4" w:space="0" w:color="auto"/>
              <w:right w:val="single" w:sz="4" w:space="0" w:color="auto"/>
            </w:tcBorders>
            <w:hideMark/>
          </w:tcPr>
          <w:p w14:paraId="46F4CAA1" w14:textId="77777777" w:rsidR="00A967D5" w:rsidRPr="0049402B" w:rsidRDefault="00A967D5" w:rsidP="00E542D5">
            <w:pPr>
              <w:spacing w:before="0" w:after="0"/>
              <w:jc w:val="center"/>
              <w:rPr>
                <w:b/>
                <w:bCs/>
                <w:szCs w:val="20"/>
                <w:lang w:val="es-ES"/>
              </w:rPr>
            </w:pPr>
            <w:r w:rsidRPr="0049402B">
              <w:rPr>
                <w:b/>
                <w:bCs/>
                <w:szCs w:val="20"/>
              </w:rPr>
              <w:t>Nepafenac-treated infants</w:t>
            </w:r>
          </w:p>
          <w:p w14:paraId="380E4BD8" w14:textId="77777777" w:rsidR="00A967D5" w:rsidRPr="0049402B" w:rsidRDefault="00A967D5" w:rsidP="00E542D5">
            <w:pPr>
              <w:spacing w:before="0" w:after="0"/>
              <w:jc w:val="center"/>
              <w:rPr>
                <w:b/>
                <w:bCs/>
                <w:szCs w:val="20"/>
              </w:rPr>
            </w:pPr>
            <w:r w:rsidRPr="0049402B">
              <w:rPr>
                <w:b/>
                <w:bCs/>
                <w:szCs w:val="20"/>
              </w:rPr>
              <w:t>98 (68.06%)</w:t>
            </w:r>
          </w:p>
        </w:tc>
        <w:tc>
          <w:tcPr>
            <w:tcW w:w="1000" w:type="pct"/>
            <w:tcBorders>
              <w:top w:val="single" w:sz="4" w:space="0" w:color="auto"/>
              <w:left w:val="single" w:sz="4" w:space="0" w:color="auto"/>
              <w:bottom w:val="single" w:sz="4" w:space="0" w:color="auto"/>
              <w:right w:val="single" w:sz="4" w:space="0" w:color="auto"/>
            </w:tcBorders>
            <w:hideMark/>
          </w:tcPr>
          <w:p w14:paraId="178070A4" w14:textId="77777777" w:rsidR="00A967D5" w:rsidRPr="0049402B" w:rsidRDefault="00A967D5" w:rsidP="00E542D5">
            <w:pPr>
              <w:spacing w:before="0" w:after="0"/>
              <w:jc w:val="center"/>
              <w:rPr>
                <w:b/>
                <w:bCs/>
                <w:szCs w:val="20"/>
                <w:lang w:val="es-ES"/>
              </w:rPr>
            </w:pPr>
            <w:r w:rsidRPr="0049402B">
              <w:rPr>
                <w:b/>
                <w:bCs/>
                <w:szCs w:val="20"/>
              </w:rPr>
              <w:t>Nontreated infants</w:t>
            </w:r>
          </w:p>
          <w:p w14:paraId="356E0EE2" w14:textId="77777777" w:rsidR="00A967D5" w:rsidRPr="0049402B" w:rsidRDefault="00A967D5" w:rsidP="00E542D5">
            <w:pPr>
              <w:spacing w:before="0" w:after="0"/>
              <w:jc w:val="center"/>
              <w:rPr>
                <w:b/>
                <w:bCs/>
                <w:szCs w:val="20"/>
              </w:rPr>
            </w:pPr>
            <w:r w:rsidRPr="0049402B">
              <w:rPr>
                <w:b/>
                <w:bCs/>
                <w:szCs w:val="20"/>
              </w:rPr>
              <w:t>46 (48.94%)</w:t>
            </w:r>
          </w:p>
        </w:tc>
        <w:tc>
          <w:tcPr>
            <w:tcW w:w="1000" w:type="pct"/>
            <w:tcBorders>
              <w:top w:val="single" w:sz="4" w:space="0" w:color="auto"/>
              <w:left w:val="single" w:sz="4" w:space="0" w:color="auto"/>
              <w:bottom w:val="single" w:sz="4" w:space="0" w:color="auto"/>
              <w:right w:val="single" w:sz="4" w:space="0" w:color="auto"/>
            </w:tcBorders>
            <w:hideMark/>
          </w:tcPr>
          <w:p w14:paraId="5A3DBCA2" w14:textId="77777777" w:rsidR="00A967D5" w:rsidRPr="0049402B" w:rsidRDefault="00A967D5" w:rsidP="00E542D5">
            <w:pPr>
              <w:spacing w:before="0" w:after="0"/>
              <w:jc w:val="center"/>
              <w:rPr>
                <w:b/>
                <w:bCs/>
                <w:iCs/>
                <w:szCs w:val="20"/>
              </w:rPr>
            </w:pPr>
            <w:r w:rsidRPr="0049402B">
              <w:rPr>
                <w:b/>
                <w:bCs/>
                <w:szCs w:val="20"/>
              </w:rPr>
              <w:t>p</w:t>
            </w:r>
          </w:p>
        </w:tc>
      </w:tr>
      <w:tr w:rsidR="00A967D5" w14:paraId="29ED47D0" w14:textId="77777777" w:rsidTr="00E542D5">
        <w:tc>
          <w:tcPr>
            <w:tcW w:w="1000" w:type="pct"/>
            <w:tcBorders>
              <w:top w:val="single" w:sz="4" w:space="0" w:color="auto"/>
              <w:left w:val="single" w:sz="4" w:space="0" w:color="auto"/>
              <w:bottom w:val="single" w:sz="4" w:space="0" w:color="auto"/>
              <w:right w:val="single" w:sz="4" w:space="0" w:color="auto"/>
            </w:tcBorders>
            <w:hideMark/>
          </w:tcPr>
          <w:p w14:paraId="2BAB9F5B" w14:textId="77777777" w:rsidR="00A967D5" w:rsidRPr="0049402B" w:rsidRDefault="00A967D5" w:rsidP="00E542D5">
            <w:pPr>
              <w:spacing w:before="0" w:after="0"/>
              <w:rPr>
                <w:b/>
                <w:bCs/>
                <w:szCs w:val="20"/>
              </w:rPr>
            </w:pPr>
            <w:r w:rsidRPr="0049402B">
              <w:rPr>
                <w:b/>
                <w:bCs/>
                <w:szCs w:val="20"/>
              </w:rPr>
              <w:t>Progression to treatment-requiring disease</w:t>
            </w:r>
          </w:p>
        </w:tc>
        <w:tc>
          <w:tcPr>
            <w:tcW w:w="1000" w:type="pct"/>
            <w:tcBorders>
              <w:top w:val="single" w:sz="4" w:space="0" w:color="auto"/>
              <w:left w:val="single" w:sz="4" w:space="0" w:color="auto"/>
              <w:bottom w:val="single" w:sz="4" w:space="0" w:color="auto"/>
              <w:right w:val="single" w:sz="4" w:space="0" w:color="auto"/>
            </w:tcBorders>
            <w:hideMark/>
          </w:tcPr>
          <w:p w14:paraId="720D2A77" w14:textId="77777777" w:rsidR="00A967D5" w:rsidRPr="0049402B" w:rsidRDefault="00A967D5" w:rsidP="00E542D5">
            <w:pPr>
              <w:spacing w:before="0" w:after="0"/>
              <w:jc w:val="center"/>
              <w:rPr>
                <w:szCs w:val="20"/>
              </w:rPr>
            </w:pPr>
            <w:r w:rsidRPr="0049402B">
              <w:rPr>
                <w:szCs w:val="20"/>
              </w:rPr>
              <w:t>43 (29.86%)</w:t>
            </w:r>
          </w:p>
        </w:tc>
        <w:tc>
          <w:tcPr>
            <w:tcW w:w="1000" w:type="pct"/>
            <w:tcBorders>
              <w:top w:val="single" w:sz="4" w:space="0" w:color="auto"/>
              <w:left w:val="single" w:sz="4" w:space="0" w:color="auto"/>
              <w:bottom w:val="single" w:sz="4" w:space="0" w:color="auto"/>
              <w:right w:val="single" w:sz="4" w:space="0" w:color="auto"/>
            </w:tcBorders>
            <w:hideMark/>
          </w:tcPr>
          <w:p w14:paraId="7E231136" w14:textId="77777777" w:rsidR="00A967D5" w:rsidRPr="0049402B" w:rsidRDefault="00A967D5" w:rsidP="00E542D5">
            <w:pPr>
              <w:spacing w:before="0" w:after="0"/>
              <w:jc w:val="center"/>
              <w:rPr>
                <w:szCs w:val="20"/>
              </w:rPr>
            </w:pPr>
            <w:r w:rsidRPr="0049402B">
              <w:rPr>
                <w:szCs w:val="20"/>
              </w:rPr>
              <w:t>22 (22.45%)</w:t>
            </w:r>
          </w:p>
        </w:tc>
        <w:tc>
          <w:tcPr>
            <w:tcW w:w="1000" w:type="pct"/>
            <w:tcBorders>
              <w:top w:val="single" w:sz="4" w:space="0" w:color="auto"/>
              <w:left w:val="single" w:sz="4" w:space="0" w:color="auto"/>
              <w:bottom w:val="single" w:sz="4" w:space="0" w:color="auto"/>
              <w:right w:val="single" w:sz="4" w:space="0" w:color="auto"/>
            </w:tcBorders>
            <w:hideMark/>
          </w:tcPr>
          <w:p w14:paraId="225839BB" w14:textId="77777777" w:rsidR="00A967D5" w:rsidRPr="0049402B" w:rsidRDefault="00A967D5" w:rsidP="00E542D5">
            <w:pPr>
              <w:spacing w:before="0" w:after="0"/>
              <w:jc w:val="center"/>
              <w:rPr>
                <w:szCs w:val="20"/>
              </w:rPr>
            </w:pPr>
            <w:r w:rsidRPr="0049402B">
              <w:rPr>
                <w:szCs w:val="20"/>
              </w:rPr>
              <w:t>21 (45.65%)</w:t>
            </w:r>
          </w:p>
        </w:tc>
        <w:tc>
          <w:tcPr>
            <w:tcW w:w="1000" w:type="pct"/>
            <w:tcBorders>
              <w:top w:val="single" w:sz="4" w:space="0" w:color="auto"/>
              <w:left w:val="single" w:sz="4" w:space="0" w:color="auto"/>
              <w:bottom w:val="single" w:sz="4" w:space="0" w:color="auto"/>
              <w:right w:val="single" w:sz="4" w:space="0" w:color="auto"/>
            </w:tcBorders>
            <w:hideMark/>
          </w:tcPr>
          <w:p w14:paraId="2DAB912D" w14:textId="77777777" w:rsidR="00A967D5" w:rsidRPr="0049402B" w:rsidRDefault="00A967D5" w:rsidP="00E542D5">
            <w:pPr>
              <w:spacing w:before="0" w:after="0"/>
              <w:jc w:val="center"/>
              <w:rPr>
                <w:szCs w:val="20"/>
              </w:rPr>
            </w:pPr>
            <w:r w:rsidRPr="0049402B">
              <w:rPr>
                <w:szCs w:val="20"/>
              </w:rPr>
              <w:t>0.0046</w:t>
            </w:r>
          </w:p>
        </w:tc>
      </w:tr>
      <w:tr w:rsidR="00A967D5" w14:paraId="11FC0F6B" w14:textId="77777777" w:rsidTr="00E542D5">
        <w:tc>
          <w:tcPr>
            <w:tcW w:w="1000" w:type="pct"/>
            <w:tcBorders>
              <w:top w:val="single" w:sz="4" w:space="0" w:color="auto"/>
              <w:left w:val="single" w:sz="4" w:space="0" w:color="auto"/>
              <w:bottom w:val="single" w:sz="4" w:space="0" w:color="auto"/>
              <w:right w:val="single" w:sz="4" w:space="0" w:color="auto"/>
            </w:tcBorders>
            <w:hideMark/>
          </w:tcPr>
          <w:p w14:paraId="0EE8AF96" w14:textId="77777777" w:rsidR="00A967D5" w:rsidRPr="0049402B" w:rsidRDefault="00A967D5" w:rsidP="00E542D5">
            <w:pPr>
              <w:spacing w:before="0" w:after="0"/>
              <w:rPr>
                <w:b/>
                <w:bCs/>
                <w:szCs w:val="20"/>
              </w:rPr>
            </w:pPr>
            <w:r w:rsidRPr="0049402B">
              <w:rPr>
                <w:b/>
                <w:bCs/>
                <w:szCs w:val="20"/>
              </w:rPr>
              <w:t>Follow-up visits</w:t>
            </w:r>
          </w:p>
        </w:tc>
        <w:tc>
          <w:tcPr>
            <w:tcW w:w="1000" w:type="pct"/>
            <w:tcBorders>
              <w:top w:val="single" w:sz="4" w:space="0" w:color="auto"/>
              <w:left w:val="single" w:sz="4" w:space="0" w:color="auto"/>
              <w:bottom w:val="single" w:sz="4" w:space="0" w:color="auto"/>
              <w:right w:val="single" w:sz="4" w:space="0" w:color="auto"/>
            </w:tcBorders>
            <w:hideMark/>
          </w:tcPr>
          <w:p w14:paraId="0FA4C9BD" w14:textId="77777777" w:rsidR="00A967D5" w:rsidRPr="0049402B" w:rsidRDefault="00A967D5" w:rsidP="00E542D5">
            <w:pPr>
              <w:spacing w:before="0" w:after="0"/>
              <w:jc w:val="center"/>
              <w:rPr>
                <w:szCs w:val="20"/>
              </w:rPr>
            </w:pPr>
            <w:r w:rsidRPr="0049402B">
              <w:rPr>
                <w:szCs w:val="20"/>
              </w:rPr>
              <w:t xml:space="preserve">5.08 </w:t>
            </w:r>
            <w:r w:rsidRPr="0049402B">
              <w:rPr>
                <w:rFonts w:cstheme="minorHAnsi"/>
                <w:szCs w:val="20"/>
              </w:rPr>
              <w:t>± 1.67</w:t>
            </w:r>
          </w:p>
        </w:tc>
        <w:tc>
          <w:tcPr>
            <w:tcW w:w="1000" w:type="pct"/>
            <w:tcBorders>
              <w:top w:val="single" w:sz="4" w:space="0" w:color="auto"/>
              <w:left w:val="single" w:sz="4" w:space="0" w:color="auto"/>
              <w:bottom w:val="single" w:sz="4" w:space="0" w:color="auto"/>
              <w:right w:val="single" w:sz="4" w:space="0" w:color="auto"/>
            </w:tcBorders>
            <w:hideMark/>
          </w:tcPr>
          <w:p w14:paraId="3FDC0CA3" w14:textId="77777777" w:rsidR="00A967D5" w:rsidRPr="0049402B" w:rsidRDefault="00A967D5" w:rsidP="00E542D5">
            <w:pPr>
              <w:spacing w:before="0" w:after="0"/>
              <w:jc w:val="center"/>
              <w:rPr>
                <w:szCs w:val="20"/>
              </w:rPr>
            </w:pPr>
            <w:bookmarkStart w:id="6" w:name="_Hlk223466989"/>
            <w:r w:rsidRPr="0049402B">
              <w:rPr>
                <w:szCs w:val="20"/>
              </w:rPr>
              <w:t xml:space="preserve">4.63 </w:t>
            </w:r>
            <w:r w:rsidRPr="0049402B">
              <w:rPr>
                <w:rFonts w:cstheme="minorHAnsi"/>
                <w:szCs w:val="20"/>
              </w:rPr>
              <w:t>± 1.68</w:t>
            </w:r>
            <w:bookmarkEnd w:id="6"/>
          </w:p>
        </w:tc>
        <w:tc>
          <w:tcPr>
            <w:tcW w:w="1000" w:type="pct"/>
            <w:tcBorders>
              <w:top w:val="single" w:sz="4" w:space="0" w:color="auto"/>
              <w:left w:val="single" w:sz="4" w:space="0" w:color="auto"/>
              <w:bottom w:val="single" w:sz="4" w:space="0" w:color="auto"/>
              <w:right w:val="single" w:sz="4" w:space="0" w:color="auto"/>
            </w:tcBorders>
            <w:hideMark/>
          </w:tcPr>
          <w:p w14:paraId="77DD8CCC" w14:textId="77777777" w:rsidR="00A967D5" w:rsidRPr="0049402B" w:rsidRDefault="00A967D5" w:rsidP="00E542D5">
            <w:pPr>
              <w:spacing w:before="0" w:after="0"/>
              <w:jc w:val="center"/>
              <w:rPr>
                <w:szCs w:val="20"/>
              </w:rPr>
            </w:pPr>
            <w:bookmarkStart w:id="7" w:name="_Hlk223467010"/>
            <w:r w:rsidRPr="0049402B">
              <w:rPr>
                <w:szCs w:val="20"/>
              </w:rPr>
              <w:t xml:space="preserve">6.02 </w:t>
            </w:r>
            <w:r w:rsidRPr="0049402B">
              <w:rPr>
                <w:rFonts w:cstheme="minorHAnsi"/>
                <w:szCs w:val="20"/>
              </w:rPr>
              <w:t>± 1.20</w:t>
            </w:r>
            <w:bookmarkEnd w:id="7"/>
          </w:p>
        </w:tc>
        <w:tc>
          <w:tcPr>
            <w:tcW w:w="1000" w:type="pct"/>
            <w:tcBorders>
              <w:top w:val="single" w:sz="4" w:space="0" w:color="auto"/>
              <w:left w:val="single" w:sz="4" w:space="0" w:color="auto"/>
              <w:bottom w:val="single" w:sz="4" w:space="0" w:color="auto"/>
              <w:right w:val="single" w:sz="4" w:space="0" w:color="auto"/>
            </w:tcBorders>
            <w:hideMark/>
          </w:tcPr>
          <w:p w14:paraId="096F682C" w14:textId="77777777" w:rsidR="00A967D5" w:rsidRPr="0049402B" w:rsidRDefault="00A967D5" w:rsidP="00E542D5">
            <w:pPr>
              <w:spacing w:before="0" w:after="0"/>
              <w:jc w:val="center"/>
              <w:rPr>
                <w:szCs w:val="20"/>
              </w:rPr>
            </w:pPr>
            <w:r w:rsidRPr="0049402B">
              <w:rPr>
                <w:szCs w:val="20"/>
              </w:rPr>
              <w:t>&lt;0.0001</w:t>
            </w:r>
          </w:p>
        </w:tc>
      </w:tr>
      <w:tr w:rsidR="00A967D5" w14:paraId="6B31264C" w14:textId="77777777" w:rsidTr="00E542D5">
        <w:tc>
          <w:tcPr>
            <w:tcW w:w="1000" w:type="pct"/>
            <w:tcBorders>
              <w:top w:val="single" w:sz="4" w:space="0" w:color="auto"/>
              <w:left w:val="single" w:sz="4" w:space="0" w:color="auto"/>
              <w:bottom w:val="single" w:sz="4" w:space="0" w:color="auto"/>
              <w:right w:val="single" w:sz="4" w:space="0" w:color="auto"/>
            </w:tcBorders>
            <w:hideMark/>
          </w:tcPr>
          <w:p w14:paraId="0DE82E87" w14:textId="77777777" w:rsidR="00A967D5" w:rsidRPr="0049402B" w:rsidRDefault="00A967D5" w:rsidP="00E542D5">
            <w:pPr>
              <w:spacing w:before="0" w:after="0"/>
              <w:rPr>
                <w:b/>
                <w:bCs/>
                <w:szCs w:val="20"/>
              </w:rPr>
            </w:pPr>
            <w:r w:rsidRPr="0049402B">
              <w:rPr>
                <w:b/>
                <w:bCs/>
                <w:szCs w:val="20"/>
              </w:rPr>
              <w:t>Time to disease progression (days)</w:t>
            </w:r>
          </w:p>
        </w:tc>
        <w:tc>
          <w:tcPr>
            <w:tcW w:w="1000" w:type="pct"/>
            <w:tcBorders>
              <w:top w:val="single" w:sz="4" w:space="0" w:color="auto"/>
              <w:left w:val="single" w:sz="4" w:space="0" w:color="auto"/>
              <w:bottom w:val="single" w:sz="4" w:space="0" w:color="auto"/>
              <w:right w:val="single" w:sz="4" w:space="0" w:color="auto"/>
            </w:tcBorders>
            <w:hideMark/>
          </w:tcPr>
          <w:p w14:paraId="1F4D9C6E" w14:textId="77777777" w:rsidR="00A967D5" w:rsidRPr="0049402B" w:rsidRDefault="00A967D5" w:rsidP="00E542D5">
            <w:pPr>
              <w:spacing w:before="0" w:after="0"/>
              <w:jc w:val="center"/>
              <w:rPr>
                <w:szCs w:val="20"/>
              </w:rPr>
            </w:pPr>
            <w:r w:rsidRPr="0049402B">
              <w:rPr>
                <w:szCs w:val="20"/>
              </w:rPr>
              <w:t xml:space="preserve">71.71 </w:t>
            </w:r>
            <w:r w:rsidRPr="0049402B">
              <w:rPr>
                <w:rFonts w:cstheme="minorHAnsi"/>
                <w:szCs w:val="20"/>
              </w:rPr>
              <w:t>± 3.58</w:t>
            </w:r>
          </w:p>
        </w:tc>
        <w:tc>
          <w:tcPr>
            <w:tcW w:w="1000" w:type="pct"/>
            <w:tcBorders>
              <w:top w:val="single" w:sz="4" w:space="0" w:color="auto"/>
              <w:left w:val="single" w:sz="4" w:space="0" w:color="auto"/>
              <w:bottom w:val="single" w:sz="4" w:space="0" w:color="auto"/>
              <w:right w:val="single" w:sz="4" w:space="0" w:color="auto"/>
            </w:tcBorders>
            <w:hideMark/>
          </w:tcPr>
          <w:p w14:paraId="7F76E1F4" w14:textId="77777777" w:rsidR="00A967D5" w:rsidRPr="0049402B" w:rsidRDefault="00A967D5" w:rsidP="00E542D5">
            <w:pPr>
              <w:spacing w:before="0" w:after="0"/>
              <w:jc w:val="center"/>
              <w:rPr>
                <w:szCs w:val="20"/>
              </w:rPr>
            </w:pPr>
            <w:bookmarkStart w:id="8" w:name="_Hlk223467139"/>
            <w:r w:rsidRPr="0049402B">
              <w:rPr>
                <w:szCs w:val="20"/>
              </w:rPr>
              <w:t xml:space="preserve">59.95 </w:t>
            </w:r>
            <w:r w:rsidRPr="0049402B">
              <w:rPr>
                <w:rFonts w:cstheme="minorHAnsi"/>
                <w:szCs w:val="20"/>
              </w:rPr>
              <w:t>± 3.38</w:t>
            </w:r>
            <w:bookmarkEnd w:id="8"/>
          </w:p>
        </w:tc>
        <w:tc>
          <w:tcPr>
            <w:tcW w:w="1000" w:type="pct"/>
            <w:tcBorders>
              <w:top w:val="single" w:sz="4" w:space="0" w:color="auto"/>
              <w:left w:val="single" w:sz="4" w:space="0" w:color="auto"/>
              <w:bottom w:val="single" w:sz="4" w:space="0" w:color="auto"/>
              <w:right w:val="single" w:sz="4" w:space="0" w:color="auto"/>
            </w:tcBorders>
            <w:hideMark/>
          </w:tcPr>
          <w:p w14:paraId="0EC73E1C" w14:textId="77777777" w:rsidR="00A967D5" w:rsidRPr="0049402B" w:rsidRDefault="00A967D5" w:rsidP="00E542D5">
            <w:pPr>
              <w:spacing w:before="0" w:after="0"/>
              <w:jc w:val="center"/>
              <w:rPr>
                <w:szCs w:val="20"/>
              </w:rPr>
            </w:pPr>
            <w:bookmarkStart w:id="9" w:name="_Hlk223467161"/>
            <w:r w:rsidRPr="0049402B">
              <w:rPr>
                <w:szCs w:val="20"/>
              </w:rPr>
              <w:t xml:space="preserve">77.85 </w:t>
            </w:r>
            <w:r w:rsidRPr="0049402B">
              <w:rPr>
                <w:rFonts w:cstheme="minorHAnsi"/>
                <w:szCs w:val="20"/>
              </w:rPr>
              <w:t>± 4.05</w:t>
            </w:r>
            <w:bookmarkEnd w:id="9"/>
          </w:p>
        </w:tc>
        <w:tc>
          <w:tcPr>
            <w:tcW w:w="1000" w:type="pct"/>
            <w:tcBorders>
              <w:top w:val="single" w:sz="4" w:space="0" w:color="auto"/>
              <w:left w:val="single" w:sz="4" w:space="0" w:color="auto"/>
              <w:bottom w:val="single" w:sz="4" w:space="0" w:color="auto"/>
              <w:right w:val="single" w:sz="4" w:space="0" w:color="auto"/>
            </w:tcBorders>
            <w:hideMark/>
          </w:tcPr>
          <w:p w14:paraId="0CA68461" w14:textId="77777777" w:rsidR="00A967D5" w:rsidRPr="0049402B" w:rsidRDefault="00A967D5" w:rsidP="00E542D5">
            <w:pPr>
              <w:spacing w:before="0" w:after="0"/>
              <w:jc w:val="center"/>
              <w:rPr>
                <w:szCs w:val="20"/>
                <w:lang w:val="es-CO"/>
              </w:rPr>
            </w:pPr>
            <w:r w:rsidRPr="0049402B">
              <w:rPr>
                <w:szCs w:val="20"/>
              </w:rPr>
              <w:t>0.1104</w:t>
            </w:r>
          </w:p>
        </w:tc>
      </w:tr>
      <w:tr w:rsidR="00A967D5" w14:paraId="70A4FC03" w14:textId="77777777" w:rsidTr="00E542D5">
        <w:tc>
          <w:tcPr>
            <w:tcW w:w="1000" w:type="pct"/>
            <w:tcBorders>
              <w:top w:val="single" w:sz="4" w:space="0" w:color="auto"/>
              <w:left w:val="single" w:sz="4" w:space="0" w:color="auto"/>
              <w:bottom w:val="single" w:sz="4" w:space="0" w:color="auto"/>
              <w:right w:val="single" w:sz="4" w:space="0" w:color="auto"/>
            </w:tcBorders>
            <w:hideMark/>
          </w:tcPr>
          <w:p w14:paraId="57972021" w14:textId="77777777" w:rsidR="00A967D5" w:rsidRPr="0049402B" w:rsidRDefault="00A967D5" w:rsidP="00E542D5">
            <w:pPr>
              <w:spacing w:before="0" w:after="0"/>
              <w:rPr>
                <w:b/>
                <w:bCs/>
                <w:szCs w:val="20"/>
              </w:rPr>
            </w:pPr>
            <w:r w:rsidRPr="0049402B">
              <w:rPr>
                <w:b/>
                <w:bCs/>
                <w:szCs w:val="20"/>
              </w:rPr>
              <w:t>Time to disease regression (days)</w:t>
            </w:r>
          </w:p>
        </w:tc>
        <w:tc>
          <w:tcPr>
            <w:tcW w:w="1000" w:type="pct"/>
            <w:tcBorders>
              <w:top w:val="single" w:sz="4" w:space="0" w:color="auto"/>
              <w:left w:val="single" w:sz="4" w:space="0" w:color="auto"/>
              <w:bottom w:val="single" w:sz="4" w:space="0" w:color="auto"/>
              <w:right w:val="single" w:sz="4" w:space="0" w:color="auto"/>
            </w:tcBorders>
            <w:hideMark/>
          </w:tcPr>
          <w:p w14:paraId="5BB868D4" w14:textId="77777777" w:rsidR="00A967D5" w:rsidRPr="0049402B" w:rsidRDefault="00A967D5" w:rsidP="00E542D5">
            <w:pPr>
              <w:spacing w:before="0" w:after="0"/>
              <w:jc w:val="center"/>
              <w:rPr>
                <w:szCs w:val="20"/>
              </w:rPr>
            </w:pPr>
            <w:r w:rsidRPr="0049402B">
              <w:rPr>
                <w:szCs w:val="20"/>
              </w:rPr>
              <w:t xml:space="preserve">55.30 </w:t>
            </w:r>
            <w:r w:rsidRPr="0049402B">
              <w:rPr>
                <w:rFonts w:cstheme="minorHAnsi"/>
                <w:szCs w:val="20"/>
              </w:rPr>
              <w:t>± 4.52</w:t>
            </w:r>
          </w:p>
        </w:tc>
        <w:tc>
          <w:tcPr>
            <w:tcW w:w="1000" w:type="pct"/>
            <w:tcBorders>
              <w:top w:val="single" w:sz="4" w:space="0" w:color="auto"/>
              <w:left w:val="single" w:sz="4" w:space="0" w:color="auto"/>
              <w:bottom w:val="single" w:sz="4" w:space="0" w:color="auto"/>
              <w:right w:val="single" w:sz="4" w:space="0" w:color="auto"/>
            </w:tcBorders>
            <w:hideMark/>
          </w:tcPr>
          <w:p w14:paraId="4C9A7ADC" w14:textId="77777777" w:rsidR="00A967D5" w:rsidRPr="0049402B" w:rsidRDefault="00A967D5" w:rsidP="00E542D5">
            <w:pPr>
              <w:spacing w:before="0" w:after="0"/>
              <w:jc w:val="center"/>
              <w:rPr>
                <w:szCs w:val="20"/>
              </w:rPr>
            </w:pPr>
            <w:bookmarkStart w:id="10" w:name="_Hlk223467037"/>
            <w:r w:rsidRPr="0049402B">
              <w:rPr>
                <w:szCs w:val="20"/>
              </w:rPr>
              <w:t xml:space="preserve">36.48 </w:t>
            </w:r>
            <w:r w:rsidRPr="0049402B">
              <w:rPr>
                <w:rFonts w:cstheme="minorHAnsi"/>
                <w:szCs w:val="20"/>
              </w:rPr>
              <w:t>± 2.33</w:t>
            </w:r>
            <w:bookmarkEnd w:id="10"/>
          </w:p>
        </w:tc>
        <w:tc>
          <w:tcPr>
            <w:tcW w:w="1000" w:type="pct"/>
            <w:tcBorders>
              <w:top w:val="single" w:sz="4" w:space="0" w:color="auto"/>
              <w:left w:val="single" w:sz="4" w:space="0" w:color="auto"/>
              <w:bottom w:val="single" w:sz="4" w:space="0" w:color="auto"/>
              <w:right w:val="single" w:sz="4" w:space="0" w:color="auto"/>
            </w:tcBorders>
            <w:hideMark/>
          </w:tcPr>
          <w:p w14:paraId="5D682EB3" w14:textId="77777777" w:rsidR="00A967D5" w:rsidRPr="0049402B" w:rsidRDefault="00A967D5" w:rsidP="00E542D5">
            <w:pPr>
              <w:spacing w:before="0" w:after="0"/>
              <w:jc w:val="center"/>
              <w:rPr>
                <w:szCs w:val="20"/>
              </w:rPr>
            </w:pPr>
            <w:bookmarkStart w:id="11" w:name="_Hlk223467056"/>
            <w:r w:rsidRPr="0049402B">
              <w:rPr>
                <w:szCs w:val="20"/>
              </w:rPr>
              <w:t xml:space="preserve">89.50 </w:t>
            </w:r>
            <w:r w:rsidRPr="0049402B">
              <w:rPr>
                <w:rFonts w:cstheme="minorHAnsi"/>
                <w:szCs w:val="20"/>
              </w:rPr>
              <w:t>± 9.79</w:t>
            </w:r>
            <w:bookmarkEnd w:id="11"/>
          </w:p>
        </w:tc>
        <w:tc>
          <w:tcPr>
            <w:tcW w:w="1000" w:type="pct"/>
            <w:tcBorders>
              <w:top w:val="single" w:sz="4" w:space="0" w:color="auto"/>
              <w:left w:val="single" w:sz="4" w:space="0" w:color="auto"/>
              <w:bottom w:val="single" w:sz="4" w:space="0" w:color="auto"/>
              <w:right w:val="single" w:sz="4" w:space="0" w:color="auto"/>
            </w:tcBorders>
            <w:hideMark/>
          </w:tcPr>
          <w:p w14:paraId="00D46EA2" w14:textId="77777777" w:rsidR="00A967D5" w:rsidRPr="0049402B" w:rsidRDefault="00A967D5" w:rsidP="00E542D5">
            <w:pPr>
              <w:spacing w:before="0" w:after="0"/>
              <w:jc w:val="center"/>
              <w:rPr>
                <w:szCs w:val="20"/>
                <w:lang w:val="es-CO"/>
              </w:rPr>
            </w:pPr>
            <w:r w:rsidRPr="0049402B">
              <w:rPr>
                <w:szCs w:val="20"/>
              </w:rPr>
              <w:t>&lt;0.0001</w:t>
            </w:r>
          </w:p>
        </w:tc>
      </w:tr>
      <w:tr w:rsidR="00A967D5" w14:paraId="7840473D" w14:textId="77777777" w:rsidTr="00E542D5">
        <w:tc>
          <w:tcPr>
            <w:tcW w:w="1000" w:type="pct"/>
            <w:tcBorders>
              <w:top w:val="single" w:sz="4" w:space="0" w:color="auto"/>
              <w:left w:val="single" w:sz="4" w:space="0" w:color="auto"/>
              <w:bottom w:val="single" w:sz="4" w:space="0" w:color="auto"/>
              <w:right w:val="single" w:sz="4" w:space="0" w:color="auto"/>
            </w:tcBorders>
            <w:hideMark/>
          </w:tcPr>
          <w:p w14:paraId="04650405" w14:textId="77777777" w:rsidR="00A967D5" w:rsidRPr="0049402B" w:rsidRDefault="00A967D5" w:rsidP="00E542D5">
            <w:pPr>
              <w:spacing w:before="0" w:after="0"/>
              <w:rPr>
                <w:b/>
                <w:bCs/>
                <w:szCs w:val="20"/>
              </w:rPr>
            </w:pPr>
            <w:r w:rsidRPr="0049402B">
              <w:rPr>
                <w:b/>
                <w:bCs/>
                <w:szCs w:val="20"/>
              </w:rPr>
              <w:t>Retreatment</w:t>
            </w:r>
          </w:p>
        </w:tc>
        <w:tc>
          <w:tcPr>
            <w:tcW w:w="1000" w:type="pct"/>
            <w:tcBorders>
              <w:top w:val="single" w:sz="4" w:space="0" w:color="auto"/>
              <w:left w:val="single" w:sz="4" w:space="0" w:color="auto"/>
              <w:bottom w:val="single" w:sz="4" w:space="0" w:color="auto"/>
              <w:right w:val="single" w:sz="4" w:space="0" w:color="auto"/>
            </w:tcBorders>
            <w:hideMark/>
          </w:tcPr>
          <w:p w14:paraId="3257D54F" w14:textId="77777777" w:rsidR="00A967D5" w:rsidRPr="0049402B" w:rsidRDefault="00A967D5" w:rsidP="00E542D5">
            <w:pPr>
              <w:spacing w:before="0" w:after="0"/>
              <w:jc w:val="center"/>
              <w:rPr>
                <w:szCs w:val="20"/>
              </w:rPr>
            </w:pPr>
            <w:r w:rsidRPr="0049402B">
              <w:rPr>
                <w:szCs w:val="20"/>
              </w:rPr>
              <w:t>2 (2.08%)</w:t>
            </w:r>
          </w:p>
        </w:tc>
        <w:tc>
          <w:tcPr>
            <w:tcW w:w="1000" w:type="pct"/>
            <w:tcBorders>
              <w:top w:val="single" w:sz="4" w:space="0" w:color="auto"/>
              <w:left w:val="single" w:sz="4" w:space="0" w:color="auto"/>
              <w:bottom w:val="single" w:sz="4" w:space="0" w:color="auto"/>
              <w:right w:val="single" w:sz="4" w:space="0" w:color="auto"/>
            </w:tcBorders>
            <w:hideMark/>
          </w:tcPr>
          <w:p w14:paraId="6E9F18F4" w14:textId="77777777" w:rsidR="00A967D5" w:rsidRPr="0049402B" w:rsidRDefault="00A967D5" w:rsidP="00E542D5">
            <w:pPr>
              <w:spacing w:before="0" w:after="0"/>
              <w:jc w:val="center"/>
              <w:rPr>
                <w:szCs w:val="20"/>
              </w:rPr>
            </w:pPr>
            <w:r w:rsidRPr="0049402B">
              <w:rPr>
                <w:szCs w:val="20"/>
              </w:rPr>
              <w:t>0 (0.00%)</w:t>
            </w:r>
          </w:p>
        </w:tc>
        <w:tc>
          <w:tcPr>
            <w:tcW w:w="1000" w:type="pct"/>
            <w:tcBorders>
              <w:top w:val="single" w:sz="4" w:space="0" w:color="auto"/>
              <w:left w:val="single" w:sz="4" w:space="0" w:color="auto"/>
              <w:bottom w:val="single" w:sz="4" w:space="0" w:color="auto"/>
              <w:right w:val="single" w:sz="4" w:space="0" w:color="auto"/>
            </w:tcBorders>
            <w:hideMark/>
          </w:tcPr>
          <w:p w14:paraId="688D4000" w14:textId="77777777" w:rsidR="00A967D5" w:rsidRPr="0049402B" w:rsidRDefault="00A967D5" w:rsidP="00E542D5">
            <w:pPr>
              <w:spacing w:before="0" w:after="0"/>
              <w:jc w:val="center"/>
              <w:rPr>
                <w:szCs w:val="20"/>
              </w:rPr>
            </w:pPr>
            <w:r w:rsidRPr="0049402B">
              <w:rPr>
                <w:szCs w:val="20"/>
              </w:rPr>
              <w:t>3 (6.52%)</w:t>
            </w:r>
          </w:p>
        </w:tc>
        <w:tc>
          <w:tcPr>
            <w:tcW w:w="1000" w:type="pct"/>
            <w:tcBorders>
              <w:top w:val="single" w:sz="4" w:space="0" w:color="auto"/>
              <w:left w:val="single" w:sz="4" w:space="0" w:color="auto"/>
              <w:bottom w:val="single" w:sz="4" w:space="0" w:color="auto"/>
              <w:right w:val="single" w:sz="4" w:space="0" w:color="auto"/>
            </w:tcBorders>
            <w:hideMark/>
          </w:tcPr>
          <w:p w14:paraId="0DDD277B" w14:textId="77777777" w:rsidR="00A967D5" w:rsidRPr="0049402B" w:rsidRDefault="00A967D5" w:rsidP="00E542D5">
            <w:pPr>
              <w:spacing w:before="0" w:after="0"/>
              <w:jc w:val="center"/>
              <w:rPr>
                <w:szCs w:val="20"/>
                <w:lang w:val="es-CO"/>
              </w:rPr>
            </w:pPr>
            <w:r w:rsidRPr="0049402B">
              <w:rPr>
                <w:szCs w:val="20"/>
              </w:rPr>
              <w:t>0.0106</w:t>
            </w:r>
          </w:p>
        </w:tc>
      </w:tr>
    </w:tbl>
    <w:p w14:paraId="54F9D9C8" w14:textId="77777777" w:rsidR="00A967D5" w:rsidRDefault="00A967D5" w:rsidP="00A967D5">
      <w:pPr>
        <w:pStyle w:val="NormalWeb"/>
        <w:spacing w:before="0" w:beforeAutospacing="0" w:after="0" w:afterAutospacing="0"/>
        <w:jc w:val="both"/>
        <w:rPr>
          <w:b/>
          <w:bCs/>
        </w:rPr>
      </w:pPr>
    </w:p>
    <w:p w14:paraId="1024B9C8" w14:textId="77777777" w:rsidR="00A967D5" w:rsidRPr="00057655" w:rsidRDefault="00A967D5" w:rsidP="00A967D5">
      <w:pPr>
        <w:pStyle w:val="NormalWeb"/>
        <w:spacing w:before="0" w:beforeAutospacing="0" w:after="0" w:afterAutospacing="0"/>
        <w:jc w:val="both"/>
        <w:rPr>
          <w:b/>
          <w:bCs/>
        </w:rPr>
      </w:pPr>
      <w:r w:rsidRPr="00057655">
        <w:rPr>
          <w:b/>
          <w:bCs/>
        </w:rPr>
        <w:t>Footnotes</w:t>
      </w:r>
    </w:p>
    <w:p w14:paraId="6BF7E540" w14:textId="77777777" w:rsidR="00A967D5" w:rsidRDefault="00A967D5" w:rsidP="00A967D5">
      <w:pPr>
        <w:pStyle w:val="NormalWeb"/>
        <w:numPr>
          <w:ilvl w:val="0"/>
          <w:numId w:val="2"/>
        </w:numPr>
        <w:spacing w:before="0" w:beforeAutospacing="0" w:after="0" w:afterAutospacing="0"/>
        <w:jc w:val="both"/>
      </w:pPr>
      <w:r>
        <w:t>Data are presented as the n (%) or mean ± standard deviation.</w:t>
      </w:r>
    </w:p>
    <w:p w14:paraId="2022BFEA" w14:textId="77777777" w:rsidR="00A967D5" w:rsidRDefault="00A967D5" w:rsidP="00A967D5">
      <w:pPr>
        <w:pStyle w:val="NormalWeb"/>
        <w:numPr>
          <w:ilvl w:val="0"/>
          <w:numId w:val="2"/>
        </w:numPr>
        <w:spacing w:before="0" w:beforeAutospacing="0" w:after="0" w:afterAutospacing="0"/>
        <w:jc w:val="both"/>
      </w:pPr>
      <w:r>
        <w:t>p values compare the prophylaxis cohort with the historical surveillance-only cohort.</w:t>
      </w:r>
    </w:p>
    <w:p w14:paraId="70292AA1" w14:textId="77777777" w:rsidR="00A967D5" w:rsidRDefault="00A967D5" w:rsidP="00A967D5">
      <w:pPr>
        <w:pStyle w:val="NormalWeb"/>
        <w:numPr>
          <w:ilvl w:val="0"/>
          <w:numId w:val="2"/>
        </w:numPr>
        <w:spacing w:before="0" w:beforeAutospacing="0" w:after="0" w:afterAutospacing="0"/>
        <w:jc w:val="both"/>
      </w:pPr>
      <w:r>
        <w:t>The percentages may not total 100.00% because of rounding.</w:t>
      </w:r>
    </w:p>
    <w:p w14:paraId="76554C49" w14:textId="77777777" w:rsidR="00A967D5" w:rsidRDefault="00A967D5" w:rsidP="00A967D5">
      <w:pPr>
        <w:spacing w:before="100" w:beforeAutospacing="1" w:after="100" w:afterAutospacing="1"/>
        <w:jc w:val="both"/>
        <w:rPr>
          <w:rFonts w:eastAsia="Times New Roman" w:cs="Times New Roman"/>
          <w:color w:val="000000"/>
          <w:szCs w:val="24"/>
        </w:rPr>
      </w:pPr>
    </w:p>
    <w:p w14:paraId="415C78A4" w14:textId="77777777" w:rsidR="00A967D5" w:rsidRDefault="00A967D5" w:rsidP="00A967D5">
      <w:pPr>
        <w:spacing w:before="100" w:beforeAutospacing="1" w:after="100" w:afterAutospacing="1"/>
        <w:jc w:val="both"/>
        <w:rPr>
          <w:rFonts w:eastAsia="Times New Roman" w:cs="Times New Roman"/>
          <w:color w:val="000000"/>
          <w:szCs w:val="24"/>
        </w:rPr>
      </w:pPr>
    </w:p>
    <w:p w14:paraId="138D099E" w14:textId="77777777" w:rsidR="00A967D5" w:rsidRDefault="00A967D5" w:rsidP="00A967D5">
      <w:pPr>
        <w:spacing w:before="100" w:beforeAutospacing="1" w:after="100" w:afterAutospacing="1"/>
        <w:jc w:val="both"/>
        <w:rPr>
          <w:rFonts w:eastAsia="Times New Roman" w:cs="Times New Roman"/>
          <w:color w:val="000000"/>
          <w:szCs w:val="24"/>
        </w:rPr>
      </w:pPr>
    </w:p>
    <w:p w14:paraId="24B6A44D" w14:textId="77777777" w:rsidR="00A967D5" w:rsidRDefault="00A967D5" w:rsidP="00A967D5">
      <w:pPr>
        <w:spacing w:before="100" w:beforeAutospacing="1" w:after="100" w:afterAutospacing="1"/>
        <w:jc w:val="both"/>
        <w:rPr>
          <w:rFonts w:eastAsia="Times New Roman" w:cs="Times New Roman"/>
          <w:color w:val="000000"/>
          <w:szCs w:val="24"/>
        </w:rPr>
      </w:pPr>
    </w:p>
    <w:p w14:paraId="0DC9F6C4" w14:textId="77777777" w:rsidR="00A967D5" w:rsidRDefault="00A967D5" w:rsidP="00A967D5">
      <w:pPr>
        <w:spacing w:before="100" w:beforeAutospacing="1" w:after="100" w:afterAutospacing="1"/>
        <w:jc w:val="both"/>
        <w:rPr>
          <w:rFonts w:eastAsia="Times New Roman" w:cs="Times New Roman"/>
          <w:color w:val="000000"/>
          <w:szCs w:val="24"/>
        </w:rPr>
      </w:pPr>
    </w:p>
    <w:p w14:paraId="180C7A0C" w14:textId="77777777" w:rsidR="00A967D5" w:rsidRDefault="00A967D5" w:rsidP="00A967D5">
      <w:pPr>
        <w:spacing w:before="100" w:beforeAutospacing="1" w:after="100" w:afterAutospacing="1"/>
        <w:jc w:val="both"/>
        <w:rPr>
          <w:rFonts w:eastAsia="Times New Roman" w:cs="Times New Roman"/>
          <w:color w:val="000000"/>
          <w:szCs w:val="24"/>
        </w:rPr>
      </w:pPr>
    </w:p>
    <w:p w14:paraId="31B2E4B8" w14:textId="77777777" w:rsidR="00A967D5" w:rsidRDefault="00A967D5" w:rsidP="00A967D5">
      <w:pPr>
        <w:spacing w:before="100" w:beforeAutospacing="1" w:after="100" w:afterAutospacing="1"/>
        <w:jc w:val="both"/>
        <w:rPr>
          <w:rFonts w:eastAsia="Times New Roman" w:cs="Times New Roman"/>
          <w:color w:val="000000"/>
          <w:szCs w:val="24"/>
        </w:rPr>
      </w:pPr>
    </w:p>
    <w:p w14:paraId="36FD2FD3" w14:textId="77777777" w:rsidR="00A967D5" w:rsidRDefault="00A967D5" w:rsidP="00A967D5">
      <w:pPr>
        <w:spacing w:before="100" w:beforeAutospacing="1" w:after="100" w:afterAutospacing="1"/>
        <w:jc w:val="both"/>
        <w:rPr>
          <w:rFonts w:eastAsia="Times New Roman" w:cs="Times New Roman"/>
          <w:color w:val="000000"/>
          <w:szCs w:val="24"/>
        </w:rPr>
      </w:pPr>
    </w:p>
    <w:p w14:paraId="2A208859" w14:textId="77777777" w:rsidR="00A967D5" w:rsidRDefault="00A967D5" w:rsidP="00A967D5">
      <w:pPr>
        <w:spacing w:before="100" w:beforeAutospacing="1" w:after="100" w:afterAutospacing="1"/>
        <w:jc w:val="both"/>
        <w:rPr>
          <w:rFonts w:eastAsia="Times New Roman" w:cs="Times New Roman"/>
          <w:color w:val="000000"/>
          <w:szCs w:val="24"/>
        </w:rPr>
      </w:pPr>
    </w:p>
    <w:p w14:paraId="3D1B77E1" w14:textId="77777777" w:rsidR="00A967D5" w:rsidRDefault="00A967D5" w:rsidP="00A967D5">
      <w:pPr>
        <w:spacing w:before="100" w:beforeAutospacing="1" w:after="100" w:afterAutospacing="1"/>
        <w:jc w:val="both"/>
        <w:rPr>
          <w:rFonts w:eastAsia="Times New Roman" w:cs="Times New Roman"/>
          <w:color w:val="000000"/>
          <w:szCs w:val="24"/>
        </w:rPr>
      </w:pPr>
    </w:p>
    <w:p w14:paraId="61D2B965" w14:textId="77777777" w:rsidR="00A967D5" w:rsidRDefault="00A967D5" w:rsidP="00A967D5">
      <w:pPr>
        <w:spacing w:before="100" w:beforeAutospacing="1" w:after="100" w:afterAutospacing="1"/>
        <w:jc w:val="both"/>
        <w:rPr>
          <w:rFonts w:eastAsia="Times New Roman" w:cs="Times New Roman"/>
          <w:color w:val="000000"/>
          <w:szCs w:val="24"/>
        </w:rPr>
      </w:pPr>
    </w:p>
    <w:p w14:paraId="6C1F3C8B" w14:textId="77777777" w:rsidR="00A967D5" w:rsidRDefault="00A967D5" w:rsidP="00A967D5">
      <w:pPr>
        <w:spacing w:before="100" w:beforeAutospacing="1" w:after="100" w:afterAutospacing="1"/>
        <w:jc w:val="both"/>
        <w:rPr>
          <w:rFonts w:eastAsia="Times New Roman" w:cs="Times New Roman"/>
          <w:color w:val="000000"/>
          <w:szCs w:val="24"/>
        </w:rPr>
      </w:pPr>
    </w:p>
    <w:p w14:paraId="05628D12" w14:textId="77777777" w:rsidR="00A967D5" w:rsidRDefault="00A967D5" w:rsidP="00A967D5">
      <w:pPr>
        <w:spacing w:after="0"/>
        <w:jc w:val="both"/>
        <w:rPr>
          <w:rFonts w:eastAsia="Times New Roman" w:cs="Times New Roman"/>
          <w:b/>
          <w:bCs/>
          <w:color w:val="000000"/>
          <w:szCs w:val="24"/>
          <w:lang w:eastAsia="es-CO"/>
        </w:rPr>
        <w:sectPr w:rsidR="00A967D5" w:rsidSect="00A967D5">
          <w:pgSz w:w="12240" w:h="15840"/>
          <w:pgMar w:top="1140" w:right="1179" w:bottom="1140" w:left="1281" w:header="284" w:footer="510" w:gutter="0"/>
          <w:lnNumType w:countBy="1" w:restart="continuous"/>
          <w:cols w:space="720"/>
          <w:titlePg/>
          <w:docGrid w:linePitch="360"/>
        </w:sectPr>
      </w:pPr>
    </w:p>
    <w:tbl>
      <w:tblPr>
        <w:tblW w:w="5000" w:type="pct"/>
        <w:tblLook w:val="04A0" w:firstRow="1" w:lastRow="0" w:firstColumn="1" w:lastColumn="0" w:noHBand="0" w:noVBand="1"/>
      </w:tblPr>
      <w:tblGrid>
        <w:gridCol w:w="1292"/>
        <w:gridCol w:w="1084"/>
        <w:gridCol w:w="1255"/>
        <w:gridCol w:w="1041"/>
        <w:gridCol w:w="1280"/>
        <w:gridCol w:w="950"/>
        <w:gridCol w:w="1030"/>
        <w:gridCol w:w="1255"/>
        <w:gridCol w:w="1041"/>
        <w:gridCol w:w="1280"/>
        <w:gridCol w:w="1014"/>
        <w:gridCol w:w="1028"/>
      </w:tblGrid>
      <w:tr w:rsidR="00A967D5" w14:paraId="645B8BDC" w14:textId="77777777" w:rsidTr="00E542D5">
        <w:tc>
          <w:tcPr>
            <w:tcW w:w="5000" w:type="pct"/>
            <w:gridSpan w:val="12"/>
            <w:tcBorders>
              <w:top w:val="single" w:sz="4" w:space="0" w:color="000000"/>
              <w:left w:val="single" w:sz="4" w:space="0" w:color="000000"/>
              <w:bottom w:val="nil"/>
              <w:right w:val="single" w:sz="4" w:space="0" w:color="000000"/>
            </w:tcBorders>
            <w:hideMark/>
          </w:tcPr>
          <w:p w14:paraId="30CAA6A9" w14:textId="77777777" w:rsidR="00A967D5" w:rsidRPr="009810E1" w:rsidRDefault="00A967D5" w:rsidP="00E542D5">
            <w:pPr>
              <w:spacing w:before="0" w:after="0"/>
              <w:jc w:val="both"/>
              <w:rPr>
                <w:rFonts w:eastAsia="Times New Roman" w:cs="Times New Roman"/>
                <w:b/>
                <w:bCs/>
                <w:color w:val="000000"/>
                <w:sz w:val="22"/>
                <w:lang w:eastAsia="es-CO"/>
              </w:rPr>
            </w:pPr>
            <w:r w:rsidRPr="009810E1">
              <w:rPr>
                <w:rFonts w:eastAsia="Times New Roman" w:cs="Times New Roman"/>
                <w:b/>
                <w:bCs/>
                <w:color w:val="000000"/>
                <w:sz w:val="22"/>
                <w:lang w:eastAsia="es-CO"/>
              </w:rPr>
              <w:lastRenderedPageBreak/>
              <w:t>Table 5</w:t>
            </w:r>
          </w:p>
          <w:p w14:paraId="696860EE" w14:textId="77777777" w:rsidR="00A967D5" w:rsidRPr="009810E1" w:rsidRDefault="00A967D5" w:rsidP="00E542D5">
            <w:pPr>
              <w:spacing w:before="0" w:after="0"/>
              <w:jc w:val="both"/>
              <w:rPr>
                <w:rFonts w:eastAsia="Times New Roman" w:cs="Times New Roman"/>
                <w:b/>
                <w:bCs/>
                <w:color w:val="000000"/>
                <w:sz w:val="22"/>
                <w:lang w:eastAsia="es-CO"/>
              </w:rPr>
            </w:pPr>
            <w:r w:rsidRPr="009810E1">
              <w:rPr>
                <w:rFonts w:eastAsia="Times New Roman" w:cs="Times New Roman"/>
                <w:b/>
                <w:bCs/>
                <w:color w:val="000000"/>
                <w:sz w:val="22"/>
                <w:lang w:eastAsia="es-CO"/>
              </w:rPr>
              <w:t xml:space="preserve">Subgroup analyses for progression to treatment-requiring disease </w:t>
            </w:r>
            <w:r w:rsidRPr="009810E1">
              <w:rPr>
                <w:b/>
                <w:bCs/>
                <w:sz w:val="22"/>
              </w:rPr>
              <w:t>between the NSAID-treated cohort and the historical surveillance-only cohort</w:t>
            </w:r>
          </w:p>
        </w:tc>
      </w:tr>
      <w:tr w:rsidR="00A967D5" w14:paraId="6FE05AE3" w14:textId="77777777" w:rsidTr="00E542D5">
        <w:tc>
          <w:tcPr>
            <w:tcW w:w="416" w:type="pct"/>
            <w:vMerge w:val="restart"/>
            <w:tcBorders>
              <w:top w:val="single" w:sz="4" w:space="0" w:color="000000"/>
              <w:left w:val="single" w:sz="4" w:space="0" w:color="000000"/>
              <w:bottom w:val="single" w:sz="4" w:space="0" w:color="000000"/>
              <w:right w:val="single" w:sz="4" w:space="0" w:color="000000"/>
            </w:tcBorders>
          </w:tcPr>
          <w:p w14:paraId="27116B5D" w14:textId="77777777" w:rsidR="00A967D5" w:rsidRPr="009810E1" w:rsidRDefault="00A967D5" w:rsidP="00E542D5">
            <w:pPr>
              <w:spacing w:before="0" w:after="0"/>
              <w:jc w:val="center"/>
              <w:rPr>
                <w:rFonts w:eastAsia="Times New Roman" w:cs="Times New Roman"/>
                <w:b/>
                <w:bCs/>
                <w:color w:val="000000"/>
                <w:sz w:val="22"/>
                <w:lang w:eastAsia="es-CO"/>
              </w:rPr>
            </w:pPr>
          </w:p>
        </w:tc>
        <w:tc>
          <w:tcPr>
            <w:tcW w:w="416" w:type="pct"/>
            <w:vMerge w:val="restart"/>
            <w:tcBorders>
              <w:top w:val="single" w:sz="4" w:space="0" w:color="000000"/>
              <w:left w:val="single" w:sz="4" w:space="0" w:color="000000"/>
              <w:bottom w:val="single" w:sz="4" w:space="0" w:color="000000"/>
              <w:right w:val="single" w:sz="4" w:space="0" w:color="000000"/>
            </w:tcBorders>
            <w:hideMark/>
          </w:tcPr>
          <w:p w14:paraId="62508C99" w14:textId="77777777" w:rsidR="00A967D5" w:rsidRPr="009810E1" w:rsidRDefault="00A967D5" w:rsidP="00E542D5">
            <w:pPr>
              <w:spacing w:before="0" w:after="0"/>
              <w:jc w:val="center"/>
              <w:rPr>
                <w:rFonts w:eastAsia="Times New Roman" w:cs="Times New Roman"/>
                <w:b/>
                <w:bCs/>
                <w:color w:val="000000"/>
                <w:sz w:val="22"/>
                <w:lang w:val="es-CO" w:eastAsia="es-CO"/>
              </w:rPr>
            </w:pPr>
            <w:r w:rsidRPr="009810E1">
              <w:rPr>
                <w:rFonts w:eastAsia="Times New Roman" w:cs="Times New Roman"/>
                <w:b/>
                <w:bCs/>
                <w:color w:val="000000"/>
                <w:sz w:val="22"/>
                <w:lang w:eastAsia="es-CO"/>
              </w:rPr>
              <w:t>Category</w:t>
            </w:r>
          </w:p>
        </w:tc>
        <w:tc>
          <w:tcPr>
            <w:tcW w:w="2083" w:type="pct"/>
            <w:gridSpan w:val="5"/>
            <w:tcBorders>
              <w:top w:val="single" w:sz="4" w:space="0" w:color="000000"/>
              <w:left w:val="single" w:sz="4" w:space="0" w:color="000000"/>
              <w:bottom w:val="single" w:sz="4" w:space="0" w:color="000000"/>
              <w:right w:val="single" w:sz="4" w:space="0" w:color="000000"/>
            </w:tcBorders>
            <w:hideMark/>
          </w:tcPr>
          <w:p w14:paraId="472EC42A" w14:textId="77777777" w:rsidR="00A967D5" w:rsidRPr="009810E1" w:rsidRDefault="00A967D5" w:rsidP="00E542D5">
            <w:pPr>
              <w:spacing w:before="0" w:after="0"/>
              <w:jc w:val="center"/>
              <w:rPr>
                <w:rFonts w:eastAsia="Times New Roman" w:cs="Times New Roman"/>
                <w:b/>
                <w:bCs/>
                <w:color w:val="000000"/>
                <w:sz w:val="22"/>
                <w:lang w:eastAsia="es-CO"/>
              </w:rPr>
            </w:pPr>
            <w:r w:rsidRPr="009810E1">
              <w:rPr>
                <w:rFonts w:eastAsia="Times New Roman" w:cs="Times New Roman"/>
                <w:b/>
                <w:bCs/>
                <w:color w:val="000000"/>
                <w:sz w:val="22"/>
                <w:lang w:eastAsia="es-CO"/>
              </w:rPr>
              <w:t>Ketorolac comparison</w:t>
            </w:r>
          </w:p>
        </w:tc>
        <w:tc>
          <w:tcPr>
            <w:tcW w:w="2084" w:type="pct"/>
            <w:gridSpan w:val="5"/>
            <w:tcBorders>
              <w:top w:val="single" w:sz="4" w:space="0" w:color="000000"/>
              <w:left w:val="single" w:sz="4" w:space="0" w:color="000000"/>
              <w:bottom w:val="single" w:sz="4" w:space="0" w:color="000000"/>
              <w:right w:val="single" w:sz="4" w:space="0" w:color="000000"/>
            </w:tcBorders>
            <w:hideMark/>
          </w:tcPr>
          <w:p w14:paraId="68285F64" w14:textId="77777777" w:rsidR="00A967D5" w:rsidRPr="009810E1" w:rsidRDefault="00A967D5" w:rsidP="00E542D5">
            <w:pPr>
              <w:spacing w:before="0" w:after="0"/>
              <w:jc w:val="center"/>
              <w:rPr>
                <w:rFonts w:eastAsia="Times New Roman" w:cs="Times New Roman"/>
                <w:b/>
                <w:bCs/>
                <w:color w:val="000000"/>
                <w:sz w:val="22"/>
                <w:lang w:eastAsia="es-CO"/>
              </w:rPr>
            </w:pPr>
            <w:r w:rsidRPr="009810E1">
              <w:rPr>
                <w:rFonts w:eastAsia="Times New Roman" w:cs="Times New Roman"/>
                <w:b/>
                <w:bCs/>
                <w:color w:val="000000"/>
                <w:sz w:val="22"/>
                <w:lang w:eastAsia="es-CO"/>
              </w:rPr>
              <w:t>Nepafenac comparison</w:t>
            </w:r>
          </w:p>
        </w:tc>
      </w:tr>
      <w:tr w:rsidR="00A967D5" w14:paraId="1FDDC972" w14:textId="77777777" w:rsidTr="00E542D5">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0D0BB552" w14:textId="77777777" w:rsidR="00A967D5" w:rsidRPr="009810E1" w:rsidRDefault="00A967D5" w:rsidP="00E542D5">
            <w:pPr>
              <w:spacing w:before="0" w:after="0"/>
              <w:rPr>
                <w:rFonts w:eastAsia="Times New Roman" w:cs="Times New Roman"/>
                <w:b/>
                <w:bCs/>
                <w:color w:val="000000"/>
                <w:sz w:val="22"/>
                <w:lang w:eastAsia="es-CO"/>
              </w:rPr>
            </w:pPr>
          </w:p>
        </w:tc>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1537D233" w14:textId="77777777" w:rsidR="00A967D5" w:rsidRPr="009810E1" w:rsidRDefault="00A967D5" w:rsidP="00E542D5">
            <w:pPr>
              <w:spacing w:before="0" w:after="0"/>
              <w:rPr>
                <w:rFonts w:eastAsia="Times New Roman" w:cs="Times New Roman"/>
                <w:b/>
                <w:bCs/>
                <w:color w:val="000000"/>
                <w:sz w:val="22"/>
                <w:lang w:eastAsia="es-CO"/>
              </w:rPr>
            </w:pPr>
          </w:p>
        </w:tc>
        <w:tc>
          <w:tcPr>
            <w:tcW w:w="416" w:type="pct"/>
            <w:tcBorders>
              <w:top w:val="single" w:sz="4" w:space="0" w:color="000000"/>
              <w:left w:val="single" w:sz="4" w:space="0" w:color="000000"/>
              <w:bottom w:val="single" w:sz="4" w:space="0" w:color="000000"/>
              <w:right w:val="single" w:sz="4" w:space="0" w:color="000000"/>
            </w:tcBorders>
            <w:hideMark/>
          </w:tcPr>
          <w:p w14:paraId="1987A5FA"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sz w:val="22"/>
                <w:lang w:eastAsia="es-CO"/>
              </w:rPr>
              <w:t>Proportion</w:t>
            </w:r>
          </w:p>
        </w:tc>
        <w:tc>
          <w:tcPr>
            <w:tcW w:w="416" w:type="pct"/>
            <w:tcBorders>
              <w:top w:val="single" w:sz="4" w:space="0" w:color="000000"/>
              <w:left w:val="single" w:sz="4" w:space="0" w:color="000000"/>
              <w:bottom w:val="single" w:sz="4" w:space="0" w:color="000000"/>
              <w:right w:val="single" w:sz="4" w:space="0" w:color="000000"/>
            </w:tcBorders>
            <w:hideMark/>
          </w:tcPr>
          <w:p w14:paraId="03F72B2F"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Treated</w:t>
            </w:r>
          </w:p>
        </w:tc>
        <w:tc>
          <w:tcPr>
            <w:tcW w:w="416" w:type="pct"/>
            <w:tcBorders>
              <w:top w:val="single" w:sz="4" w:space="0" w:color="000000"/>
              <w:left w:val="single" w:sz="4" w:space="0" w:color="000000"/>
              <w:bottom w:val="single" w:sz="4" w:space="0" w:color="000000"/>
              <w:right w:val="single" w:sz="4" w:space="0" w:color="000000"/>
            </w:tcBorders>
            <w:hideMark/>
          </w:tcPr>
          <w:p w14:paraId="3C4068DD"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Nontreated</w:t>
            </w:r>
          </w:p>
        </w:tc>
        <w:tc>
          <w:tcPr>
            <w:tcW w:w="417" w:type="pct"/>
            <w:tcBorders>
              <w:top w:val="single" w:sz="4" w:space="0" w:color="000000"/>
              <w:left w:val="single" w:sz="4" w:space="0" w:color="000000"/>
              <w:bottom w:val="single" w:sz="4" w:space="0" w:color="000000"/>
              <w:right w:val="single" w:sz="4" w:space="0" w:color="000000"/>
            </w:tcBorders>
            <w:hideMark/>
          </w:tcPr>
          <w:p w14:paraId="0E03C85F"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RR (95% CI)</w:t>
            </w:r>
          </w:p>
        </w:tc>
        <w:tc>
          <w:tcPr>
            <w:tcW w:w="417" w:type="pct"/>
            <w:tcBorders>
              <w:top w:val="single" w:sz="4" w:space="0" w:color="000000"/>
              <w:left w:val="single" w:sz="4" w:space="0" w:color="000000"/>
              <w:bottom w:val="single" w:sz="4" w:space="0" w:color="000000"/>
              <w:right w:val="single" w:sz="4" w:space="0" w:color="000000"/>
            </w:tcBorders>
            <w:hideMark/>
          </w:tcPr>
          <w:p w14:paraId="422A8F12"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p</w:t>
            </w:r>
          </w:p>
        </w:tc>
        <w:tc>
          <w:tcPr>
            <w:tcW w:w="417" w:type="pct"/>
            <w:tcBorders>
              <w:top w:val="single" w:sz="4" w:space="0" w:color="000000"/>
              <w:left w:val="single" w:sz="4" w:space="0" w:color="000000"/>
              <w:bottom w:val="single" w:sz="4" w:space="0" w:color="000000"/>
              <w:right w:val="single" w:sz="4" w:space="0" w:color="000000"/>
            </w:tcBorders>
            <w:hideMark/>
          </w:tcPr>
          <w:p w14:paraId="75BF85F8"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sz w:val="22"/>
                <w:lang w:eastAsia="es-CO"/>
              </w:rPr>
              <w:t>Proportion</w:t>
            </w:r>
          </w:p>
        </w:tc>
        <w:tc>
          <w:tcPr>
            <w:tcW w:w="417" w:type="pct"/>
            <w:tcBorders>
              <w:top w:val="single" w:sz="4" w:space="0" w:color="000000"/>
              <w:left w:val="single" w:sz="4" w:space="0" w:color="000000"/>
              <w:bottom w:val="single" w:sz="4" w:space="0" w:color="000000"/>
              <w:right w:val="single" w:sz="4" w:space="0" w:color="000000"/>
            </w:tcBorders>
            <w:hideMark/>
          </w:tcPr>
          <w:p w14:paraId="4F837287"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Treated</w:t>
            </w:r>
          </w:p>
        </w:tc>
        <w:tc>
          <w:tcPr>
            <w:tcW w:w="417" w:type="pct"/>
            <w:tcBorders>
              <w:top w:val="single" w:sz="4" w:space="0" w:color="000000"/>
              <w:left w:val="single" w:sz="4" w:space="0" w:color="000000"/>
              <w:bottom w:val="single" w:sz="4" w:space="0" w:color="000000"/>
              <w:right w:val="single" w:sz="4" w:space="0" w:color="000000"/>
            </w:tcBorders>
            <w:hideMark/>
          </w:tcPr>
          <w:p w14:paraId="00CD9391"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Nontreated</w:t>
            </w:r>
          </w:p>
        </w:tc>
        <w:tc>
          <w:tcPr>
            <w:tcW w:w="417" w:type="pct"/>
            <w:tcBorders>
              <w:top w:val="single" w:sz="4" w:space="0" w:color="000000"/>
              <w:left w:val="single" w:sz="4" w:space="0" w:color="000000"/>
              <w:bottom w:val="single" w:sz="4" w:space="0" w:color="000000"/>
              <w:right w:val="single" w:sz="4" w:space="0" w:color="000000"/>
            </w:tcBorders>
            <w:hideMark/>
          </w:tcPr>
          <w:p w14:paraId="69A2D214"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RR (95% CI)</w:t>
            </w:r>
          </w:p>
        </w:tc>
        <w:tc>
          <w:tcPr>
            <w:tcW w:w="417" w:type="pct"/>
            <w:tcBorders>
              <w:top w:val="single" w:sz="4" w:space="0" w:color="000000"/>
              <w:left w:val="single" w:sz="4" w:space="0" w:color="000000"/>
              <w:bottom w:val="single" w:sz="4" w:space="0" w:color="000000"/>
              <w:right w:val="single" w:sz="4" w:space="0" w:color="000000"/>
            </w:tcBorders>
            <w:hideMark/>
          </w:tcPr>
          <w:p w14:paraId="26623025"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p</w:t>
            </w:r>
          </w:p>
        </w:tc>
      </w:tr>
      <w:tr w:rsidR="00A967D5" w14:paraId="7CBCA88B" w14:textId="77777777" w:rsidTr="00E542D5">
        <w:tc>
          <w:tcPr>
            <w:tcW w:w="416" w:type="pct"/>
            <w:vMerge w:val="restart"/>
            <w:tcBorders>
              <w:top w:val="single" w:sz="4" w:space="0" w:color="000000"/>
              <w:left w:val="single" w:sz="4" w:space="0" w:color="000000"/>
              <w:bottom w:val="single" w:sz="4" w:space="0" w:color="000000"/>
              <w:right w:val="single" w:sz="4" w:space="0" w:color="000000"/>
            </w:tcBorders>
            <w:hideMark/>
          </w:tcPr>
          <w:p w14:paraId="1A85D144"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Gestational age at birth (weeks)</w:t>
            </w:r>
          </w:p>
        </w:tc>
        <w:tc>
          <w:tcPr>
            <w:tcW w:w="416" w:type="pct"/>
            <w:tcBorders>
              <w:top w:val="single" w:sz="4" w:space="0" w:color="000000"/>
              <w:left w:val="single" w:sz="4" w:space="0" w:color="000000"/>
              <w:bottom w:val="single" w:sz="4" w:space="0" w:color="000000"/>
              <w:right w:val="single" w:sz="4" w:space="0" w:color="000000"/>
            </w:tcBorders>
            <w:hideMark/>
          </w:tcPr>
          <w:p w14:paraId="1AB9CFAF" w14:textId="77777777" w:rsidR="00A967D5" w:rsidRPr="009810E1" w:rsidRDefault="00A967D5" w:rsidP="00E542D5">
            <w:pPr>
              <w:spacing w:before="0" w:after="0"/>
              <w:jc w:val="center"/>
              <w:rPr>
                <w:rFonts w:eastAsia="Times New Roman" w:cs="Times New Roman"/>
                <w:b/>
                <w:bCs/>
                <w:sz w:val="22"/>
                <w:lang w:val="es-CO" w:eastAsia="es-CO"/>
              </w:rPr>
            </w:pPr>
            <w:r w:rsidRPr="009810E1">
              <w:rPr>
                <w:rFonts w:eastAsia="Times New Roman" w:cs="Times New Roman"/>
                <w:b/>
                <w:bCs/>
                <w:color w:val="000000"/>
                <w:sz w:val="22"/>
                <w:lang w:eastAsia="es-CO"/>
              </w:rPr>
              <w:t>&lt; 28</w:t>
            </w:r>
          </w:p>
        </w:tc>
        <w:tc>
          <w:tcPr>
            <w:tcW w:w="416" w:type="pct"/>
            <w:tcBorders>
              <w:top w:val="single" w:sz="4" w:space="0" w:color="000000"/>
              <w:left w:val="single" w:sz="4" w:space="0" w:color="000000"/>
              <w:bottom w:val="single" w:sz="4" w:space="0" w:color="000000"/>
              <w:right w:val="single" w:sz="4" w:space="0" w:color="000000"/>
            </w:tcBorders>
            <w:hideMark/>
          </w:tcPr>
          <w:p w14:paraId="656125F8"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14 (14.89%)</w:t>
            </w:r>
          </w:p>
        </w:tc>
        <w:tc>
          <w:tcPr>
            <w:tcW w:w="416" w:type="pct"/>
            <w:tcBorders>
              <w:top w:val="single" w:sz="4" w:space="0" w:color="000000"/>
              <w:left w:val="single" w:sz="4" w:space="0" w:color="000000"/>
              <w:bottom w:val="single" w:sz="4" w:space="0" w:color="000000"/>
              <w:right w:val="single" w:sz="4" w:space="0" w:color="000000"/>
            </w:tcBorders>
            <w:hideMark/>
          </w:tcPr>
          <w:p w14:paraId="5AFA7A2D"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2/7 (28.57%)</w:t>
            </w:r>
          </w:p>
        </w:tc>
        <w:tc>
          <w:tcPr>
            <w:tcW w:w="416" w:type="pct"/>
            <w:tcBorders>
              <w:top w:val="single" w:sz="4" w:space="0" w:color="000000"/>
              <w:left w:val="single" w:sz="4" w:space="0" w:color="000000"/>
              <w:bottom w:val="single" w:sz="4" w:space="0" w:color="000000"/>
              <w:right w:val="single" w:sz="4" w:space="0" w:color="000000"/>
            </w:tcBorders>
            <w:hideMark/>
          </w:tcPr>
          <w:p w14:paraId="562DFD71"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4/7 (57.14%)</w:t>
            </w:r>
          </w:p>
        </w:tc>
        <w:tc>
          <w:tcPr>
            <w:tcW w:w="417" w:type="pct"/>
            <w:tcBorders>
              <w:top w:val="single" w:sz="4" w:space="0" w:color="000000"/>
              <w:left w:val="single" w:sz="4" w:space="0" w:color="000000"/>
              <w:bottom w:val="single" w:sz="4" w:space="0" w:color="000000"/>
              <w:right w:val="single" w:sz="4" w:space="0" w:color="000000"/>
            </w:tcBorders>
            <w:hideMark/>
          </w:tcPr>
          <w:p w14:paraId="3D60C3E0"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0.50 (013-1.90)</w:t>
            </w:r>
          </w:p>
        </w:tc>
        <w:tc>
          <w:tcPr>
            <w:tcW w:w="417" w:type="pct"/>
            <w:tcBorders>
              <w:top w:val="single" w:sz="4" w:space="0" w:color="000000"/>
              <w:left w:val="single" w:sz="4" w:space="0" w:color="000000"/>
              <w:bottom w:val="single" w:sz="4" w:space="0" w:color="000000"/>
              <w:right w:val="single" w:sz="4" w:space="0" w:color="000000"/>
            </w:tcBorders>
            <w:hideMark/>
          </w:tcPr>
          <w:p w14:paraId="44472A76"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0.2801</w:t>
            </w:r>
          </w:p>
        </w:tc>
        <w:tc>
          <w:tcPr>
            <w:tcW w:w="417" w:type="pct"/>
            <w:tcBorders>
              <w:top w:val="single" w:sz="4" w:space="0" w:color="000000"/>
              <w:left w:val="single" w:sz="4" w:space="0" w:color="000000"/>
              <w:bottom w:val="single" w:sz="4" w:space="0" w:color="000000"/>
              <w:right w:val="single" w:sz="4" w:space="0" w:color="000000"/>
            </w:tcBorders>
            <w:hideMark/>
          </w:tcPr>
          <w:p w14:paraId="7934D2A5"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11 (7.64%)</w:t>
            </w:r>
          </w:p>
        </w:tc>
        <w:tc>
          <w:tcPr>
            <w:tcW w:w="417" w:type="pct"/>
            <w:tcBorders>
              <w:top w:val="single" w:sz="4" w:space="0" w:color="000000"/>
              <w:left w:val="single" w:sz="4" w:space="0" w:color="000000"/>
              <w:bottom w:val="single" w:sz="4" w:space="0" w:color="000000"/>
              <w:right w:val="single" w:sz="4" w:space="0" w:color="000000"/>
            </w:tcBorders>
            <w:hideMark/>
          </w:tcPr>
          <w:p w14:paraId="7A8205B7"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1/4 (25.00%)</w:t>
            </w:r>
          </w:p>
        </w:tc>
        <w:tc>
          <w:tcPr>
            <w:tcW w:w="417" w:type="pct"/>
            <w:tcBorders>
              <w:top w:val="single" w:sz="4" w:space="0" w:color="000000"/>
              <w:left w:val="single" w:sz="4" w:space="0" w:color="000000"/>
              <w:bottom w:val="single" w:sz="4" w:space="0" w:color="000000"/>
              <w:right w:val="single" w:sz="4" w:space="0" w:color="000000"/>
            </w:tcBorders>
            <w:hideMark/>
          </w:tcPr>
          <w:p w14:paraId="69222E65"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4/7 (57.14%)</w:t>
            </w:r>
          </w:p>
        </w:tc>
        <w:tc>
          <w:tcPr>
            <w:tcW w:w="417" w:type="pct"/>
            <w:tcBorders>
              <w:top w:val="single" w:sz="4" w:space="0" w:color="000000"/>
              <w:left w:val="single" w:sz="4" w:space="0" w:color="000000"/>
              <w:bottom w:val="single" w:sz="4" w:space="0" w:color="000000"/>
              <w:right w:val="single" w:sz="4" w:space="0" w:color="000000"/>
            </w:tcBorders>
            <w:hideMark/>
          </w:tcPr>
          <w:p w14:paraId="5F5ACEB4"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0.44 (0.07-2.69)</w:t>
            </w:r>
          </w:p>
        </w:tc>
        <w:tc>
          <w:tcPr>
            <w:tcW w:w="417" w:type="pct"/>
            <w:tcBorders>
              <w:top w:val="single" w:sz="4" w:space="0" w:color="000000"/>
              <w:left w:val="single" w:sz="4" w:space="0" w:color="000000"/>
              <w:bottom w:val="single" w:sz="4" w:space="0" w:color="000000"/>
              <w:right w:val="single" w:sz="4" w:space="0" w:color="000000"/>
            </w:tcBorders>
            <w:hideMark/>
          </w:tcPr>
          <w:p w14:paraId="39B8AC74"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0.3031</w:t>
            </w:r>
          </w:p>
        </w:tc>
      </w:tr>
      <w:tr w:rsidR="00A967D5" w14:paraId="0AC42220" w14:textId="77777777" w:rsidTr="00E542D5">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6C9AC47F" w14:textId="77777777" w:rsidR="00A967D5" w:rsidRPr="009810E1" w:rsidRDefault="00A967D5" w:rsidP="00E542D5">
            <w:pPr>
              <w:spacing w:before="0" w:after="0"/>
              <w:rPr>
                <w:rFonts w:eastAsia="Times New Roman" w:cs="Times New Roman"/>
                <w:b/>
                <w:bCs/>
                <w:sz w:val="22"/>
                <w:lang w:eastAsia="es-CO"/>
              </w:rPr>
            </w:pPr>
          </w:p>
        </w:tc>
        <w:tc>
          <w:tcPr>
            <w:tcW w:w="416" w:type="pct"/>
            <w:tcBorders>
              <w:top w:val="single" w:sz="4" w:space="0" w:color="000000"/>
              <w:left w:val="single" w:sz="4" w:space="0" w:color="000000"/>
              <w:bottom w:val="single" w:sz="4" w:space="0" w:color="000000"/>
              <w:right w:val="single" w:sz="4" w:space="0" w:color="000000"/>
            </w:tcBorders>
            <w:hideMark/>
          </w:tcPr>
          <w:p w14:paraId="08711A7A"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28 – 32</w:t>
            </w:r>
          </w:p>
        </w:tc>
        <w:tc>
          <w:tcPr>
            <w:tcW w:w="416" w:type="pct"/>
            <w:tcBorders>
              <w:top w:val="single" w:sz="4" w:space="0" w:color="000000"/>
              <w:left w:val="single" w:sz="4" w:space="0" w:color="000000"/>
              <w:bottom w:val="single" w:sz="4" w:space="0" w:color="000000"/>
              <w:right w:val="single" w:sz="4" w:space="0" w:color="000000"/>
            </w:tcBorders>
            <w:hideMark/>
          </w:tcPr>
          <w:p w14:paraId="761161CE"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68 (72.34%)</w:t>
            </w:r>
          </w:p>
        </w:tc>
        <w:tc>
          <w:tcPr>
            <w:tcW w:w="416" w:type="pct"/>
            <w:tcBorders>
              <w:top w:val="single" w:sz="4" w:space="0" w:color="000000"/>
              <w:left w:val="single" w:sz="4" w:space="0" w:color="000000"/>
              <w:bottom w:val="single" w:sz="4" w:space="0" w:color="000000"/>
              <w:right w:val="single" w:sz="4" w:space="0" w:color="000000"/>
            </w:tcBorders>
            <w:hideMark/>
          </w:tcPr>
          <w:p w14:paraId="13E2117A"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8/35 (22.86%)</w:t>
            </w:r>
          </w:p>
        </w:tc>
        <w:tc>
          <w:tcPr>
            <w:tcW w:w="416" w:type="pct"/>
            <w:tcBorders>
              <w:top w:val="single" w:sz="4" w:space="0" w:color="000000"/>
              <w:left w:val="single" w:sz="4" w:space="0" w:color="000000"/>
              <w:bottom w:val="single" w:sz="4" w:space="0" w:color="000000"/>
              <w:right w:val="single" w:sz="4" w:space="0" w:color="000000"/>
            </w:tcBorders>
            <w:hideMark/>
          </w:tcPr>
          <w:p w14:paraId="62C52FB0"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16/33 (48.48%)</w:t>
            </w:r>
          </w:p>
        </w:tc>
        <w:tc>
          <w:tcPr>
            <w:tcW w:w="417" w:type="pct"/>
            <w:tcBorders>
              <w:top w:val="single" w:sz="4" w:space="0" w:color="000000"/>
              <w:left w:val="single" w:sz="4" w:space="0" w:color="000000"/>
              <w:bottom w:val="single" w:sz="4" w:space="0" w:color="000000"/>
              <w:right w:val="single" w:sz="4" w:space="0" w:color="000000"/>
            </w:tcBorders>
            <w:hideMark/>
          </w:tcPr>
          <w:p w14:paraId="41C35FE2"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0.47 (0.23-0.95)</w:t>
            </w:r>
          </w:p>
        </w:tc>
        <w:tc>
          <w:tcPr>
            <w:tcW w:w="417" w:type="pct"/>
            <w:tcBorders>
              <w:top w:val="single" w:sz="4" w:space="0" w:color="000000"/>
              <w:left w:val="single" w:sz="4" w:space="0" w:color="000000"/>
              <w:bottom w:val="single" w:sz="4" w:space="0" w:color="000000"/>
              <w:right w:val="single" w:sz="4" w:space="0" w:color="000000"/>
            </w:tcBorders>
            <w:hideMark/>
          </w:tcPr>
          <w:p w14:paraId="7F423EFC"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0.0271</w:t>
            </w:r>
          </w:p>
        </w:tc>
        <w:tc>
          <w:tcPr>
            <w:tcW w:w="417" w:type="pct"/>
            <w:tcBorders>
              <w:top w:val="single" w:sz="4" w:space="0" w:color="000000"/>
              <w:left w:val="single" w:sz="4" w:space="0" w:color="000000"/>
              <w:bottom w:val="single" w:sz="4" w:space="0" w:color="000000"/>
              <w:right w:val="single" w:sz="4" w:space="0" w:color="000000"/>
            </w:tcBorders>
            <w:hideMark/>
          </w:tcPr>
          <w:p w14:paraId="2B773A3E"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94 (65.28%)</w:t>
            </w:r>
          </w:p>
        </w:tc>
        <w:tc>
          <w:tcPr>
            <w:tcW w:w="417" w:type="pct"/>
            <w:tcBorders>
              <w:top w:val="single" w:sz="4" w:space="0" w:color="000000"/>
              <w:left w:val="single" w:sz="4" w:space="0" w:color="000000"/>
              <w:bottom w:val="single" w:sz="4" w:space="0" w:color="000000"/>
              <w:right w:val="single" w:sz="4" w:space="0" w:color="000000"/>
            </w:tcBorders>
            <w:hideMark/>
          </w:tcPr>
          <w:p w14:paraId="18021732"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16/61 (26.23%)</w:t>
            </w:r>
          </w:p>
        </w:tc>
        <w:tc>
          <w:tcPr>
            <w:tcW w:w="417" w:type="pct"/>
            <w:tcBorders>
              <w:top w:val="single" w:sz="4" w:space="0" w:color="000000"/>
              <w:left w:val="single" w:sz="4" w:space="0" w:color="000000"/>
              <w:bottom w:val="single" w:sz="4" w:space="0" w:color="000000"/>
              <w:right w:val="single" w:sz="4" w:space="0" w:color="000000"/>
            </w:tcBorders>
            <w:hideMark/>
          </w:tcPr>
          <w:p w14:paraId="23409542"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16/33 (48.48%)</w:t>
            </w:r>
          </w:p>
        </w:tc>
        <w:tc>
          <w:tcPr>
            <w:tcW w:w="417" w:type="pct"/>
            <w:tcBorders>
              <w:top w:val="single" w:sz="4" w:space="0" w:color="000000"/>
              <w:left w:val="single" w:sz="4" w:space="0" w:color="000000"/>
              <w:bottom w:val="single" w:sz="4" w:space="0" w:color="000000"/>
              <w:right w:val="single" w:sz="4" w:space="0" w:color="000000"/>
            </w:tcBorders>
            <w:hideMark/>
          </w:tcPr>
          <w:p w14:paraId="7FAAD260" w14:textId="77777777" w:rsidR="00A967D5" w:rsidRPr="009810E1" w:rsidRDefault="00A967D5" w:rsidP="00E542D5">
            <w:pPr>
              <w:spacing w:before="0"/>
              <w:jc w:val="center"/>
              <w:rPr>
                <w:rFonts w:eastAsia="Times New Roman" w:cs="Times New Roman"/>
                <w:sz w:val="22"/>
                <w:lang w:eastAsia="es-CO"/>
              </w:rPr>
            </w:pPr>
            <w:r w:rsidRPr="009810E1">
              <w:rPr>
                <w:rFonts w:eastAsia="Times New Roman" w:cs="Times New Roman"/>
                <w:sz w:val="22"/>
                <w:lang w:eastAsia="es-CO"/>
              </w:rPr>
              <w:t>1.43 (1.00-2.06)</w:t>
            </w:r>
          </w:p>
        </w:tc>
        <w:tc>
          <w:tcPr>
            <w:tcW w:w="417" w:type="pct"/>
            <w:tcBorders>
              <w:top w:val="single" w:sz="4" w:space="0" w:color="000000"/>
              <w:left w:val="single" w:sz="4" w:space="0" w:color="000000"/>
              <w:bottom w:val="single" w:sz="4" w:space="0" w:color="000000"/>
              <w:right w:val="single" w:sz="4" w:space="0" w:color="000000"/>
            </w:tcBorders>
            <w:hideMark/>
          </w:tcPr>
          <w:p w14:paraId="57559F11"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0.0297</w:t>
            </w:r>
          </w:p>
        </w:tc>
      </w:tr>
      <w:tr w:rsidR="00A967D5" w14:paraId="1678795A" w14:textId="77777777" w:rsidTr="00E542D5">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215DDC06" w14:textId="77777777" w:rsidR="00A967D5" w:rsidRPr="009810E1" w:rsidRDefault="00A967D5" w:rsidP="00E542D5">
            <w:pPr>
              <w:spacing w:before="0" w:after="0"/>
              <w:rPr>
                <w:rFonts w:eastAsia="Times New Roman" w:cs="Times New Roman"/>
                <w:b/>
                <w:bCs/>
                <w:sz w:val="22"/>
                <w:lang w:eastAsia="es-CO"/>
              </w:rPr>
            </w:pPr>
          </w:p>
        </w:tc>
        <w:tc>
          <w:tcPr>
            <w:tcW w:w="416" w:type="pct"/>
            <w:tcBorders>
              <w:top w:val="single" w:sz="4" w:space="0" w:color="000000"/>
              <w:left w:val="single" w:sz="4" w:space="0" w:color="000000"/>
              <w:bottom w:val="single" w:sz="4" w:space="0" w:color="000000"/>
              <w:right w:val="single" w:sz="4" w:space="0" w:color="000000"/>
            </w:tcBorders>
            <w:hideMark/>
          </w:tcPr>
          <w:p w14:paraId="28CEA713"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&gt; 32</w:t>
            </w:r>
          </w:p>
        </w:tc>
        <w:tc>
          <w:tcPr>
            <w:tcW w:w="416" w:type="pct"/>
            <w:tcBorders>
              <w:top w:val="single" w:sz="4" w:space="0" w:color="000000"/>
              <w:left w:val="single" w:sz="4" w:space="0" w:color="000000"/>
              <w:bottom w:val="single" w:sz="4" w:space="0" w:color="000000"/>
              <w:right w:val="single" w:sz="4" w:space="0" w:color="000000"/>
            </w:tcBorders>
            <w:hideMark/>
          </w:tcPr>
          <w:p w14:paraId="1AEC5607"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12 (12.77%)</w:t>
            </w:r>
          </w:p>
        </w:tc>
        <w:tc>
          <w:tcPr>
            <w:tcW w:w="416" w:type="pct"/>
            <w:tcBorders>
              <w:top w:val="single" w:sz="4" w:space="0" w:color="000000"/>
              <w:left w:val="single" w:sz="4" w:space="0" w:color="000000"/>
              <w:bottom w:val="single" w:sz="4" w:space="0" w:color="000000"/>
              <w:right w:val="single" w:sz="4" w:space="0" w:color="000000"/>
            </w:tcBorders>
            <w:hideMark/>
          </w:tcPr>
          <w:p w14:paraId="77AD0103"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0/6 (0.00%)</w:t>
            </w:r>
          </w:p>
        </w:tc>
        <w:tc>
          <w:tcPr>
            <w:tcW w:w="416" w:type="pct"/>
            <w:tcBorders>
              <w:top w:val="single" w:sz="4" w:space="0" w:color="000000"/>
              <w:left w:val="single" w:sz="4" w:space="0" w:color="000000"/>
              <w:bottom w:val="single" w:sz="4" w:space="0" w:color="000000"/>
              <w:right w:val="single" w:sz="4" w:space="0" w:color="000000"/>
            </w:tcBorders>
            <w:hideMark/>
          </w:tcPr>
          <w:p w14:paraId="430CD251"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1/6 (16.67%)</w:t>
            </w:r>
          </w:p>
        </w:tc>
        <w:tc>
          <w:tcPr>
            <w:tcW w:w="417" w:type="pct"/>
            <w:tcBorders>
              <w:top w:val="single" w:sz="4" w:space="0" w:color="000000"/>
              <w:left w:val="single" w:sz="4" w:space="0" w:color="000000"/>
              <w:bottom w:val="single" w:sz="4" w:space="0" w:color="000000"/>
              <w:right w:val="single" w:sz="4" w:space="0" w:color="000000"/>
            </w:tcBorders>
            <w:hideMark/>
          </w:tcPr>
          <w:p w14:paraId="5DED3B93"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1.20 (0.83-1.72)</w:t>
            </w:r>
          </w:p>
        </w:tc>
        <w:tc>
          <w:tcPr>
            <w:tcW w:w="417" w:type="pct"/>
            <w:tcBorders>
              <w:top w:val="single" w:sz="4" w:space="0" w:color="000000"/>
              <w:left w:val="single" w:sz="4" w:space="0" w:color="000000"/>
              <w:bottom w:val="single" w:sz="4" w:space="0" w:color="000000"/>
              <w:right w:val="single" w:sz="4" w:space="0" w:color="000000"/>
            </w:tcBorders>
            <w:hideMark/>
          </w:tcPr>
          <w:p w14:paraId="7113618C"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0.2963</w:t>
            </w:r>
          </w:p>
        </w:tc>
        <w:tc>
          <w:tcPr>
            <w:tcW w:w="417" w:type="pct"/>
            <w:tcBorders>
              <w:top w:val="single" w:sz="4" w:space="0" w:color="000000"/>
              <w:left w:val="single" w:sz="4" w:space="0" w:color="000000"/>
              <w:bottom w:val="single" w:sz="4" w:space="0" w:color="000000"/>
              <w:right w:val="single" w:sz="4" w:space="0" w:color="000000"/>
            </w:tcBorders>
            <w:hideMark/>
          </w:tcPr>
          <w:p w14:paraId="0F922E53"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39 (27.08%)</w:t>
            </w:r>
          </w:p>
        </w:tc>
        <w:tc>
          <w:tcPr>
            <w:tcW w:w="417" w:type="pct"/>
            <w:tcBorders>
              <w:top w:val="single" w:sz="4" w:space="0" w:color="000000"/>
              <w:left w:val="single" w:sz="4" w:space="0" w:color="000000"/>
              <w:bottom w:val="single" w:sz="4" w:space="0" w:color="000000"/>
              <w:right w:val="single" w:sz="4" w:space="0" w:color="000000"/>
            </w:tcBorders>
            <w:hideMark/>
          </w:tcPr>
          <w:p w14:paraId="7607E05E"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5/33 (15.15%)</w:t>
            </w:r>
          </w:p>
        </w:tc>
        <w:tc>
          <w:tcPr>
            <w:tcW w:w="417" w:type="pct"/>
            <w:tcBorders>
              <w:top w:val="single" w:sz="4" w:space="0" w:color="000000"/>
              <w:left w:val="single" w:sz="4" w:space="0" w:color="000000"/>
              <w:bottom w:val="single" w:sz="4" w:space="0" w:color="000000"/>
              <w:right w:val="single" w:sz="4" w:space="0" w:color="000000"/>
            </w:tcBorders>
            <w:hideMark/>
          </w:tcPr>
          <w:p w14:paraId="27377B86"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1/6 (16.67%)</w:t>
            </w:r>
          </w:p>
        </w:tc>
        <w:tc>
          <w:tcPr>
            <w:tcW w:w="417" w:type="pct"/>
            <w:tcBorders>
              <w:top w:val="single" w:sz="4" w:space="0" w:color="000000"/>
              <w:left w:val="single" w:sz="4" w:space="0" w:color="000000"/>
              <w:bottom w:val="single" w:sz="4" w:space="0" w:color="000000"/>
              <w:right w:val="single" w:sz="4" w:space="0" w:color="000000"/>
            </w:tcBorders>
            <w:hideMark/>
          </w:tcPr>
          <w:p w14:paraId="168A8372"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0.91 (0.13 to 6.47)</w:t>
            </w:r>
          </w:p>
        </w:tc>
        <w:tc>
          <w:tcPr>
            <w:tcW w:w="417" w:type="pct"/>
            <w:tcBorders>
              <w:top w:val="single" w:sz="4" w:space="0" w:color="000000"/>
              <w:left w:val="single" w:sz="4" w:space="0" w:color="000000"/>
              <w:bottom w:val="single" w:sz="4" w:space="0" w:color="000000"/>
              <w:right w:val="single" w:sz="4" w:space="0" w:color="000000"/>
            </w:tcBorders>
            <w:hideMark/>
          </w:tcPr>
          <w:p w14:paraId="5AE175FE"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0.9246</w:t>
            </w:r>
          </w:p>
        </w:tc>
      </w:tr>
      <w:tr w:rsidR="00A967D5" w14:paraId="3C92C6F9" w14:textId="77777777" w:rsidTr="00E542D5">
        <w:tc>
          <w:tcPr>
            <w:tcW w:w="416" w:type="pct"/>
            <w:vMerge w:val="restart"/>
            <w:tcBorders>
              <w:top w:val="single" w:sz="4" w:space="0" w:color="000000"/>
              <w:left w:val="single" w:sz="4" w:space="0" w:color="000000"/>
              <w:bottom w:val="single" w:sz="4" w:space="0" w:color="000000"/>
              <w:right w:val="single" w:sz="4" w:space="0" w:color="000000"/>
            </w:tcBorders>
            <w:hideMark/>
          </w:tcPr>
          <w:p w14:paraId="26D430A3"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Birth weight (grams)</w:t>
            </w:r>
          </w:p>
        </w:tc>
        <w:tc>
          <w:tcPr>
            <w:tcW w:w="416" w:type="pct"/>
            <w:tcBorders>
              <w:top w:val="single" w:sz="4" w:space="0" w:color="000000"/>
              <w:left w:val="single" w:sz="4" w:space="0" w:color="000000"/>
              <w:bottom w:val="single" w:sz="4" w:space="0" w:color="000000"/>
              <w:right w:val="single" w:sz="4" w:space="0" w:color="000000"/>
            </w:tcBorders>
            <w:hideMark/>
          </w:tcPr>
          <w:p w14:paraId="355AA6DF"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&lt; 1000</w:t>
            </w:r>
          </w:p>
        </w:tc>
        <w:tc>
          <w:tcPr>
            <w:tcW w:w="416" w:type="pct"/>
            <w:tcBorders>
              <w:top w:val="single" w:sz="4" w:space="0" w:color="000000"/>
              <w:left w:val="single" w:sz="4" w:space="0" w:color="000000"/>
              <w:bottom w:val="single" w:sz="4" w:space="0" w:color="000000"/>
              <w:right w:val="single" w:sz="4" w:space="0" w:color="000000"/>
            </w:tcBorders>
            <w:hideMark/>
          </w:tcPr>
          <w:p w14:paraId="71C081B0"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19 (20.21%)</w:t>
            </w:r>
          </w:p>
        </w:tc>
        <w:tc>
          <w:tcPr>
            <w:tcW w:w="416" w:type="pct"/>
            <w:tcBorders>
              <w:top w:val="single" w:sz="4" w:space="0" w:color="000000"/>
              <w:left w:val="single" w:sz="4" w:space="0" w:color="000000"/>
              <w:bottom w:val="single" w:sz="4" w:space="0" w:color="000000"/>
              <w:right w:val="single" w:sz="4" w:space="0" w:color="000000"/>
            </w:tcBorders>
            <w:hideMark/>
          </w:tcPr>
          <w:p w14:paraId="013C447D"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3/11 (27.27%)</w:t>
            </w:r>
          </w:p>
        </w:tc>
        <w:tc>
          <w:tcPr>
            <w:tcW w:w="416" w:type="pct"/>
            <w:tcBorders>
              <w:top w:val="single" w:sz="4" w:space="0" w:color="000000"/>
              <w:left w:val="single" w:sz="4" w:space="0" w:color="000000"/>
              <w:bottom w:val="single" w:sz="4" w:space="0" w:color="000000"/>
              <w:right w:val="single" w:sz="4" w:space="0" w:color="000000"/>
            </w:tcBorders>
            <w:hideMark/>
          </w:tcPr>
          <w:p w14:paraId="001C1328"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6/8 (75.00%)</w:t>
            </w:r>
          </w:p>
        </w:tc>
        <w:tc>
          <w:tcPr>
            <w:tcW w:w="417" w:type="pct"/>
            <w:tcBorders>
              <w:top w:val="single" w:sz="4" w:space="0" w:color="000000"/>
              <w:left w:val="single" w:sz="4" w:space="0" w:color="000000"/>
              <w:bottom w:val="single" w:sz="4" w:space="0" w:color="000000"/>
              <w:right w:val="single" w:sz="4" w:space="0" w:color="000000"/>
            </w:tcBorders>
            <w:hideMark/>
          </w:tcPr>
          <w:p w14:paraId="50178B4C"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0.36 (0.13-1.03)</w:t>
            </w:r>
          </w:p>
        </w:tc>
        <w:tc>
          <w:tcPr>
            <w:tcW w:w="417" w:type="pct"/>
            <w:tcBorders>
              <w:top w:val="single" w:sz="4" w:space="0" w:color="000000"/>
              <w:left w:val="single" w:sz="4" w:space="0" w:color="000000"/>
              <w:bottom w:val="single" w:sz="4" w:space="0" w:color="000000"/>
              <w:right w:val="single" w:sz="4" w:space="0" w:color="000000"/>
            </w:tcBorders>
            <w:hideMark/>
          </w:tcPr>
          <w:p w14:paraId="3247B691"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0.0698</w:t>
            </w:r>
          </w:p>
        </w:tc>
        <w:tc>
          <w:tcPr>
            <w:tcW w:w="417" w:type="pct"/>
            <w:tcBorders>
              <w:top w:val="single" w:sz="4" w:space="0" w:color="000000"/>
              <w:left w:val="single" w:sz="4" w:space="0" w:color="000000"/>
              <w:bottom w:val="single" w:sz="4" w:space="0" w:color="000000"/>
              <w:right w:val="single" w:sz="4" w:space="0" w:color="000000"/>
            </w:tcBorders>
            <w:hideMark/>
          </w:tcPr>
          <w:p w14:paraId="04339F7D"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14 (9.72%)</w:t>
            </w:r>
          </w:p>
        </w:tc>
        <w:tc>
          <w:tcPr>
            <w:tcW w:w="417" w:type="pct"/>
            <w:tcBorders>
              <w:top w:val="single" w:sz="4" w:space="0" w:color="000000"/>
              <w:left w:val="single" w:sz="4" w:space="0" w:color="000000"/>
              <w:bottom w:val="single" w:sz="4" w:space="0" w:color="000000"/>
              <w:right w:val="single" w:sz="4" w:space="0" w:color="000000"/>
            </w:tcBorders>
            <w:hideMark/>
          </w:tcPr>
          <w:p w14:paraId="4B7A2479"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3/6 (50.00%)</w:t>
            </w:r>
          </w:p>
        </w:tc>
        <w:tc>
          <w:tcPr>
            <w:tcW w:w="417" w:type="pct"/>
            <w:tcBorders>
              <w:top w:val="single" w:sz="4" w:space="0" w:color="000000"/>
              <w:left w:val="single" w:sz="4" w:space="0" w:color="000000"/>
              <w:bottom w:val="single" w:sz="4" w:space="0" w:color="000000"/>
              <w:right w:val="single" w:sz="4" w:space="0" w:color="000000"/>
            </w:tcBorders>
            <w:hideMark/>
          </w:tcPr>
          <w:p w14:paraId="27D61A4A"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6/8 (75.00%)</w:t>
            </w:r>
          </w:p>
        </w:tc>
        <w:tc>
          <w:tcPr>
            <w:tcW w:w="417" w:type="pct"/>
            <w:tcBorders>
              <w:top w:val="single" w:sz="4" w:space="0" w:color="000000"/>
              <w:left w:val="single" w:sz="4" w:space="0" w:color="000000"/>
              <w:bottom w:val="single" w:sz="4" w:space="0" w:color="000000"/>
              <w:right w:val="single" w:sz="4" w:space="0" w:color="000000"/>
            </w:tcBorders>
            <w:hideMark/>
          </w:tcPr>
          <w:p w14:paraId="5BBB44AD"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0.67 (0.27-1.63)</w:t>
            </w:r>
          </w:p>
        </w:tc>
        <w:tc>
          <w:tcPr>
            <w:tcW w:w="417" w:type="pct"/>
            <w:tcBorders>
              <w:top w:val="single" w:sz="4" w:space="0" w:color="000000"/>
              <w:left w:val="single" w:sz="4" w:space="0" w:color="000000"/>
              <w:bottom w:val="single" w:sz="4" w:space="0" w:color="000000"/>
              <w:right w:val="single" w:sz="4" w:space="0" w:color="000000"/>
            </w:tcBorders>
            <w:hideMark/>
          </w:tcPr>
          <w:p w14:paraId="3A4678BD"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0.3340</w:t>
            </w:r>
          </w:p>
        </w:tc>
      </w:tr>
      <w:tr w:rsidR="00A967D5" w14:paraId="3806E269" w14:textId="77777777" w:rsidTr="00E542D5">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65E80FE7" w14:textId="77777777" w:rsidR="00A967D5" w:rsidRPr="009810E1" w:rsidRDefault="00A967D5" w:rsidP="00E542D5">
            <w:pPr>
              <w:spacing w:before="0" w:after="0"/>
              <w:rPr>
                <w:rFonts w:eastAsia="Times New Roman" w:cs="Times New Roman"/>
                <w:b/>
                <w:bCs/>
                <w:sz w:val="22"/>
                <w:lang w:eastAsia="es-CO"/>
              </w:rPr>
            </w:pPr>
          </w:p>
        </w:tc>
        <w:tc>
          <w:tcPr>
            <w:tcW w:w="416" w:type="pct"/>
            <w:tcBorders>
              <w:top w:val="single" w:sz="4" w:space="0" w:color="000000"/>
              <w:left w:val="single" w:sz="4" w:space="0" w:color="000000"/>
              <w:bottom w:val="single" w:sz="4" w:space="0" w:color="000000"/>
              <w:right w:val="single" w:sz="4" w:space="0" w:color="000000"/>
            </w:tcBorders>
            <w:hideMark/>
          </w:tcPr>
          <w:p w14:paraId="12B6FBC5"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1000 - 1500</w:t>
            </w:r>
          </w:p>
        </w:tc>
        <w:tc>
          <w:tcPr>
            <w:tcW w:w="416" w:type="pct"/>
            <w:tcBorders>
              <w:top w:val="single" w:sz="4" w:space="0" w:color="000000"/>
              <w:left w:val="single" w:sz="4" w:space="0" w:color="000000"/>
              <w:bottom w:val="single" w:sz="4" w:space="0" w:color="000000"/>
              <w:right w:val="single" w:sz="4" w:space="0" w:color="000000"/>
            </w:tcBorders>
            <w:hideMark/>
          </w:tcPr>
          <w:p w14:paraId="10E568CB"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43 (45.74%)</w:t>
            </w:r>
          </w:p>
        </w:tc>
        <w:tc>
          <w:tcPr>
            <w:tcW w:w="416" w:type="pct"/>
            <w:tcBorders>
              <w:top w:val="single" w:sz="4" w:space="0" w:color="000000"/>
              <w:left w:val="single" w:sz="4" w:space="0" w:color="000000"/>
              <w:bottom w:val="single" w:sz="4" w:space="0" w:color="000000"/>
              <w:right w:val="single" w:sz="4" w:space="0" w:color="000000"/>
            </w:tcBorders>
            <w:hideMark/>
          </w:tcPr>
          <w:p w14:paraId="4BF1FE60"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5/24 (20.83%)</w:t>
            </w:r>
          </w:p>
        </w:tc>
        <w:tc>
          <w:tcPr>
            <w:tcW w:w="416" w:type="pct"/>
            <w:tcBorders>
              <w:top w:val="single" w:sz="4" w:space="0" w:color="000000"/>
              <w:left w:val="single" w:sz="4" w:space="0" w:color="000000"/>
              <w:bottom w:val="single" w:sz="4" w:space="0" w:color="000000"/>
              <w:right w:val="single" w:sz="4" w:space="0" w:color="000000"/>
            </w:tcBorders>
            <w:hideMark/>
          </w:tcPr>
          <w:p w14:paraId="1DB87F6B"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9/19 (47.37%)</w:t>
            </w:r>
          </w:p>
        </w:tc>
        <w:tc>
          <w:tcPr>
            <w:tcW w:w="417" w:type="pct"/>
            <w:tcBorders>
              <w:top w:val="single" w:sz="4" w:space="0" w:color="000000"/>
              <w:left w:val="single" w:sz="4" w:space="0" w:color="000000"/>
              <w:bottom w:val="single" w:sz="4" w:space="0" w:color="000000"/>
              <w:right w:val="single" w:sz="4" w:space="0" w:color="000000"/>
            </w:tcBorders>
            <w:hideMark/>
          </w:tcPr>
          <w:p w14:paraId="49FCFDD8"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0.44 (0.18-1.10)</w:t>
            </w:r>
          </w:p>
        </w:tc>
        <w:tc>
          <w:tcPr>
            <w:tcW w:w="417" w:type="pct"/>
            <w:tcBorders>
              <w:top w:val="single" w:sz="4" w:space="0" w:color="000000"/>
              <w:left w:val="single" w:sz="4" w:space="0" w:color="000000"/>
              <w:bottom w:val="single" w:sz="4" w:space="0" w:color="000000"/>
              <w:right w:val="single" w:sz="4" w:space="0" w:color="000000"/>
            </w:tcBorders>
            <w:hideMark/>
          </w:tcPr>
          <w:p w14:paraId="09A3165F"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0.0652</w:t>
            </w:r>
          </w:p>
        </w:tc>
        <w:tc>
          <w:tcPr>
            <w:tcW w:w="417" w:type="pct"/>
            <w:tcBorders>
              <w:top w:val="single" w:sz="4" w:space="0" w:color="000000"/>
              <w:left w:val="single" w:sz="4" w:space="0" w:color="000000"/>
              <w:bottom w:val="single" w:sz="4" w:space="0" w:color="000000"/>
              <w:right w:val="single" w:sz="4" w:space="0" w:color="000000"/>
            </w:tcBorders>
            <w:hideMark/>
          </w:tcPr>
          <w:p w14:paraId="509DF840"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48 (33.33%)</w:t>
            </w:r>
          </w:p>
        </w:tc>
        <w:tc>
          <w:tcPr>
            <w:tcW w:w="417" w:type="pct"/>
            <w:tcBorders>
              <w:top w:val="single" w:sz="4" w:space="0" w:color="000000"/>
              <w:left w:val="single" w:sz="4" w:space="0" w:color="000000"/>
              <w:bottom w:val="single" w:sz="4" w:space="0" w:color="000000"/>
              <w:right w:val="single" w:sz="4" w:space="0" w:color="000000"/>
            </w:tcBorders>
            <w:hideMark/>
          </w:tcPr>
          <w:p w14:paraId="5749A2DD"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5/29 (17.24%)</w:t>
            </w:r>
          </w:p>
        </w:tc>
        <w:tc>
          <w:tcPr>
            <w:tcW w:w="417" w:type="pct"/>
            <w:tcBorders>
              <w:top w:val="single" w:sz="4" w:space="0" w:color="000000"/>
              <w:left w:val="single" w:sz="4" w:space="0" w:color="000000"/>
              <w:bottom w:val="single" w:sz="4" w:space="0" w:color="000000"/>
              <w:right w:val="single" w:sz="4" w:space="0" w:color="000000"/>
            </w:tcBorders>
            <w:hideMark/>
          </w:tcPr>
          <w:p w14:paraId="3EF9DC8A"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9/19 (47.37%)</w:t>
            </w:r>
          </w:p>
        </w:tc>
        <w:tc>
          <w:tcPr>
            <w:tcW w:w="417" w:type="pct"/>
            <w:tcBorders>
              <w:top w:val="single" w:sz="4" w:space="0" w:color="000000"/>
              <w:left w:val="single" w:sz="4" w:space="0" w:color="000000"/>
              <w:bottom w:val="single" w:sz="4" w:space="0" w:color="000000"/>
              <w:right w:val="single" w:sz="4" w:space="0" w:color="000000"/>
            </w:tcBorders>
            <w:hideMark/>
          </w:tcPr>
          <w:p w14:paraId="128E7553"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0.36 (0.14-0.92)</w:t>
            </w:r>
          </w:p>
        </w:tc>
        <w:tc>
          <w:tcPr>
            <w:tcW w:w="417" w:type="pct"/>
            <w:tcBorders>
              <w:top w:val="single" w:sz="4" w:space="0" w:color="000000"/>
              <w:left w:val="single" w:sz="4" w:space="0" w:color="000000"/>
              <w:bottom w:val="single" w:sz="4" w:space="0" w:color="000000"/>
              <w:right w:val="single" w:sz="4" w:space="0" w:color="000000"/>
            </w:tcBorders>
            <w:hideMark/>
          </w:tcPr>
          <w:p w14:paraId="7E37A6CC"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0.0247</w:t>
            </w:r>
          </w:p>
        </w:tc>
      </w:tr>
      <w:tr w:rsidR="00A967D5" w14:paraId="004693F6" w14:textId="77777777" w:rsidTr="00E542D5">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7B28AB2F" w14:textId="77777777" w:rsidR="00A967D5" w:rsidRPr="009810E1" w:rsidRDefault="00A967D5" w:rsidP="00E542D5">
            <w:pPr>
              <w:spacing w:before="0" w:after="0"/>
              <w:rPr>
                <w:rFonts w:eastAsia="Times New Roman" w:cs="Times New Roman"/>
                <w:b/>
                <w:bCs/>
                <w:sz w:val="22"/>
                <w:lang w:eastAsia="es-CO"/>
              </w:rPr>
            </w:pPr>
          </w:p>
        </w:tc>
        <w:tc>
          <w:tcPr>
            <w:tcW w:w="416" w:type="pct"/>
            <w:tcBorders>
              <w:top w:val="single" w:sz="4" w:space="0" w:color="000000"/>
              <w:left w:val="single" w:sz="4" w:space="0" w:color="000000"/>
              <w:bottom w:val="single" w:sz="4" w:space="0" w:color="000000"/>
              <w:right w:val="single" w:sz="4" w:space="0" w:color="000000"/>
            </w:tcBorders>
            <w:hideMark/>
          </w:tcPr>
          <w:p w14:paraId="623C307E" w14:textId="77777777" w:rsidR="00A967D5" w:rsidRPr="009810E1" w:rsidRDefault="00A967D5" w:rsidP="00E542D5">
            <w:pPr>
              <w:spacing w:before="0" w:after="0"/>
              <w:jc w:val="center"/>
              <w:rPr>
                <w:rFonts w:eastAsia="Times New Roman" w:cs="Times New Roman"/>
                <w:b/>
                <w:bCs/>
                <w:sz w:val="22"/>
                <w:lang w:eastAsia="es-CO"/>
              </w:rPr>
            </w:pPr>
            <w:r w:rsidRPr="009810E1">
              <w:rPr>
                <w:rFonts w:eastAsia="Times New Roman" w:cs="Times New Roman"/>
                <w:b/>
                <w:bCs/>
                <w:color w:val="000000"/>
                <w:sz w:val="22"/>
                <w:lang w:eastAsia="es-CO"/>
              </w:rPr>
              <w:t>&gt; 1500</w:t>
            </w:r>
          </w:p>
        </w:tc>
        <w:tc>
          <w:tcPr>
            <w:tcW w:w="416" w:type="pct"/>
            <w:tcBorders>
              <w:top w:val="single" w:sz="4" w:space="0" w:color="000000"/>
              <w:left w:val="single" w:sz="4" w:space="0" w:color="000000"/>
              <w:bottom w:val="single" w:sz="4" w:space="0" w:color="000000"/>
              <w:right w:val="single" w:sz="4" w:space="0" w:color="000000"/>
            </w:tcBorders>
            <w:hideMark/>
          </w:tcPr>
          <w:p w14:paraId="3A1D4CE2"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32 (34.04%)</w:t>
            </w:r>
          </w:p>
        </w:tc>
        <w:tc>
          <w:tcPr>
            <w:tcW w:w="416" w:type="pct"/>
            <w:tcBorders>
              <w:top w:val="single" w:sz="4" w:space="0" w:color="000000"/>
              <w:left w:val="single" w:sz="4" w:space="0" w:color="000000"/>
              <w:bottom w:val="single" w:sz="4" w:space="0" w:color="000000"/>
              <w:right w:val="single" w:sz="4" w:space="0" w:color="000000"/>
            </w:tcBorders>
            <w:hideMark/>
          </w:tcPr>
          <w:p w14:paraId="111B3E4A"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2/13 (15.38%)</w:t>
            </w:r>
          </w:p>
        </w:tc>
        <w:tc>
          <w:tcPr>
            <w:tcW w:w="416" w:type="pct"/>
            <w:tcBorders>
              <w:top w:val="single" w:sz="4" w:space="0" w:color="000000"/>
              <w:left w:val="single" w:sz="4" w:space="0" w:color="000000"/>
              <w:bottom w:val="single" w:sz="4" w:space="0" w:color="000000"/>
              <w:right w:val="single" w:sz="4" w:space="0" w:color="000000"/>
            </w:tcBorders>
            <w:hideMark/>
          </w:tcPr>
          <w:p w14:paraId="5D315B99"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6/19 (31.58)</w:t>
            </w:r>
          </w:p>
        </w:tc>
        <w:tc>
          <w:tcPr>
            <w:tcW w:w="417" w:type="pct"/>
            <w:tcBorders>
              <w:top w:val="single" w:sz="4" w:space="0" w:color="000000"/>
              <w:left w:val="single" w:sz="4" w:space="0" w:color="000000"/>
              <w:bottom w:val="single" w:sz="4" w:space="0" w:color="000000"/>
              <w:right w:val="single" w:sz="4" w:space="0" w:color="000000"/>
            </w:tcBorders>
            <w:hideMark/>
          </w:tcPr>
          <w:p w14:paraId="4993D7B2"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0.49 (0.12-2.05)</w:t>
            </w:r>
          </w:p>
        </w:tc>
        <w:tc>
          <w:tcPr>
            <w:tcW w:w="417" w:type="pct"/>
            <w:tcBorders>
              <w:top w:val="single" w:sz="4" w:space="0" w:color="000000"/>
              <w:left w:val="single" w:sz="4" w:space="0" w:color="000000"/>
              <w:bottom w:val="single" w:sz="4" w:space="0" w:color="000000"/>
              <w:right w:val="single" w:sz="4" w:space="0" w:color="000000"/>
            </w:tcBorders>
            <w:hideMark/>
          </w:tcPr>
          <w:p w14:paraId="47C69CB5"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0.2988</w:t>
            </w:r>
          </w:p>
        </w:tc>
        <w:tc>
          <w:tcPr>
            <w:tcW w:w="417" w:type="pct"/>
            <w:tcBorders>
              <w:top w:val="single" w:sz="4" w:space="0" w:color="000000"/>
              <w:left w:val="single" w:sz="4" w:space="0" w:color="000000"/>
              <w:bottom w:val="single" w:sz="4" w:space="0" w:color="000000"/>
              <w:right w:val="single" w:sz="4" w:space="0" w:color="000000"/>
            </w:tcBorders>
            <w:hideMark/>
          </w:tcPr>
          <w:p w14:paraId="2976ABD0"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82 (56.94%)</w:t>
            </w:r>
          </w:p>
        </w:tc>
        <w:tc>
          <w:tcPr>
            <w:tcW w:w="417" w:type="pct"/>
            <w:tcBorders>
              <w:top w:val="single" w:sz="4" w:space="0" w:color="000000"/>
              <w:left w:val="single" w:sz="4" w:space="0" w:color="000000"/>
              <w:bottom w:val="single" w:sz="4" w:space="0" w:color="000000"/>
              <w:right w:val="single" w:sz="4" w:space="0" w:color="000000"/>
            </w:tcBorders>
            <w:hideMark/>
          </w:tcPr>
          <w:p w14:paraId="48AA1F28"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14/63 (22.22%)</w:t>
            </w:r>
          </w:p>
        </w:tc>
        <w:tc>
          <w:tcPr>
            <w:tcW w:w="417" w:type="pct"/>
            <w:tcBorders>
              <w:top w:val="single" w:sz="4" w:space="0" w:color="000000"/>
              <w:left w:val="single" w:sz="4" w:space="0" w:color="000000"/>
              <w:bottom w:val="single" w:sz="4" w:space="0" w:color="000000"/>
              <w:right w:val="single" w:sz="4" w:space="0" w:color="000000"/>
            </w:tcBorders>
            <w:hideMark/>
          </w:tcPr>
          <w:p w14:paraId="417A1E25"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6/19 (31.58)</w:t>
            </w:r>
          </w:p>
        </w:tc>
        <w:tc>
          <w:tcPr>
            <w:tcW w:w="417" w:type="pct"/>
            <w:tcBorders>
              <w:top w:val="single" w:sz="4" w:space="0" w:color="000000"/>
              <w:left w:val="single" w:sz="4" w:space="0" w:color="000000"/>
              <w:bottom w:val="single" w:sz="4" w:space="0" w:color="000000"/>
              <w:right w:val="single" w:sz="4" w:space="0" w:color="000000"/>
            </w:tcBorders>
            <w:hideMark/>
          </w:tcPr>
          <w:p w14:paraId="04E33867"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0.70 (0.31-1.58)</w:t>
            </w:r>
          </w:p>
        </w:tc>
        <w:tc>
          <w:tcPr>
            <w:tcW w:w="417" w:type="pct"/>
            <w:tcBorders>
              <w:top w:val="single" w:sz="4" w:space="0" w:color="000000"/>
              <w:left w:val="single" w:sz="4" w:space="0" w:color="000000"/>
              <w:bottom w:val="single" w:sz="4" w:space="0" w:color="000000"/>
              <w:right w:val="single" w:sz="4" w:space="0" w:color="000000"/>
            </w:tcBorders>
            <w:hideMark/>
          </w:tcPr>
          <w:p w14:paraId="1BF77B6C" w14:textId="77777777" w:rsidR="00A967D5" w:rsidRPr="009810E1" w:rsidRDefault="00A967D5" w:rsidP="00E542D5">
            <w:pPr>
              <w:spacing w:before="0" w:after="0"/>
              <w:jc w:val="center"/>
              <w:rPr>
                <w:rFonts w:eastAsia="Times New Roman" w:cs="Times New Roman"/>
                <w:sz w:val="22"/>
                <w:lang w:eastAsia="es-CO"/>
              </w:rPr>
            </w:pPr>
            <w:r w:rsidRPr="009810E1">
              <w:rPr>
                <w:rFonts w:eastAsia="Times New Roman" w:cs="Times New Roman"/>
                <w:sz w:val="22"/>
                <w:lang w:eastAsia="es-CO"/>
              </w:rPr>
              <w:t>0.4051</w:t>
            </w:r>
          </w:p>
        </w:tc>
      </w:tr>
    </w:tbl>
    <w:p w14:paraId="2EA700E9" w14:textId="77777777" w:rsidR="00A967D5" w:rsidRPr="009D5FD0" w:rsidRDefault="00A967D5" w:rsidP="00A967D5">
      <w:pPr>
        <w:spacing w:before="0" w:after="0"/>
        <w:jc w:val="both"/>
        <w:rPr>
          <w:rFonts w:eastAsia="Times New Roman" w:cs="Times New Roman"/>
          <w:b/>
          <w:bCs/>
          <w:color w:val="000000"/>
          <w:szCs w:val="24"/>
        </w:rPr>
      </w:pPr>
      <w:r>
        <w:rPr>
          <w:rFonts w:eastAsia="Times New Roman" w:cs="Times New Roman"/>
          <w:color w:val="000000"/>
          <w:szCs w:val="24"/>
        </w:rPr>
        <w:br/>
      </w:r>
      <w:r w:rsidRPr="009D5FD0">
        <w:rPr>
          <w:rFonts w:eastAsia="Times New Roman" w:cs="Times New Roman"/>
          <w:b/>
          <w:bCs/>
          <w:color w:val="000000"/>
          <w:szCs w:val="24"/>
        </w:rPr>
        <w:t>Footnotes</w:t>
      </w:r>
    </w:p>
    <w:p w14:paraId="57DABB7E" w14:textId="77777777" w:rsidR="00A967D5" w:rsidRPr="009D5FD0" w:rsidRDefault="00A967D5" w:rsidP="00A967D5">
      <w:pPr>
        <w:pStyle w:val="ListParagraph"/>
        <w:numPr>
          <w:ilvl w:val="0"/>
          <w:numId w:val="1"/>
        </w:numPr>
        <w:spacing w:before="0" w:after="0"/>
        <w:jc w:val="both"/>
        <w:rPr>
          <w:rFonts w:eastAsia="Times New Roman"/>
          <w:lang w:eastAsia="es-CO"/>
        </w:rPr>
      </w:pPr>
      <w:r>
        <w:rPr>
          <w:rFonts w:eastAsia="Times New Roman"/>
          <w:lang w:eastAsia="es-CO"/>
        </w:rPr>
        <w:t>CI: confidence interval; NSAID: nonsteroidal anti-inflammatory drug; RR: relative risk.</w:t>
      </w:r>
    </w:p>
    <w:p w14:paraId="7D57B89F" w14:textId="77777777" w:rsidR="00A967D5" w:rsidRPr="009D5FD0" w:rsidRDefault="00A967D5" w:rsidP="00A967D5">
      <w:pPr>
        <w:pStyle w:val="ListParagraph"/>
        <w:numPr>
          <w:ilvl w:val="0"/>
          <w:numId w:val="1"/>
        </w:numPr>
        <w:spacing w:before="0" w:after="0"/>
        <w:jc w:val="both"/>
        <w:rPr>
          <w:rFonts w:eastAsia="Times New Roman"/>
          <w:lang w:eastAsia="es-CO"/>
        </w:rPr>
      </w:pPr>
      <w:r w:rsidRPr="009D5FD0">
        <w:rPr>
          <w:rFonts w:eastAsia="Times New Roman"/>
          <w:lang w:eastAsia="es-CO"/>
        </w:rPr>
        <w:t xml:space="preserve">Treated and nontreated values are shown as </w:t>
      </w:r>
      <w:r>
        <w:rPr>
          <w:rFonts w:eastAsia="Times New Roman"/>
          <w:lang w:eastAsia="es-CO"/>
        </w:rPr>
        <w:t xml:space="preserve">the </w:t>
      </w:r>
      <w:r w:rsidRPr="009D5FD0">
        <w:rPr>
          <w:rFonts w:eastAsia="Times New Roman"/>
          <w:lang w:eastAsia="es-CO"/>
        </w:rPr>
        <w:t xml:space="preserve">number </w:t>
      </w:r>
      <w:r>
        <w:rPr>
          <w:rFonts w:eastAsia="Times New Roman"/>
          <w:lang w:eastAsia="es-CO"/>
        </w:rPr>
        <w:t>of infants that progressed/the</w:t>
      </w:r>
      <w:r w:rsidRPr="009D5FD0">
        <w:rPr>
          <w:rFonts w:eastAsia="Times New Roman"/>
          <w:lang w:eastAsia="es-CO"/>
        </w:rPr>
        <w:t xml:space="preserve"> total number </w:t>
      </w:r>
      <w:r>
        <w:rPr>
          <w:rFonts w:eastAsia="Times New Roman"/>
          <w:lang w:eastAsia="es-CO"/>
        </w:rPr>
        <w:t xml:space="preserve">of infants </w:t>
      </w:r>
      <w:r w:rsidRPr="009D5FD0">
        <w:rPr>
          <w:rFonts w:eastAsia="Times New Roman"/>
          <w:lang w:eastAsia="es-CO"/>
        </w:rPr>
        <w:t xml:space="preserve">in </w:t>
      </w:r>
      <w:r>
        <w:rPr>
          <w:rFonts w:eastAsia="Times New Roman"/>
          <w:lang w:eastAsia="es-CO"/>
        </w:rPr>
        <w:t xml:space="preserve">each </w:t>
      </w:r>
      <w:r w:rsidRPr="009D5FD0">
        <w:rPr>
          <w:rFonts w:eastAsia="Times New Roman"/>
          <w:lang w:eastAsia="es-CO"/>
        </w:rPr>
        <w:t>subgroup (%).</w:t>
      </w:r>
    </w:p>
    <w:p w14:paraId="2952A286" w14:textId="77777777" w:rsidR="00A967D5" w:rsidRPr="009D5FD0" w:rsidRDefault="00A967D5" w:rsidP="00A967D5">
      <w:pPr>
        <w:pStyle w:val="ListParagraph"/>
        <w:numPr>
          <w:ilvl w:val="0"/>
          <w:numId w:val="1"/>
        </w:numPr>
        <w:spacing w:before="0" w:after="0"/>
        <w:jc w:val="both"/>
        <w:rPr>
          <w:rFonts w:eastAsia="Times New Roman"/>
          <w:lang w:eastAsia="es-CO"/>
        </w:rPr>
      </w:pPr>
      <w:r w:rsidRPr="009D5FD0">
        <w:rPr>
          <w:rFonts w:eastAsia="Times New Roman"/>
          <w:lang w:eastAsia="es-CO"/>
        </w:rPr>
        <w:t>Subgroup analyses were performed separately for the ketorolac and nepafenac comparisons, each using the historical surveillance-only cohort as the reference group.</w:t>
      </w:r>
    </w:p>
    <w:p w14:paraId="6231C4C5" w14:textId="77777777" w:rsidR="00A967D5" w:rsidRPr="009D5FD0" w:rsidRDefault="00A967D5" w:rsidP="00A967D5">
      <w:pPr>
        <w:pStyle w:val="ListParagraph"/>
        <w:numPr>
          <w:ilvl w:val="0"/>
          <w:numId w:val="1"/>
        </w:numPr>
        <w:spacing w:before="0" w:after="0"/>
        <w:jc w:val="both"/>
        <w:rPr>
          <w:rFonts w:eastAsia="Times New Roman"/>
          <w:lang w:eastAsia="es-CO"/>
        </w:rPr>
      </w:pPr>
      <w:r>
        <w:rPr>
          <w:rFonts w:eastAsia="Times New Roman"/>
          <w:lang w:eastAsia="es-CO"/>
        </w:rPr>
        <w:t>The percentages</w:t>
      </w:r>
      <w:r w:rsidRPr="009D5FD0">
        <w:rPr>
          <w:rFonts w:eastAsia="Times New Roman"/>
          <w:lang w:eastAsia="es-CO"/>
        </w:rPr>
        <w:t xml:space="preserve"> within subgroup categories may not total 100.00% because of rounding.</w:t>
      </w:r>
    </w:p>
    <w:p w14:paraId="2A56AE75" w14:textId="77777777" w:rsidR="00A967D5" w:rsidRPr="009D5FD0" w:rsidRDefault="00A967D5" w:rsidP="00A967D5">
      <w:pPr>
        <w:pStyle w:val="ListParagraph"/>
        <w:numPr>
          <w:ilvl w:val="0"/>
          <w:numId w:val="1"/>
        </w:numPr>
        <w:spacing w:before="0" w:after="0"/>
        <w:jc w:val="both"/>
        <w:rPr>
          <w:rFonts w:eastAsia="Times New Roman"/>
          <w:lang w:eastAsia="es-CO"/>
        </w:rPr>
      </w:pPr>
      <w:r w:rsidRPr="009D5FD0">
        <w:rPr>
          <w:rFonts w:eastAsia="Times New Roman"/>
          <w:lang w:eastAsia="es-CO"/>
        </w:rPr>
        <w:t xml:space="preserve">For infants older than 32 weeks in the ketorolac comparison, the RR is presented for </w:t>
      </w:r>
      <w:r>
        <w:rPr>
          <w:rFonts w:eastAsia="Times New Roman"/>
          <w:lang w:eastAsia="es-CO"/>
        </w:rPr>
        <w:t>nonoccurrence</w:t>
      </w:r>
      <w:r w:rsidRPr="009D5FD0">
        <w:rPr>
          <w:rFonts w:eastAsia="Times New Roman"/>
          <w:lang w:eastAsia="es-CO"/>
        </w:rPr>
        <w:t xml:space="preserve"> because no infant in the ketorolac group progressed to treatment-requiring disease in that subgroup.</w:t>
      </w:r>
    </w:p>
    <w:p w14:paraId="5A6F7FC4" w14:textId="77777777" w:rsidR="00A967D5" w:rsidRDefault="00A967D5" w:rsidP="00A967D5">
      <w:pPr>
        <w:spacing w:before="0" w:after="0"/>
        <w:rPr>
          <w:b/>
        </w:rPr>
        <w:sectPr w:rsidR="00A967D5" w:rsidSect="00A967D5">
          <w:type w:val="continuous"/>
          <w:pgSz w:w="15840" w:h="12240" w:orient="landscape"/>
          <w:pgMar w:top="1281" w:right="1140" w:bottom="1179" w:left="1140" w:header="284" w:footer="510" w:gutter="0"/>
          <w:lnNumType w:countBy="1" w:restart="continuous"/>
          <w:cols w:space="720"/>
        </w:sectPr>
      </w:pPr>
    </w:p>
    <w:p w14:paraId="02856410" w14:textId="77777777" w:rsidR="00A967D5" w:rsidRDefault="00A967D5" w:rsidP="00A967D5">
      <w:pPr>
        <w:spacing w:before="0" w:after="100" w:afterAutospacing="1"/>
        <w:jc w:val="both"/>
        <w:rPr>
          <w:rFonts w:eastAsia="Times New Roman" w:cs="Times New Roman"/>
          <w:color w:val="000000"/>
          <w:szCs w:val="24"/>
        </w:rPr>
      </w:pPr>
    </w:p>
    <w:tbl>
      <w:tblPr>
        <w:tblStyle w:val="Tablaconcuadrcula1"/>
        <w:tblW w:w="5000" w:type="pct"/>
        <w:tblLook w:val="04A0" w:firstRow="1" w:lastRow="0" w:firstColumn="1" w:lastColumn="0" w:noHBand="0" w:noVBand="1"/>
      </w:tblPr>
      <w:tblGrid>
        <w:gridCol w:w="1561"/>
        <w:gridCol w:w="2105"/>
        <w:gridCol w:w="2458"/>
        <w:gridCol w:w="2892"/>
      </w:tblGrid>
      <w:tr w:rsidR="00A967D5" w14:paraId="54A73C83" w14:textId="77777777" w:rsidTr="00E542D5">
        <w:tc>
          <w:tcPr>
            <w:tcW w:w="5000" w:type="pct"/>
            <w:gridSpan w:val="4"/>
          </w:tcPr>
          <w:p w14:paraId="525C75D4" w14:textId="77777777" w:rsidR="00A967D5" w:rsidRPr="001042E4" w:rsidRDefault="00A967D5" w:rsidP="00E542D5">
            <w:pPr>
              <w:spacing w:before="0" w:after="0"/>
              <w:jc w:val="both"/>
              <w:rPr>
                <w:rFonts w:eastAsia="Times New Roman" w:cs="Times New Roman"/>
                <w:b/>
                <w:bCs/>
                <w:sz w:val="20"/>
                <w:szCs w:val="20"/>
                <w:lang w:eastAsia="es-CO"/>
              </w:rPr>
            </w:pPr>
            <w:r w:rsidRPr="001042E4">
              <w:rPr>
                <w:rFonts w:eastAsia="Times New Roman" w:cs="Times New Roman"/>
                <w:b/>
                <w:bCs/>
                <w:sz w:val="20"/>
                <w:szCs w:val="20"/>
                <w:lang w:eastAsia="es-CO"/>
              </w:rPr>
              <w:t>Table 6</w:t>
            </w:r>
          </w:p>
          <w:p w14:paraId="402132D0" w14:textId="77777777" w:rsidR="00A967D5" w:rsidRPr="001042E4" w:rsidRDefault="00A967D5" w:rsidP="00E542D5">
            <w:pPr>
              <w:spacing w:before="0" w:after="0"/>
              <w:jc w:val="both"/>
              <w:rPr>
                <w:rFonts w:eastAsia="Times New Roman" w:cs="Times New Roman"/>
                <w:b/>
                <w:bCs/>
                <w:sz w:val="20"/>
                <w:szCs w:val="20"/>
                <w:lang w:eastAsia="es-CO"/>
              </w:rPr>
            </w:pPr>
            <w:r w:rsidRPr="001042E4">
              <w:rPr>
                <w:b/>
                <w:bCs/>
                <w:sz w:val="20"/>
                <w:szCs w:val="20"/>
              </w:rPr>
              <w:t>Comparison of the present investigation with the two previously published clinical studies evaluating topical prophylaxis for ROP</w:t>
            </w:r>
          </w:p>
        </w:tc>
      </w:tr>
      <w:tr w:rsidR="00A967D5" w14:paraId="5FDF17DB" w14:textId="77777777" w:rsidTr="00E542D5">
        <w:tc>
          <w:tcPr>
            <w:tcW w:w="715" w:type="pct"/>
            <w:hideMark/>
          </w:tcPr>
          <w:p w14:paraId="2EC95D76" w14:textId="77777777" w:rsidR="00A967D5" w:rsidRPr="00A1065A" w:rsidRDefault="00A967D5" w:rsidP="00E542D5">
            <w:pPr>
              <w:spacing w:before="0" w:after="0"/>
              <w:jc w:val="center"/>
              <w:rPr>
                <w:rFonts w:eastAsia="Times New Roman" w:cs="Times New Roman"/>
                <w:b/>
                <w:bCs/>
                <w:sz w:val="20"/>
                <w:szCs w:val="20"/>
                <w:lang w:eastAsia="es-CO"/>
              </w:rPr>
            </w:pPr>
            <w:r w:rsidRPr="00A1065A">
              <w:rPr>
                <w:rFonts w:eastAsia="Times New Roman" w:cs="Times New Roman"/>
                <w:b/>
                <w:bCs/>
                <w:sz w:val="20"/>
                <w:szCs w:val="20"/>
                <w:lang w:eastAsia="es-CO"/>
              </w:rPr>
              <w:t>Domain</w:t>
            </w:r>
          </w:p>
        </w:tc>
        <w:tc>
          <w:tcPr>
            <w:tcW w:w="1218" w:type="pct"/>
            <w:hideMark/>
          </w:tcPr>
          <w:p w14:paraId="7E13329C" w14:textId="77777777" w:rsidR="00A967D5" w:rsidRPr="00A1065A" w:rsidRDefault="00A967D5" w:rsidP="00E542D5">
            <w:pPr>
              <w:spacing w:before="0" w:after="0"/>
              <w:jc w:val="center"/>
              <w:rPr>
                <w:rFonts w:eastAsia="Times New Roman" w:cs="Times New Roman"/>
                <w:b/>
                <w:bCs/>
                <w:sz w:val="20"/>
                <w:szCs w:val="20"/>
                <w:lang w:eastAsia="es-CO"/>
              </w:rPr>
            </w:pPr>
            <w:r w:rsidRPr="00A1065A">
              <w:rPr>
                <w:rFonts w:eastAsia="Times New Roman" w:cs="Times New Roman"/>
                <w:b/>
                <w:bCs/>
                <w:sz w:val="20"/>
                <w:szCs w:val="20"/>
                <w:lang w:eastAsia="es-CO"/>
              </w:rPr>
              <w:t>Avila-Vazquez et al. (2004)</w:t>
            </w:r>
            <w:sdt>
              <w:sdtPr>
                <w:rPr>
                  <w:rFonts w:eastAsia="Times New Roman" w:cs="Times New Roman"/>
                  <w:b/>
                  <w:bCs/>
                  <w:color w:val="000000"/>
                  <w:sz w:val="20"/>
                  <w:szCs w:val="20"/>
                  <w:lang w:eastAsia="es-CO"/>
                </w:rPr>
                <w:tag w:val="MENDELEY_CITATION_v3_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"/>
                <w:id w:val="-1674794410"/>
                <w:placeholder>
                  <w:docPart w:val="820D2BC3C6274AB3BF543E967034A50F"/>
                </w:placeholder>
              </w:sdtPr>
              <w:sdtContent>
                <w:r w:rsidRPr="00DB62B5">
                  <w:rPr>
                    <w:rFonts w:eastAsia="Times New Roman" w:cs="Times New Roman"/>
                    <w:b/>
                    <w:bCs/>
                    <w:color w:val="000000"/>
                    <w:sz w:val="20"/>
                    <w:szCs w:val="20"/>
                    <w:lang w:eastAsia="es-CO"/>
                  </w:rPr>
                  <w:t>[25]</w:t>
                </w:r>
              </w:sdtContent>
            </w:sdt>
          </w:p>
        </w:tc>
        <w:tc>
          <w:tcPr>
            <w:tcW w:w="1413" w:type="pct"/>
            <w:hideMark/>
          </w:tcPr>
          <w:p w14:paraId="41897419" w14:textId="77777777" w:rsidR="00A967D5" w:rsidRPr="00A1065A" w:rsidRDefault="00A967D5" w:rsidP="00E542D5">
            <w:pPr>
              <w:spacing w:before="0" w:after="0"/>
              <w:jc w:val="center"/>
              <w:rPr>
                <w:rFonts w:eastAsia="Times New Roman" w:cs="Times New Roman"/>
                <w:b/>
                <w:bCs/>
                <w:sz w:val="20"/>
                <w:szCs w:val="20"/>
                <w:lang w:eastAsia="es-CO"/>
              </w:rPr>
            </w:pPr>
            <w:r w:rsidRPr="00A1065A">
              <w:rPr>
                <w:rFonts w:eastAsia="Times New Roman" w:cs="Times New Roman"/>
                <w:b/>
                <w:bCs/>
                <w:sz w:val="20"/>
                <w:szCs w:val="20"/>
                <w:lang w:eastAsia="es-CO"/>
              </w:rPr>
              <w:t>Giannantonio et al. (2011)</w:t>
            </w:r>
            <w:sdt>
              <w:sdtPr>
                <w:rPr>
                  <w:rFonts w:eastAsia="Times New Roman" w:cs="Times New Roman"/>
                  <w:b/>
                  <w:bCs/>
                  <w:color w:val="000000"/>
                  <w:sz w:val="20"/>
                  <w:szCs w:val="20"/>
                  <w:lang w:eastAsia="es-CO"/>
                </w:rPr>
                <w:tag w:val="MENDELEY_CITATION_v3_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"/>
                <w:id w:val="313686650"/>
                <w:placeholder>
                  <w:docPart w:val="820D2BC3C6274AB3BF543E967034A50F"/>
                </w:placeholder>
              </w:sdtPr>
              <w:sdtContent>
                <w:r w:rsidRPr="00DB62B5">
                  <w:rPr>
                    <w:rFonts w:eastAsia="Times New Roman" w:cs="Times New Roman"/>
                    <w:b/>
                    <w:bCs/>
                    <w:color w:val="000000"/>
                    <w:sz w:val="20"/>
                    <w:szCs w:val="20"/>
                    <w:lang w:eastAsia="es-CO"/>
                  </w:rPr>
                  <w:t>[26]</w:t>
                </w:r>
              </w:sdtContent>
            </w:sdt>
          </w:p>
        </w:tc>
        <w:tc>
          <w:tcPr>
            <w:tcW w:w="1654" w:type="pct"/>
            <w:hideMark/>
          </w:tcPr>
          <w:p w14:paraId="5137AC70" w14:textId="77777777" w:rsidR="00A967D5" w:rsidRPr="00A1065A" w:rsidRDefault="00A967D5" w:rsidP="00E542D5">
            <w:pPr>
              <w:spacing w:before="0" w:after="0"/>
              <w:jc w:val="center"/>
              <w:rPr>
                <w:rFonts w:eastAsia="Times New Roman" w:cs="Times New Roman"/>
                <w:b/>
                <w:bCs/>
                <w:sz w:val="20"/>
                <w:szCs w:val="20"/>
                <w:lang w:eastAsia="es-CO"/>
              </w:rPr>
            </w:pPr>
            <w:r>
              <w:rPr>
                <w:rFonts w:eastAsia="Times New Roman" w:cs="Times New Roman"/>
                <w:b/>
                <w:bCs/>
                <w:sz w:val="20"/>
                <w:szCs w:val="20"/>
                <w:lang w:eastAsia="es-CO"/>
              </w:rPr>
              <w:t>Present study: Mestra et al. (2026)</w:t>
            </w:r>
          </w:p>
        </w:tc>
      </w:tr>
      <w:tr w:rsidR="00A967D5" w14:paraId="548B1950" w14:textId="77777777" w:rsidTr="00E542D5">
        <w:tc>
          <w:tcPr>
            <w:tcW w:w="715" w:type="pct"/>
            <w:hideMark/>
          </w:tcPr>
          <w:p w14:paraId="0CA31E3A"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Country/setting</w:t>
            </w:r>
          </w:p>
        </w:tc>
        <w:tc>
          <w:tcPr>
            <w:tcW w:w="1218" w:type="pct"/>
            <w:hideMark/>
          </w:tcPr>
          <w:p w14:paraId="68CB5F99"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Argentina; single-center neonatal setting</w:t>
            </w:r>
          </w:p>
        </w:tc>
        <w:tc>
          <w:tcPr>
            <w:tcW w:w="1413" w:type="pct"/>
            <w:hideMark/>
          </w:tcPr>
          <w:p w14:paraId="5D1F6A30"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Italy; single-center neonatal setting</w:t>
            </w:r>
          </w:p>
        </w:tc>
        <w:tc>
          <w:tcPr>
            <w:tcW w:w="1654" w:type="pct"/>
            <w:hideMark/>
          </w:tcPr>
          <w:p w14:paraId="1939AC13"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Colombia; multicenter referral network across 14 ministry-licensed institutions in two departments</w:t>
            </w:r>
          </w:p>
        </w:tc>
      </w:tr>
      <w:tr w:rsidR="00A967D5" w14:paraId="67B56DB3" w14:textId="77777777" w:rsidTr="00E542D5">
        <w:tc>
          <w:tcPr>
            <w:tcW w:w="715" w:type="pct"/>
            <w:hideMark/>
          </w:tcPr>
          <w:p w14:paraId="7756E5AE"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Study design</w:t>
            </w:r>
          </w:p>
        </w:tc>
        <w:tc>
          <w:tcPr>
            <w:tcW w:w="1218" w:type="pct"/>
            <w:hideMark/>
          </w:tcPr>
          <w:p w14:paraId="5BB63953"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Retrospective historical-control study</w:t>
            </w:r>
          </w:p>
        </w:tc>
        <w:tc>
          <w:tcPr>
            <w:tcW w:w="1413" w:type="pct"/>
            <w:hideMark/>
          </w:tcPr>
          <w:p w14:paraId="78C1FB64"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Randomized contralateral-eye placebo-controlled study</w:t>
            </w:r>
          </w:p>
        </w:tc>
        <w:tc>
          <w:tcPr>
            <w:tcW w:w="1654" w:type="pct"/>
            <w:hideMark/>
          </w:tcPr>
          <w:p w14:paraId="44D62E27"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Multicenter retrospective cohort study with separate ketorolac and nepafenac comparisons against the same historical surveillance-only cohort</w:t>
            </w:r>
          </w:p>
        </w:tc>
      </w:tr>
      <w:tr w:rsidR="00A967D5" w14:paraId="4A6693BF" w14:textId="77777777" w:rsidTr="00E542D5">
        <w:tc>
          <w:tcPr>
            <w:tcW w:w="715" w:type="pct"/>
            <w:hideMark/>
          </w:tcPr>
          <w:p w14:paraId="363E5C92"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Unit of analysis</w:t>
            </w:r>
          </w:p>
        </w:tc>
        <w:tc>
          <w:tcPr>
            <w:tcW w:w="1218" w:type="pct"/>
            <w:hideMark/>
          </w:tcPr>
          <w:p w14:paraId="11722023"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Infant-level</w:t>
            </w:r>
          </w:p>
        </w:tc>
        <w:tc>
          <w:tcPr>
            <w:tcW w:w="1413" w:type="pct"/>
            <w:hideMark/>
          </w:tcPr>
          <w:p w14:paraId="6247A30C"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Eye-level for an infant</w:t>
            </w:r>
          </w:p>
        </w:tc>
        <w:tc>
          <w:tcPr>
            <w:tcW w:w="1654" w:type="pct"/>
            <w:hideMark/>
          </w:tcPr>
          <w:p w14:paraId="7146F65F"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Infant-level</w:t>
            </w:r>
          </w:p>
        </w:tc>
      </w:tr>
      <w:tr w:rsidR="00A967D5" w14:paraId="7777D4BB" w14:textId="77777777" w:rsidTr="00E542D5">
        <w:tc>
          <w:tcPr>
            <w:tcW w:w="715" w:type="pct"/>
            <w:hideMark/>
          </w:tcPr>
          <w:p w14:paraId="5C3EDC54"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Clinical question</w:t>
            </w:r>
          </w:p>
        </w:tc>
        <w:tc>
          <w:tcPr>
            <w:tcW w:w="1218" w:type="pct"/>
            <w:hideMark/>
          </w:tcPr>
          <w:p w14:paraId="72976977"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Whether topical ketorolac prophylaxis reduces severe ROP among high-risk preterm infants</w:t>
            </w:r>
          </w:p>
        </w:tc>
        <w:tc>
          <w:tcPr>
            <w:tcW w:w="1413" w:type="pct"/>
            <w:hideMark/>
          </w:tcPr>
          <w:p w14:paraId="35B5EA19"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Whether ketorolac prevents progression to severe ROP when one eye is treated and the fellow eye receives a placebo</w:t>
            </w:r>
          </w:p>
        </w:tc>
        <w:tc>
          <w:tcPr>
            <w:tcW w:w="1654" w:type="pct"/>
            <w:hideMark/>
          </w:tcPr>
          <w:p w14:paraId="1EE2A244"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Whether topical ketorolac or nepafenac, introduced after diagnosis of stage 1–2 ROP, is associated with lower progression to treatment-requiring disease under routine-care conditions</w:t>
            </w:r>
          </w:p>
        </w:tc>
      </w:tr>
      <w:tr w:rsidR="00A967D5" w14:paraId="7BB3885F" w14:textId="77777777" w:rsidTr="00E542D5">
        <w:tc>
          <w:tcPr>
            <w:tcW w:w="715" w:type="pct"/>
            <w:hideMark/>
          </w:tcPr>
          <w:p w14:paraId="4B28F575"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Inclusion criteria</w:t>
            </w:r>
          </w:p>
        </w:tc>
        <w:tc>
          <w:tcPr>
            <w:tcW w:w="1218" w:type="pct"/>
            <w:hideMark/>
          </w:tcPr>
          <w:p w14:paraId="7D5D5627"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High-risk preterm infants meeting birthweight and/or gestational-age criteria for ROP risk</w:t>
            </w:r>
          </w:p>
        </w:tc>
        <w:tc>
          <w:tcPr>
            <w:tcW w:w="1413" w:type="pct"/>
            <w:hideMark/>
          </w:tcPr>
          <w:p w14:paraId="00BF0F68"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 xml:space="preserve">Extremely preterm/very-low-birthweight infants </w:t>
            </w:r>
            <w:r>
              <w:rPr>
                <w:rFonts w:eastAsia="Times New Roman" w:cs="Times New Roman"/>
                <w:sz w:val="20"/>
                <w:szCs w:val="20"/>
                <w:lang w:eastAsia="es-CO"/>
              </w:rPr>
              <w:t xml:space="preserve">are </w:t>
            </w:r>
            <w:r w:rsidRPr="001042E4">
              <w:rPr>
                <w:rFonts w:eastAsia="Times New Roman" w:cs="Times New Roman"/>
                <w:sz w:val="20"/>
                <w:szCs w:val="20"/>
                <w:lang w:eastAsia="es-CO"/>
              </w:rPr>
              <w:t>at high risk for severe ROP</w:t>
            </w:r>
          </w:p>
        </w:tc>
        <w:tc>
          <w:tcPr>
            <w:tcW w:w="1654" w:type="pct"/>
            <w:hideMark/>
          </w:tcPr>
          <w:p w14:paraId="3CBEB85C"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Preterm infants with confirmed stage 1 or stage 2 ROP and complete follow-up through 60 weeks postmenstrual age</w:t>
            </w:r>
          </w:p>
        </w:tc>
      </w:tr>
      <w:tr w:rsidR="00A967D5" w14:paraId="76355A85" w14:textId="77777777" w:rsidTr="00E542D5">
        <w:tc>
          <w:tcPr>
            <w:tcW w:w="715" w:type="pct"/>
            <w:hideMark/>
          </w:tcPr>
          <w:p w14:paraId="31839FD8"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Exclusion logic</w:t>
            </w:r>
          </w:p>
        </w:tc>
        <w:tc>
          <w:tcPr>
            <w:tcW w:w="1218" w:type="pct"/>
            <w:hideMark/>
          </w:tcPr>
          <w:p w14:paraId="2197FAB6"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Limited reporting in available summaries</w:t>
            </w:r>
          </w:p>
        </w:tc>
        <w:tc>
          <w:tcPr>
            <w:tcW w:w="1413" w:type="pct"/>
            <w:hideMark/>
          </w:tcPr>
          <w:p w14:paraId="5E79D867"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Limited reporting in available summaries</w:t>
            </w:r>
          </w:p>
        </w:tc>
        <w:tc>
          <w:tcPr>
            <w:tcW w:w="1654" w:type="pct"/>
            <w:hideMark/>
          </w:tcPr>
          <w:p w14:paraId="036FE1C8"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Previous ROP-directed intervention before baseline, ocular conditions precluding staging, trial participation during follow-up, or missing essential outcome data</w:t>
            </w:r>
          </w:p>
        </w:tc>
      </w:tr>
      <w:tr w:rsidR="00A967D5" w14:paraId="68CD04D1" w14:textId="77777777" w:rsidTr="00E542D5">
        <w:tc>
          <w:tcPr>
            <w:tcW w:w="715" w:type="pct"/>
            <w:hideMark/>
          </w:tcPr>
          <w:p w14:paraId="77DE883D" w14:textId="77777777" w:rsidR="00A967D5" w:rsidRPr="001042E4" w:rsidRDefault="00A967D5" w:rsidP="00E542D5">
            <w:pPr>
              <w:spacing w:before="0" w:after="0"/>
              <w:rPr>
                <w:rFonts w:eastAsia="Times New Roman" w:cs="Times New Roman"/>
                <w:sz w:val="20"/>
                <w:szCs w:val="20"/>
                <w:lang w:eastAsia="es-CO"/>
              </w:rPr>
            </w:pPr>
            <w:r w:rsidRPr="001042E4">
              <w:rPr>
                <w:rFonts w:eastAsia="Times New Roman" w:cs="Times New Roman"/>
                <w:b/>
                <w:bCs/>
                <w:sz w:val="20"/>
                <w:szCs w:val="20"/>
                <w:lang w:eastAsia="es-CO"/>
              </w:rPr>
              <w:t>Disease stage at treatment initiation</w:t>
            </w:r>
          </w:p>
        </w:tc>
        <w:tc>
          <w:tcPr>
            <w:tcW w:w="1218" w:type="pct"/>
            <w:hideMark/>
          </w:tcPr>
          <w:p w14:paraId="2F1D89F7"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Prophylaxis initiated before established early-stage ROP in a broadly high-risk population</w:t>
            </w:r>
          </w:p>
        </w:tc>
        <w:tc>
          <w:tcPr>
            <w:tcW w:w="1413" w:type="pct"/>
            <w:hideMark/>
          </w:tcPr>
          <w:p w14:paraId="1B42A1AC"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High-risk eyes, many with avascular zone I retina and some with stage 1–2 disease at baseline</w:t>
            </w:r>
          </w:p>
        </w:tc>
        <w:tc>
          <w:tcPr>
            <w:tcW w:w="1654" w:type="pct"/>
            <w:hideMark/>
          </w:tcPr>
          <w:p w14:paraId="66410E43"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Prophylaxis initiated after documented stage 1–2 ROP</w:t>
            </w:r>
          </w:p>
        </w:tc>
      </w:tr>
      <w:tr w:rsidR="00A967D5" w14:paraId="4CD6764E" w14:textId="77777777" w:rsidTr="00E542D5">
        <w:tc>
          <w:tcPr>
            <w:tcW w:w="715" w:type="pct"/>
            <w:hideMark/>
          </w:tcPr>
          <w:p w14:paraId="1C3EB605"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Baseline disease severity reporting</w:t>
            </w:r>
          </w:p>
        </w:tc>
        <w:tc>
          <w:tcPr>
            <w:tcW w:w="1218" w:type="pct"/>
            <w:hideMark/>
          </w:tcPr>
          <w:p w14:paraId="2CD9AD77"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Limited; major neonatal covariates incompletely reported</w:t>
            </w:r>
          </w:p>
        </w:tc>
        <w:tc>
          <w:tcPr>
            <w:tcW w:w="1413" w:type="pct"/>
            <w:hideMark/>
          </w:tcPr>
          <w:p w14:paraId="35E08B4B"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Gestational age and birthweight reported; broader systemic and ophthalmic baseline characterization limited</w:t>
            </w:r>
          </w:p>
        </w:tc>
        <w:tc>
          <w:tcPr>
            <w:tcW w:w="1654" w:type="pct"/>
            <w:hideMark/>
          </w:tcPr>
          <w:p w14:paraId="024C86A7"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Seventeen predefined demographic and clinical covariates were reported and compared separately for each agent versus the historical cohort</w:t>
            </w:r>
          </w:p>
        </w:tc>
      </w:tr>
      <w:tr w:rsidR="00A967D5" w14:paraId="0A7F1ED4" w14:textId="77777777" w:rsidTr="00E542D5">
        <w:tc>
          <w:tcPr>
            <w:tcW w:w="715" w:type="pct"/>
            <w:hideMark/>
          </w:tcPr>
          <w:p w14:paraId="5A856CAC"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Baseline characteristics explicitly reported</w:t>
            </w:r>
          </w:p>
        </w:tc>
        <w:tc>
          <w:tcPr>
            <w:tcW w:w="1218" w:type="pct"/>
            <w:hideMark/>
          </w:tcPr>
          <w:p w14:paraId="4BA6E743"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Birthweight/gestational age; oxygen exposure differed between groups</w:t>
            </w:r>
          </w:p>
        </w:tc>
        <w:tc>
          <w:tcPr>
            <w:tcW w:w="1413" w:type="pct"/>
            <w:hideMark/>
          </w:tcPr>
          <w:p w14:paraId="5D02DAF1"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Gestational age, birthweight, zone I avascular retina, stage 1–2 proportions</w:t>
            </w:r>
          </w:p>
        </w:tc>
        <w:tc>
          <w:tcPr>
            <w:tcW w:w="1654" w:type="pct"/>
            <w:hideMark/>
          </w:tcPr>
          <w:p w14:paraId="51963514"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Sex, gestational age, birthweight, plus disease, caffeine, oxygen exposure, sepsis, transfusions, intraventricular hemorrhage, hydrocephalus, surfactant use, resuscitation, perinatal asphyxia, prolonged rupture of membranes, bronchopulmonary dysplasia, necrotizing enterocolitis, preeclampsia history during the pregnancy</w:t>
            </w:r>
          </w:p>
        </w:tc>
      </w:tr>
      <w:tr w:rsidR="00A967D5" w14:paraId="56B76B41" w14:textId="77777777" w:rsidTr="00E542D5">
        <w:tc>
          <w:tcPr>
            <w:tcW w:w="715" w:type="pct"/>
            <w:hideMark/>
          </w:tcPr>
          <w:p w14:paraId="49CE6755"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Intervention</w:t>
            </w:r>
          </w:p>
        </w:tc>
        <w:tc>
          <w:tcPr>
            <w:tcW w:w="1218" w:type="pct"/>
            <w:hideMark/>
          </w:tcPr>
          <w:p w14:paraId="0E5F0A30"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Topical ketorolac tromethamine to both eyes</w:t>
            </w:r>
          </w:p>
        </w:tc>
        <w:tc>
          <w:tcPr>
            <w:tcW w:w="1413" w:type="pct"/>
            <w:hideMark/>
          </w:tcPr>
          <w:p w14:paraId="6F1692E6"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Topical ketorolac tromethamine to one eye</w:t>
            </w:r>
          </w:p>
        </w:tc>
        <w:tc>
          <w:tcPr>
            <w:tcW w:w="1654" w:type="pct"/>
            <w:hideMark/>
          </w:tcPr>
          <w:p w14:paraId="500E7BFD"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Topical ketorolac tromethamine 0.45% or nepafenac 0.10% to both eyes</w:t>
            </w:r>
          </w:p>
        </w:tc>
      </w:tr>
      <w:tr w:rsidR="00A967D5" w14:paraId="54040E1C" w14:textId="77777777" w:rsidTr="00E542D5">
        <w:tc>
          <w:tcPr>
            <w:tcW w:w="715" w:type="pct"/>
            <w:hideMark/>
          </w:tcPr>
          <w:p w14:paraId="559A8E5A"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lastRenderedPageBreak/>
              <w:t>Dose/frequency</w:t>
            </w:r>
          </w:p>
        </w:tc>
        <w:tc>
          <w:tcPr>
            <w:tcW w:w="1218" w:type="pct"/>
            <w:hideMark/>
          </w:tcPr>
          <w:p w14:paraId="2554088F"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Ketorolac 0.25 mg every 8 h</w:t>
            </w:r>
          </w:p>
        </w:tc>
        <w:tc>
          <w:tcPr>
            <w:tcW w:w="1413" w:type="pct"/>
            <w:hideMark/>
          </w:tcPr>
          <w:p w14:paraId="23D92513"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Ketorolac 0.50 mg every 12 h</w:t>
            </w:r>
          </w:p>
        </w:tc>
        <w:tc>
          <w:tcPr>
            <w:tcW w:w="1654" w:type="pct"/>
            <w:hideMark/>
          </w:tcPr>
          <w:p w14:paraId="5C701C8C"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Ketorolac: one eye drop per eye every 12 h in stage 1 and every 8 h in stage 2; nepafenac: every 8 h in stage 1 and every 6 h in stage 2</w:t>
            </w:r>
          </w:p>
        </w:tc>
      </w:tr>
      <w:tr w:rsidR="00A967D5" w14:paraId="21BED6F9" w14:textId="77777777" w:rsidTr="00E542D5">
        <w:tc>
          <w:tcPr>
            <w:tcW w:w="715" w:type="pct"/>
            <w:hideMark/>
          </w:tcPr>
          <w:p w14:paraId="3A9E2D8D"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Duration of prophylaxis</w:t>
            </w:r>
          </w:p>
        </w:tc>
        <w:tc>
          <w:tcPr>
            <w:tcW w:w="1218" w:type="pct"/>
            <w:hideMark/>
          </w:tcPr>
          <w:p w14:paraId="61464AD8"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Continued until approximately 44 weeks postmenstrual age</w:t>
            </w:r>
          </w:p>
        </w:tc>
        <w:tc>
          <w:tcPr>
            <w:tcW w:w="1413" w:type="pct"/>
            <w:hideMark/>
          </w:tcPr>
          <w:p w14:paraId="60B22B64"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Continued per trial protocol until vascularisation/threshold outcome</w:t>
            </w:r>
          </w:p>
        </w:tc>
        <w:tc>
          <w:tcPr>
            <w:tcW w:w="1654" w:type="pct"/>
            <w:hideMark/>
          </w:tcPr>
          <w:p w14:paraId="2E377CE3"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Continued until regression, 60 weeks postmenstrual age, unless discontinued earlier due to intolerance, adverse effects, lack of benefit, or progression to treatment-requiring disease, with an additional 15 days at stage 2 frequency only for infants who underwent laser ablation for inflammation control</w:t>
            </w:r>
          </w:p>
        </w:tc>
      </w:tr>
      <w:tr w:rsidR="00A967D5" w14:paraId="67267918" w14:textId="77777777" w:rsidTr="00E542D5">
        <w:tc>
          <w:tcPr>
            <w:tcW w:w="715" w:type="pct"/>
            <w:hideMark/>
          </w:tcPr>
          <w:p w14:paraId="3149E560"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Comparator</w:t>
            </w:r>
          </w:p>
        </w:tc>
        <w:tc>
          <w:tcPr>
            <w:tcW w:w="1218" w:type="pct"/>
            <w:hideMark/>
          </w:tcPr>
          <w:p w14:paraId="7AF16252"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Historical nonconcurrent controls</w:t>
            </w:r>
          </w:p>
        </w:tc>
        <w:tc>
          <w:tcPr>
            <w:tcW w:w="1413" w:type="pct"/>
            <w:hideMark/>
          </w:tcPr>
          <w:p w14:paraId="1955EAD0"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Fellow-eye placebo</w:t>
            </w:r>
          </w:p>
        </w:tc>
        <w:tc>
          <w:tcPr>
            <w:tcW w:w="1654" w:type="pct"/>
            <w:hideMark/>
          </w:tcPr>
          <w:p w14:paraId="101DED54"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Historical surveillance-only cohort managed by the same retina specialist under the same treatment thresholds</w:t>
            </w:r>
          </w:p>
        </w:tc>
      </w:tr>
      <w:tr w:rsidR="00A967D5" w14:paraId="41133B8E" w14:textId="77777777" w:rsidTr="00E542D5">
        <w:tc>
          <w:tcPr>
            <w:tcW w:w="715" w:type="pct"/>
            <w:hideMark/>
          </w:tcPr>
          <w:p w14:paraId="4A0075CB" w14:textId="77777777" w:rsidR="00A967D5" w:rsidRPr="001042E4" w:rsidRDefault="00A967D5" w:rsidP="00E542D5">
            <w:pPr>
              <w:spacing w:before="0" w:after="0"/>
              <w:rPr>
                <w:rFonts w:eastAsia="Times New Roman" w:cs="Times New Roman"/>
                <w:sz w:val="20"/>
                <w:szCs w:val="20"/>
                <w:lang w:eastAsia="es-CO"/>
              </w:rPr>
            </w:pPr>
            <w:r w:rsidRPr="001042E4">
              <w:rPr>
                <w:rFonts w:eastAsia="Times New Roman" w:cs="Times New Roman"/>
                <w:b/>
                <w:bCs/>
                <w:sz w:val="20"/>
                <w:szCs w:val="20"/>
                <w:lang w:eastAsia="es-CO"/>
              </w:rPr>
              <w:t>Treatment threshold for rescue therapy</w:t>
            </w:r>
          </w:p>
        </w:tc>
        <w:tc>
          <w:tcPr>
            <w:tcW w:w="1218" w:type="pct"/>
            <w:hideMark/>
          </w:tcPr>
          <w:p w14:paraId="0EB3D20D"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Severe ROP/cryotherapy-era endpoint</w:t>
            </w:r>
          </w:p>
        </w:tc>
        <w:tc>
          <w:tcPr>
            <w:tcW w:w="1413" w:type="pct"/>
            <w:hideMark/>
          </w:tcPr>
          <w:p w14:paraId="238E0661"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Severe ROP progression endpoint</w:t>
            </w:r>
          </w:p>
        </w:tc>
        <w:tc>
          <w:tcPr>
            <w:tcW w:w="1654" w:type="pct"/>
            <w:hideMark/>
          </w:tcPr>
          <w:p w14:paraId="1A977FEC"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Treatment-requiring ROP under contemporary criteria, with laser ablation or intravitreal anti-VEGF therapy selected by zone, posterior involvement, and follow-up reliability</w:t>
            </w:r>
          </w:p>
        </w:tc>
      </w:tr>
      <w:tr w:rsidR="00A967D5" w14:paraId="20548FE8" w14:textId="77777777" w:rsidTr="00E542D5">
        <w:tc>
          <w:tcPr>
            <w:tcW w:w="715" w:type="pct"/>
            <w:hideMark/>
          </w:tcPr>
          <w:p w14:paraId="19E0809E"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Primary interpretive endpoint</w:t>
            </w:r>
          </w:p>
        </w:tc>
        <w:tc>
          <w:tcPr>
            <w:tcW w:w="1218" w:type="pct"/>
            <w:hideMark/>
          </w:tcPr>
          <w:p w14:paraId="54B2F28E"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Severe ROP incidence</w:t>
            </w:r>
          </w:p>
        </w:tc>
        <w:tc>
          <w:tcPr>
            <w:tcW w:w="1413" w:type="pct"/>
            <w:hideMark/>
          </w:tcPr>
          <w:p w14:paraId="70102486"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Severe ROP prevention</w:t>
            </w:r>
          </w:p>
        </w:tc>
        <w:tc>
          <w:tcPr>
            <w:tcW w:w="1654" w:type="pct"/>
            <w:hideMark/>
          </w:tcPr>
          <w:p w14:paraId="36561AF2"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Progression to treatment-requiring ROP by 60 weeks postmenstrual age</w:t>
            </w:r>
          </w:p>
        </w:tc>
      </w:tr>
      <w:tr w:rsidR="00A967D5" w14:paraId="2C314C7F" w14:textId="77777777" w:rsidTr="00E542D5">
        <w:tc>
          <w:tcPr>
            <w:tcW w:w="715" w:type="pct"/>
            <w:hideMark/>
          </w:tcPr>
          <w:p w14:paraId="67217086"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Main results</w:t>
            </w:r>
          </w:p>
        </w:tc>
        <w:tc>
          <w:tcPr>
            <w:tcW w:w="1218" w:type="pct"/>
            <w:hideMark/>
          </w:tcPr>
          <w:p w14:paraId="08E6BC32"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Reported lower severe ROP frequency in ketorolac-treated infants than in historical controls</w:t>
            </w:r>
          </w:p>
        </w:tc>
        <w:tc>
          <w:tcPr>
            <w:tcW w:w="1413" w:type="pct"/>
            <w:hideMark/>
          </w:tcPr>
          <w:p w14:paraId="16CE72C7"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No significant difference between ketorolac-treated and placebo-treated eyes</w:t>
            </w:r>
          </w:p>
        </w:tc>
        <w:tc>
          <w:tcPr>
            <w:tcW w:w="1654" w:type="pct"/>
            <w:hideMark/>
          </w:tcPr>
          <w:p w14:paraId="09160102"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Lower crude progression to treatment-requiring ROP for both ketorolac and nepafenac; ketorolac remained independently associated with lower adjusted odds of progression</w:t>
            </w:r>
          </w:p>
        </w:tc>
      </w:tr>
      <w:tr w:rsidR="00A967D5" w14:paraId="6054D9A9" w14:textId="77777777" w:rsidTr="00E542D5">
        <w:tc>
          <w:tcPr>
            <w:tcW w:w="715" w:type="pct"/>
            <w:hideMark/>
          </w:tcPr>
          <w:p w14:paraId="7A506266"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Safety findings</w:t>
            </w:r>
          </w:p>
        </w:tc>
        <w:tc>
          <w:tcPr>
            <w:tcW w:w="1218" w:type="pct"/>
            <w:hideMark/>
          </w:tcPr>
          <w:p w14:paraId="78DBE115"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No major safety signal was highlighted in the available summary</w:t>
            </w:r>
          </w:p>
        </w:tc>
        <w:tc>
          <w:tcPr>
            <w:tcW w:w="1413" w:type="pct"/>
            <w:hideMark/>
          </w:tcPr>
          <w:p w14:paraId="2656D08D" w14:textId="77777777" w:rsidR="00A967D5" w:rsidRPr="001042E4" w:rsidRDefault="00A967D5" w:rsidP="00E542D5">
            <w:pPr>
              <w:spacing w:before="0" w:after="0"/>
              <w:jc w:val="both"/>
              <w:rPr>
                <w:rFonts w:eastAsia="Times New Roman" w:cs="Times New Roman"/>
                <w:sz w:val="20"/>
                <w:szCs w:val="20"/>
                <w:lang w:eastAsia="es-CO"/>
              </w:rPr>
            </w:pPr>
            <w:r w:rsidRPr="001042E4">
              <w:rPr>
                <w:rFonts w:eastAsia="Times New Roman" w:cs="Times New Roman"/>
                <w:sz w:val="20"/>
                <w:szCs w:val="20"/>
                <w:lang w:eastAsia="es-CO"/>
              </w:rPr>
              <w:t>No major adverse events reported</w:t>
            </w:r>
          </w:p>
        </w:tc>
        <w:tc>
          <w:tcPr>
            <w:tcW w:w="1654" w:type="pct"/>
            <w:hideMark/>
          </w:tcPr>
          <w:p w14:paraId="6B8B76AE"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No major prophylaxis-related adverse effects; transient conjunctival hyperaemia resolved after temporary discontinuation</w:t>
            </w:r>
          </w:p>
        </w:tc>
      </w:tr>
      <w:tr w:rsidR="00A967D5" w14:paraId="53F62188" w14:textId="77777777" w:rsidTr="00E542D5">
        <w:tc>
          <w:tcPr>
            <w:tcW w:w="715" w:type="pct"/>
            <w:hideMark/>
          </w:tcPr>
          <w:p w14:paraId="322F0A54"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Major methodological strengths</w:t>
            </w:r>
          </w:p>
        </w:tc>
        <w:tc>
          <w:tcPr>
            <w:tcW w:w="1218" w:type="pct"/>
            <w:hideMark/>
          </w:tcPr>
          <w:p w14:paraId="51ABFB80"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Early clinical exploration of pharmacologic prophylaxis in ROP</w:t>
            </w:r>
          </w:p>
        </w:tc>
        <w:tc>
          <w:tcPr>
            <w:tcW w:w="1413" w:type="pct"/>
            <w:hideMark/>
          </w:tcPr>
          <w:p w14:paraId="4DDC462D" w14:textId="77777777" w:rsidR="00A967D5" w:rsidRPr="00A1065A" w:rsidRDefault="00A967D5" w:rsidP="00E542D5">
            <w:pPr>
              <w:spacing w:before="0" w:after="0"/>
              <w:jc w:val="both"/>
              <w:rPr>
                <w:rFonts w:eastAsia="Times New Roman" w:cs="Times New Roman"/>
                <w:sz w:val="20"/>
                <w:szCs w:val="20"/>
                <w:lang w:eastAsia="es-CO"/>
              </w:rPr>
            </w:pPr>
            <w:r w:rsidRPr="00A1065A">
              <w:rPr>
                <w:rFonts w:eastAsia="Times New Roman" w:cs="Times New Roman"/>
                <w:sz w:val="20"/>
                <w:szCs w:val="20"/>
                <w:lang w:eastAsia="es-CO"/>
              </w:rPr>
              <w:t>Randomized comparison</w:t>
            </w:r>
          </w:p>
        </w:tc>
        <w:tc>
          <w:tcPr>
            <w:tcW w:w="1654" w:type="pct"/>
            <w:hideMark/>
          </w:tcPr>
          <w:p w14:paraId="167CFCAC"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Real-world multicenter practice data; infant-level analysis; treatment initiated after documented early-stage disease; same specialist across cohorts; separate analysis for two agents</w:t>
            </w:r>
          </w:p>
        </w:tc>
      </w:tr>
      <w:tr w:rsidR="00A967D5" w14:paraId="5AB44F51" w14:textId="77777777" w:rsidTr="00E542D5">
        <w:tc>
          <w:tcPr>
            <w:tcW w:w="715" w:type="pct"/>
            <w:hideMark/>
          </w:tcPr>
          <w:p w14:paraId="24715073" w14:textId="77777777" w:rsidR="00A967D5" w:rsidRPr="00A1065A" w:rsidRDefault="00A967D5" w:rsidP="00E542D5">
            <w:pPr>
              <w:spacing w:before="0" w:after="0"/>
              <w:rPr>
                <w:rFonts w:eastAsia="Times New Roman" w:cs="Times New Roman"/>
                <w:sz w:val="20"/>
                <w:szCs w:val="20"/>
                <w:lang w:eastAsia="es-CO"/>
              </w:rPr>
            </w:pPr>
            <w:r w:rsidRPr="00A1065A">
              <w:rPr>
                <w:rFonts w:eastAsia="Times New Roman" w:cs="Times New Roman"/>
                <w:b/>
                <w:bCs/>
                <w:sz w:val="20"/>
                <w:szCs w:val="20"/>
                <w:lang w:eastAsia="es-CO"/>
              </w:rPr>
              <w:t>Major methodological limitations</w:t>
            </w:r>
          </w:p>
        </w:tc>
        <w:tc>
          <w:tcPr>
            <w:tcW w:w="1218" w:type="pct"/>
            <w:hideMark/>
          </w:tcPr>
          <w:p w14:paraId="2A2810CA"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Historical controls, nonrandomized design, nonconcurrent comparison, incomplete covariate reporting, and an earlier treatment window than the current study</w:t>
            </w:r>
          </w:p>
        </w:tc>
        <w:tc>
          <w:tcPr>
            <w:tcW w:w="1413" w:type="pct"/>
            <w:hideMark/>
          </w:tcPr>
          <w:p w14:paraId="5E18D405"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Contralateral-eye design for a bilateral systemic disease, limited baseline covariate reporting, a very-high-risk population, and possible underexposure despite higher concentration</w:t>
            </w:r>
          </w:p>
        </w:tc>
        <w:tc>
          <w:tcPr>
            <w:tcW w:w="1654" w:type="pct"/>
            <w:hideMark/>
          </w:tcPr>
          <w:p w14:paraId="798ABE52"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Retrospective design, historical comparator, residual confounding by indication, modest sample size, single-specialist practice source</w:t>
            </w:r>
          </w:p>
        </w:tc>
      </w:tr>
      <w:tr w:rsidR="00A967D5" w14:paraId="1F58BF9B" w14:textId="77777777" w:rsidTr="00E542D5">
        <w:tc>
          <w:tcPr>
            <w:tcW w:w="715" w:type="pct"/>
            <w:hideMark/>
          </w:tcPr>
          <w:p w14:paraId="5253B642" w14:textId="77777777" w:rsidR="00A967D5" w:rsidRPr="00202311" w:rsidRDefault="00A967D5" w:rsidP="00E542D5">
            <w:pPr>
              <w:spacing w:before="0" w:after="0"/>
              <w:rPr>
                <w:rFonts w:eastAsia="Times New Roman" w:cs="Times New Roman"/>
                <w:sz w:val="20"/>
                <w:szCs w:val="20"/>
                <w:lang w:eastAsia="es-CO"/>
              </w:rPr>
            </w:pPr>
            <w:r w:rsidRPr="00202311">
              <w:rPr>
                <w:rFonts w:eastAsia="Times New Roman" w:cs="Times New Roman"/>
                <w:b/>
                <w:bCs/>
                <w:sz w:val="20"/>
                <w:szCs w:val="20"/>
                <w:lang w:eastAsia="es-CO"/>
              </w:rPr>
              <w:t>Relevance to the interpretation of the present study</w:t>
            </w:r>
          </w:p>
        </w:tc>
        <w:tc>
          <w:tcPr>
            <w:tcW w:w="1218" w:type="pct"/>
            <w:hideMark/>
          </w:tcPr>
          <w:p w14:paraId="7083E807"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Suggests a potential signal for ketorolac, but cannot establish causality or identify the optimal prophylactic window</w:t>
            </w:r>
          </w:p>
        </w:tc>
        <w:tc>
          <w:tcPr>
            <w:tcW w:w="1413" w:type="pct"/>
            <w:hideMark/>
          </w:tcPr>
          <w:p w14:paraId="0F693D85"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 xml:space="preserve">A negative result does not definitively rule out benefit because the design may have been poorly suited to ROP biology and progression patterns, and there is a lack of information on key baseline </w:t>
            </w:r>
            <w:r w:rsidRPr="00202311">
              <w:rPr>
                <w:rFonts w:eastAsia="Times New Roman" w:cs="Times New Roman"/>
                <w:sz w:val="20"/>
                <w:szCs w:val="20"/>
                <w:lang w:eastAsia="es-CO"/>
              </w:rPr>
              <w:lastRenderedPageBreak/>
              <w:t>characteristics that influence disease progression</w:t>
            </w:r>
          </w:p>
        </w:tc>
        <w:tc>
          <w:tcPr>
            <w:tcW w:w="1654" w:type="pct"/>
            <w:hideMark/>
          </w:tcPr>
          <w:p w14:paraId="5369DD39"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lastRenderedPageBreak/>
              <w:t>Provides transitional comparative evidence under routine-care conditions and establishes the need for a prospective controlled trial</w:t>
            </w:r>
          </w:p>
        </w:tc>
      </w:tr>
      <w:tr w:rsidR="00A967D5" w14:paraId="2B574C03" w14:textId="77777777" w:rsidTr="00E542D5">
        <w:tc>
          <w:tcPr>
            <w:tcW w:w="715" w:type="pct"/>
            <w:hideMark/>
          </w:tcPr>
          <w:p w14:paraId="2ABB665E" w14:textId="77777777" w:rsidR="00A967D5" w:rsidRPr="00202311" w:rsidRDefault="00A967D5" w:rsidP="00E542D5">
            <w:pPr>
              <w:spacing w:before="0" w:after="0"/>
              <w:rPr>
                <w:rFonts w:eastAsia="Times New Roman" w:cs="Times New Roman"/>
                <w:sz w:val="20"/>
                <w:szCs w:val="20"/>
                <w:lang w:eastAsia="es-CO"/>
              </w:rPr>
            </w:pPr>
            <w:r w:rsidRPr="00202311">
              <w:rPr>
                <w:rFonts w:eastAsia="Times New Roman" w:cs="Times New Roman"/>
                <w:b/>
                <w:bCs/>
                <w:sz w:val="20"/>
                <w:szCs w:val="20"/>
                <w:lang w:eastAsia="es-CO"/>
              </w:rPr>
              <w:t>Contribution to current evidence-based</w:t>
            </w:r>
          </w:p>
        </w:tc>
        <w:tc>
          <w:tcPr>
            <w:tcW w:w="1218" w:type="pct"/>
            <w:hideMark/>
          </w:tcPr>
          <w:p w14:paraId="7252DB71"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First clinical signal-generating ketorolac study in preterm infants</w:t>
            </w:r>
          </w:p>
        </w:tc>
        <w:tc>
          <w:tcPr>
            <w:tcW w:w="1413" w:type="pct"/>
            <w:hideMark/>
          </w:tcPr>
          <w:p w14:paraId="6FB98033"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The only published randomized clinical study of topical ketorolac in preterm infants to date</w:t>
            </w:r>
          </w:p>
        </w:tc>
        <w:tc>
          <w:tcPr>
            <w:tcW w:w="1654" w:type="pct"/>
            <w:hideMark/>
          </w:tcPr>
          <w:p w14:paraId="3A781200" w14:textId="77777777" w:rsidR="00A967D5" w:rsidRPr="00202311" w:rsidRDefault="00A967D5" w:rsidP="00E542D5">
            <w:pPr>
              <w:spacing w:before="0" w:after="0"/>
              <w:jc w:val="both"/>
              <w:rPr>
                <w:rFonts w:eastAsia="Times New Roman" w:cs="Times New Roman"/>
                <w:sz w:val="20"/>
                <w:szCs w:val="20"/>
                <w:lang w:eastAsia="es-CO"/>
              </w:rPr>
            </w:pPr>
            <w:r w:rsidRPr="00202311">
              <w:rPr>
                <w:rFonts w:eastAsia="Times New Roman" w:cs="Times New Roman"/>
                <w:sz w:val="20"/>
                <w:szCs w:val="20"/>
                <w:lang w:eastAsia="es-CO"/>
              </w:rPr>
              <w:t>The first comparative clinical report identified in preterm infants evaluating nepafenac, and the first to compare two topical NSAID strategies against the same surveillance-only reference framework</w:t>
            </w:r>
          </w:p>
        </w:tc>
      </w:tr>
    </w:tbl>
    <w:p w14:paraId="4F0BE9E7" w14:textId="77777777" w:rsidR="00A967D5" w:rsidRDefault="00A967D5" w:rsidP="00A967D5">
      <w:pPr>
        <w:spacing w:before="0" w:after="100" w:afterAutospacing="1"/>
        <w:jc w:val="both"/>
        <w:rPr>
          <w:rFonts w:eastAsia="Times New Roman" w:cs="Times New Roman"/>
          <w:color w:val="000000"/>
          <w:szCs w:val="24"/>
        </w:rPr>
      </w:pPr>
    </w:p>
    <w:p w14:paraId="17192274" w14:textId="77777777" w:rsidR="00A967D5" w:rsidRPr="00057655" w:rsidRDefault="00A967D5" w:rsidP="00A967D5">
      <w:pPr>
        <w:pStyle w:val="NormalWeb"/>
        <w:spacing w:before="0" w:beforeAutospacing="0" w:after="0" w:afterAutospacing="0"/>
        <w:jc w:val="both"/>
        <w:rPr>
          <w:b/>
          <w:bCs/>
        </w:rPr>
      </w:pPr>
      <w:r w:rsidRPr="00057655">
        <w:rPr>
          <w:b/>
          <w:bCs/>
        </w:rPr>
        <w:t>Footnotes</w:t>
      </w:r>
    </w:p>
    <w:p w14:paraId="3A4B8652" w14:textId="77777777" w:rsidR="00A967D5" w:rsidRPr="00DF1D3C" w:rsidRDefault="00A967D5" w:rsidP="00A967D5">
      <w:pPr>
        <w:pStyle w:val="ListParagraph"/>
        <w:numPr>
          <w:ilvl w:val="0"/>
          <w:numId w:val="3"/>
        </w:numPr>
        <w:spacing w:before="0" w:after="100" w:afterAutospacing="1"/>
        <w:jc w:val="both"/>
        <w:rPr>
          <w:rFonts w:eastAsia="Times New Roman"/>
          <w:color w:val="000000"/>
        </w:rPr>
      </w:pPr>
      <w:r>
        <w:t>NSAID, nonsteroidal anti-inflammatory drug; VEGF: vascular endothelial growth factor.</w:t>
      </w:r>
    </w:p>
    <w:p w14:paraId="7E6CCAE2" w14:textId="77777777" w:rsidR="00A967D5" w:rsidRPr="00DF1D3C" w:rsidRDefault="00A967D5" w:rsidP="00A967D5">
      <w:pPr>
        <w:pStyle w:val="ListParagraph"/>
        <w:numPr>
          <w:ilvl w:val="0"/>
          <w:numId w:val="3"/>
        </w:numPr>
        <w:spacing w:before="0" w:after="100" w:afterAutospacing="1"/>
        <w:jc w:val="both"/>
        <w:rPr>
          <w:rFonts w:eastAsia="Times New Roman"/>
          <w:color w:val="000000"/>
        </w:rPr>
      </w:pPr>
      <w:r>
        <w:t>Dose and frequency are reported as described in the source publications and the present protocol; formulations and dosing conventions may differ across studies and limit direct comparability.</w:t>
      </w:r>
    </w:p>
    <w:p w14:paraId="2EB02ACD" w14:textId="77777777" w:rsidR="00A967D5" w:rsidRDefault="00A967D5" w:rsidP="00A967D5">
      <w:pPr>
        <w:spacing w:before="0" w:after="100" w:afterAutospacing="1"/>
        <w:jc w:val="both"/>
        <w:rPr>
          <w:rFonts w:eastAsia="Times New Roman" w:cs="Times New Roman"/>
          <w:color w:val="000000"/>
          <w:szCs w:val="24"/>
        </w:rPr>
      </w:pPr>
    </w:p>
    <w:p w14:paraId="7A35F2DB"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A7866"/>
    <w:multiLevelType w:val="hybridMultilevel"/>
    <w:tmpl w:val="474C8614"/>
    <w:lvl w:ilvl="0" w:tplc="828CAD64">
      <w:start w:val="1"/>
      <w:numFmt w:val="bullet"/>
      <w:lvlText w:val=""/>
      <w:lvlJc w:val="left"/>
      <w:pPr>
        <w:ind w:left="720" w:hanging="360"/>
      </w:pPr>
      <w:rPr>
        <w:rFonts w:ascii="Symbol" w:hAnsi="Symbol" w:hint="default"/>
      </w:rPr>
    </w:lvl>
    <w:lvl w:ilvl="1" w:tplc="5D420088" w:tentative="1">
      <w:start w:val="1"/>
      <w:numFmt w:val="bullet"/>
      <w:lvlText w:val="o"/>
      <w:lvlJc w:val="left"/>
      <w:pPr>
        <w:ind w:left="1440" w:hanging="360"/>
      </w:pPr>
      <w:rPr>
        <w:rFonts w:ascii="Courier New" w:hAnsi="Courier New" w:cs="Courier New" w:hint="default"/>
      </w:rPr>
    </w:lvl>
    <w:lvl w:ilvl="2" w:tplc="AAB67244" w:tentative="1">
      <w:start w:val="1"/>
      <w:numFmt w:val="bullet"/>
      <w:lvlText w:val=""/>
      <w:lvlJc w:val="left"/>
      <w:pPr>
        <w:ind w:left="2160" w:hanging="360"/>
      </w:pPr>
      <w:rPr>
        <w:rFonts w:ascii="Wingdings" w:hAnsi="Wingdings" w:hint="default"/>
      </w:rPr>
    </w:lvl>
    <w:lvl w:ilvl="3" w:tplc="22EE6036" w:tentative="1">
      <w:start w:val="1"/>
      <w:numFmt w:val="bullet"/>
      <w:lvlText w:val=""/>
      <w:lvlJc w:val="left"/>
      <w:pPr>
        <w:ind w:left="2880" w:hanging="360"/>
      </w:pPr>
      <w:rPr>
        <w:rFonts w:ascii="Symbol" w:hAnsi="Symbol" w:hint="default"/>
      </w:rPr>
    </w:lvl>
    <w:lvl w:ilvl="4" w:tplc="78C0FBAE" w:tentative="1">
      <w:start w:val="1"/>
      <w:numFmt w:val="bullet"/>
      <w:lvlText w:val="o"/>
      <w:lvlJc w:val="left"/>
      <w:pPr>
        <w:ind w:left="3600" w:hanging="360"/>
      </w:pPr>
      <w:rPr>
        <w:rFonts w:ascii="Courier New" w:hAnsi="Courier New" w:cs="Courier New" w:hint="default"/>
      </w:rPr>
    </w:lvl>
    <w:lvl w:ilvl="5" w:tplc="E704258E" w:tentative="1">
      <w:start w:val="1"/>
      <w:numFmt w:val="bullet"/>
      <w:lvlText w:val=""/>
      <w:lvlJc w:val="left"/>
      <w:pPr>
        <w:ind w:left="4320" w:hanging="360"/>
      </w:pPr>
      <w:rPr>
        <w:rFonts w:ascii="Wingdings" w:hAnsi="Wingdings" w:hint="default"/>
      </w:rPr>
    </w:lvl>
    <w:lvl w:ilvl="6" w:tplc="001EDA86" w:tentative="1">
      <w:start w:val="1"/>
      <w:numFmt w:val="bullet"/>
      <w:lvlText w:val=""/>
      <w:lvlJc w:val="left"/>
      <w:pPr>
        <w:ind w:left="5040" w:hanging="360"/>
      </w:pPr>
      <w:rPr>
        <w:rFonts w:ascii="Symbol" w:hAnsi="Symbol" w:hint="default"/>
      </w:rPr>
    </w:lvl>
    <w:lvl w:ilvl="7" w:tplc="CF1ABC48" w:tentative="1">
      <w:start w:val="1"/>
      <w:numFmt w:val="bullet"/>
      <w:lvlText w:val="o"/>
      <w:lvlJc w:val="left"/>
      <w:pPr>
        <w:ind w:left="5760" w:hanging="360"/>
      </w:pPr>
      <w:rPr>
        <w:rFonts w:ascii="Courier New" w:hAnsi="Courier New" w:cs="Courier New" w:hint="default"/>
      </w:rPr>
    </w:lvl>
    <w:lvl w:ilvl="8" w:tplc="A358DC3E" w:tentative="1">
      <w:start w:val="1"/>
      <w:numFmt w:val="bullet"/>
      <w:lvlText w:val=""/>
      <w:lvlJc w:val="left"/>
      <w:pPr>
        <w:ind w:left="6480" w:hanging="360"/>
      </w:pPr>
      <w:rPr>
        <w:rFonts w:ascii="Wingdings" w:hAnsi="Wingdings" w:hint="default"/>
      </w:rPr>
    </w:lvl>
  </w:abstractNum>
  <w:abstractNum w:abstractNumId="1" w15:restartNumberingAfterBreak="0">
    <w:nsid w:val="580E6581"/>
    <w:multiLevelType w:val="hybridMultilevel"/>
    <w:tmpl w:val="C6BEEC30"/>
    <w:lvl w:ilvl="0" w:tplc="83C6A0D4">
      <w:start w:val="1"/>
      <w:numFmt w:val="bullet"/>
      <w:lvlText w:val=""/>
      <w:lvlJc w:val="left"/>
      <w:pPr>
        <w:ind w:left="720" w:hanging="360"/>
      </w:pPr>
      <w:rPr>
        <w:rFonts w:ascii="Symbol" w:hAnsi="Symbol" w:hint="default"/>
      </w:rPr>
    </w:lvl>
    <w:lvl w:ilvl="1" w:tplc="96EC8392" w:tentative="1">
      <w:start w:val="1"/>
      <w:numFmt w:val="bullet"/>
      <w:lvlText w:val="o"/>
      <w:lvlJc w:val="left"/>
      <w:pPr>
        <w:ind w:left="1440" w:hanging="360"/>
      </w:pPr>
      <w:rPr>
        <w:rFonts w:ascii="Courier New" w:hAnsi="Courier New" w:cs="Courier New" w:hint="default"/>
      </w:rPr>
    </w:lvl>
    <w:lvl w:ilvl="2" w:tplc="0AB4DA5E" w:tentative="1">
      <w:start w:val="1"/>
      <w:numFmt w:val="bullet"/>
      <w:lvlText w:val=""/>
      <w:lvlJc w:val="left"/>
      <w:pPr>
        <w:ind w:left="2160" w:hanging="360"/>
      </w:pPr>
      <w:rPr>
        <w:rFonts w:ascii="Wingdings" w:hAnsi="Wingdings" w:hint="default"/>
      </w:rPr>
    </w:lvl>
    <w:lvl w:ilvl="3" w:tplc="F6BC370E" w:tentative="1">
      <w:start w:val="1"/>
      <w:numFmt w:val="bullet"/>
      <w:lvlText w:val=""/>
      <w:lvlJc w:val="left"/>
      <w:pPr>
        <w:ind w:left="2880" w:hanging="360"/>
      </w:pPr>
      <w:rPr>
        <w:rFonts w:ascii="Symbol" w:hAnsi="Symbol" w:hint="default"/>
      </w:rPr>
    </w:lvl>
    <w:lvl w:ilvl="4" w:tplc="A1F4A17A" w:tentative="1">
      <w:start w:val="1"/>
      <w:numFmt w:val="bullet"/>
      <w:lvlText w:val="o"/>
      <w:lvlJc w:val="left"/>
      <w:pPr>
        <w:ind w:left="3600" w:hanging="360"/>
      </w:pPr>
      <w:rPr>
        <w:rFonts w:ascii="Courier New" w:hAnsi="Courier New" w:cs="Courier New" w:hint="default"/>
      </w:rPr>
    </w:lvl>
    <w:lvl w:ilvl="5" w:tplc="5564712E" w:tentative="1">
      <w:start w:val="1"/>
      <w:numFmt w:val="bullet"/>
      <w:lvlText w:val=""/>
      <w:lvlJc w:val="left"/>
      <w:pPr>
        <w:ind w:left="4320" w:hanging="360"/>
      </w:pPr>
      <w:rPr>
        <w:rFonts w:ascii="Wingdings" w:hAnsi="Wingdings" w:hint="default"/>
      </w:rPr>
    </w:lvl>
    <w:lvl w:ilvl="6" w:tplc="833C3D02" w:tentative="1">
      <w:start w:val="1"/>
      <w:numFmt w:val="bullet"/>
      <w:lvlText w:val=""/>
      <w:lvlJc w:val="left"/>
      <w:pPr>
        <w:ind w:left="5040" w:hanging="360"/>
      </w:pPr>
      <w:rPr>
        <w:rFonts w:ascii="Symbol" w:hAnsi="Symbol" w:hint="default"/>
      </w:rPr>
    </w:lvl>
    <w:lvl w:ilvl="7" w:tplc="CE3ECF86" w:tentative="1">
      <w:start w:val="1"/>
      <w:numFmt w:val="bullet"/>
      <w:lvlText w:val="o"/>
      <w:lvlJc w:val="left"/>
      <w:pPr>
        <w:ind w:left="5760" w:hanging="360"/>
      </w:pPr>
      <w:rPr>
        <w:rFonts w:ascii="Courier New" w:hAnsi="Courier New" w:cs="Courier New" w:hint="default"/>
      </w:rPr>
    </w:lvl>
    <w:lvl w:ilvl="8" w:tplc="FB1C01FC" w:tentative="1">
      <w:start w:val="1"/>
      <w:numFmt w:val="bullet"/>
      <w:lvlText w:val=""/>
      <w:lvlJc w:val="left"/>
      <w:pPr>
        <w:ind w:left="6480" w:hanging="360"/>
      </w:pPr>
      <w:rPr>
        <w:rFonts w:ascii="Wingdings" w:hAnsi="Wingdings" w:hint="default"/>
      </w:rPr>
    </w:lvl>
  </w:abstractNum>
  <w:abstractNum w:abstractNumId="2" w15:restartNumberingAfterBreak="0">
    <w:nsid w:val="6EDC30B8"/>
    <w:multiLevelType w:val="hybridMultilevel"/>
    <w:tmpl w:val="9170E042"/>
    <w:lvl w:ilvl="0" w:tplc="A530CC54">
      <w:start w:val="1"/>
      <w:numFmt w:val="bullet"/>
      <w:lvlText w:val=""/>
      <w:lvlJc w:val="left"/>
      <w:pPr>
        <w:ind w:left="720" w:hanging="360"/>
      </w:pPr>
      <w:rPr>
        <w:rFonts w:ascii="Symbol" w:hAnsi="Symbol" w:hint="default"/>
      </w:rPr>
    </w:lvl>
    <w:lvl w:ilvl="1" w:tplc="2A5EA3E4" w:tentative="1">
      <w:start w:val="1"/>
      <w:numFmt w:val="bullet"/>
      <w:lvlText w:val="o"/>
      <w:lvlJc w:val="left"/>
      <w:pPr>
        <w:ind w:left="1440" w:hanging="360"/>
      </w:pPr>
      <w:rPr>
        <w:rFonts w:ascii="Courier New" w:hAnsi="Courier New" w:cs="Courier New" w:hint="default"/>
      </w:rPr>
    </w:lvl>
    <w:lvl w:ilvl="2" w:tplc="034A6906" w:tentative="1">
      <w:start w:val="1"/>
      <w:numFmt w:val="bullet"/>
      <w:lvlText w:val=""/>
      <w:lvlJc w:val="left"/>
      <w:pPr>
        <w:ind w:left="2160" w:hanging="360"/>
      </w:pPr>
      <w:rPr>
        <w:rFonts w:ascii="Wingdings" w:hAnsi="Wingdings" w:hint="default"/>
      </w:rPr>
    </w:lvl>
    <w:lvl w:ilvl="3" w:tplc="84289920" w:tentative="1">
      <w:start w:val="1"/>
      <w:numFmt w:val="bullet"/>
      <w:lvlText w:val=""/>
      <w:lvlJc w:val="left"/>
      <w:pPr>
        <w:ind w:left="2880" w:hanging="360"/>
      </w:pPr>
      <w:rPr>
        <w:rFonts w:ascii="Symbol" w:hAnsi="Symbol" w:hint="default"/>
      </w:rPr>
    </w:lvl>
    <w:lvl w:ilvl="4" w:tplc="FED8423E" w:tentative="1">
      <w:start w:val="1"/>
      <w:numFmt w:val="bullet"/>
      <w:lvlText w:val="o"/>
      <w:lvlJc w:val="left"/>
      <w:pPr>
        <w:ind w:left="3600" w:hanging="360"/>
      </w:pPr>
      <w:rPr>
        <w:rFonts w:ascii="Courier New" w:hAnsi="Courier New" w:cs="Courier New" w:hint="default"/>
      </w:rPr>
    </w:lvl>
    <w:lvl w:ilvl="5" w:tplc="CC6839A0" w:tentative="1">
      <w:start w:val="1"/>
      <w:numFmt w:val="bullet"/>
      <w:lvlText w:val=""/>
      <w:lvlJc w:val="left"/>
      <w:pPr>
        <w:ind w:left="4320" w:hanging="360"/>
      </w:pPr>
      <w:rPr>
        <w:rFonts w:ascii="Wingdings" w:hAnsi="Wingdings" w:hint="default"/>
      </w:rPr>
    </w:lvl>
    <w:lvl w:ilvl="6" w:tplc="22FC7ABC" w:tentative="1">
      <w:start w:val="1"/>
      <w:numFmt w:val="bullet"/>
      <w:lvlText w:val=""/>
      <w:lvlJc w:val="left"/>
      <w:pPr>
        <w:ind w:left="5040" w:hanging="360"/>
      </w:pPr>
      <w:rPr>
        <w:rFonts w:ascii="Symbol" w:hAnsi="Symbol" w:hint="default"/>
      </w:rPr>
    </w:lvl>
    <w:lvl w:ilvl="7" w:tplc="13922012" w:tentative="1">
      <w:start w:val="1"/>
      <w:numFmt w:val="bullet"/>
      <w:lvlText w:val="o"/>
      <w:lvlJc w:val="left"/>
      <w:pPr>
        <w:ind w:left="5760" w:hanging="360"/>
      </w:pPr>
      <w:rPr>
        <w:rFonts w:ascii="Courier New" w:hAnsi="Courier New" w:cs="Courier New" w:hint="default"/>
      </w:rPr>
    </w:lvl>
    <w:lvl w:ilvl="8" w:tplc="D73CD302" w:tentative="1">
      <w:start w:val="1"/>
      <w:numFmt w:val="bullet"/>
      <w:lvlText w:val=""/>
      <w:lvlJc w:val="left"/>
      <w:pPr>
        <w:ind w:left="6480" w:hanging="360"/>
      </w:pPr>
      <w:rPr>
        <w:rFonts w:ascii="Wingdings" w:hAnsi="Wingdings" w:hint="default"/>
      </w:rPr>
    </w:lvl>
  </w:abstractNum>
  <w:num w:numId="1" w16cid:durableId="1395085727">
    <w:abstractNumId w:val="0"/>
  </w:num>
  <w:num w:numId="2" w16cid:durableId="500238686">
    <w:abstractNumId w:val="1"/>
  </w:num>
  <w:num w:numId="3" w16cid:durableId="752357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7D5"/>
    <w:rsid w:val="000C4033"/>
    <w:rsid w:val="00173ED8"/>
    <w:rsid w:val="002F50B1"/>
    <w:rsid w:val="004B42CB"/>
    <w:rsid w:val="005F2B46"/>
    <w:rsid w:val="006E1731"/>
    <w:rsid w:val="00866D74"/>
    <w:rsid w:val="00882A73"/>
    <w:rsid w:val="00906905"/>
    <w:rsid w:val="0095305D"/>
    <w:rsid w:val="00A967D5"/>
    <w:rsid w:val="00B10170"/>
    <w:rsid w:val="00B260B7"/>
    <w:rsid w:val="00B85331"/>
    <w:rsid w:val="00C94D66"/>
    <w:rsid w:val="00DE7E69"/>
    <w:rsid w:val="00E023F9"/>
    <w:rsid w:val="00FD28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2CAA0"/>
  <w15:chartTrackingRefBased/>
  <w15:docId w15:val="{F6C750A7-0DB8-4088-B26B-F90C48AFB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7D5"/>
    <w:pPr>
      <w:spacing w:before="120" w:after="240" w:line="240" w:lineRule="auto"/>
    </w:pPr>
    <w:rPr>
      <w:rFonts w:ascii="Times New Roman" w:hAnsi="Times New Roman"/>
      <w:kern w:val="0"/>
      <w:szCs w:val="22"/>
      <w:lang w:val="en-US"/>
      <w14:ligatures w14:val="none"/>
    </w:rPr>
  </w:style>
  <w:style w:type="paragraph" w:styleId="Heading1">
    <w:name w:val="heading 1"/>
    <w:basedOn w:val="Normal"/>
    <w:next w:val="Normal"/>
    <w:link w:val="Heading1Char"/>
    <w:uiPriority w:val="9"/>
    <w:qFormat/>
    <w:rsid w:val="00A96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7D5"/>
    <w:rPr>
      <w:rFonts w:eastAsiaTheme="majorEastAsia" w:cstheme="majorBidi"/>
      <w:color w:val="272727" w:themeColor="text1" w:themeTint="D8"/>
    </w:rPr>
  </w:style>
  <w:style w:type="paragraph" w:styleId="Title">
    <w:name w:val="Title"/>
    <w:basedOn w:val="Normal"/>
    <w:next w:val="Normal"/>
    <w:link w:val="TitleChar"/>
    <w:uiPriority w:val="10"/>
    <w:qFormat/>
    <w:rsid w:val="00A967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7D5"/>
    <w:pPr>
      <w:spacing w:before="160"/>
      <w:jc w:val="center"/>
    </w:pPr>
    <w:rPr>
      <w:i/>
      <w:iCs/>
      <w:color w:val="404040" w:themeColor="text1" w:themeTint="BF"/>
    </w:rPr>
  </w:style>
  <w:style w:type="character" w:customStyle="1" w:styleId="QuoteChar">
    <w:name w:val="Quote Char"/>
    <w:basedOn w:val="DefaultParagraphFont"/>
    <w:link w:val="Quote"/>
    <w:uiPriority w:val="29"/>
    <w:rsid w:val="00A967D5"/>
    <w:rPr>
      <w:i/>
      <w:iCs/>
      <w:color w:val="404040" w:themeColor="text1" w:themeTint="BF"/>
    </w:rPr>
  </w:style>
  <w:style w:type="paragraph" w:styleId="ListParagraph">
    <w:name w:val="List Paragraph"/>
    <w:basedOn w:val="Normal"/>
    <w:uiPriority w:val="34"/>
    <w:qFormat/>
    <w:rsid w:val="00A967D5"/>
    <w:pPr>
      <w:ind w:left="720"/>
      <w:contextualSpacing/>
    </w:pPr>
  </w:style>
  <w:style w:type="character" w:styleId="IntenseEmphasis">
    <w:name w:val="Intense Emphasis"/>
    <w:basedOn w:val="DefaultParagraphFont"/>
    <w:uiPriority w:val="21"/>
    <w:qFormat/>
    <w:rsid w:val="00A967D5"/>
    <w:rPr>
      <w:i/>
      <w:iCs/>
      <w:color w:val="0F4761" w:themeColor="accent1" w:themeShade="BF"/>
    </w:rPr>
  </w:style>
  <w:style w:type="paragraph" w:styleId="IntenseQuote">
    <w:name w:val="Intense Quote"/>
    <w:basedOn w:val="Normal"/>
    <w:next w:val="Normal"/>
    <w:link w:val="IntenseQuoteChar"/>
    <w:uiPriority w:val="30"/>
    <w:qFormat/>
    <w:rsid w:val="00A96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7D5"/>
    <w:rPr>
      <w:i/>
      <w:iCs/>
      <w:color w:val="0F4761" w:themeColor="accent1" w:themeShade="BF"/>
    </w:rPr>
  </w:style>
  <w:style w:type="character" w:styleId="IntenseReference">
    <w:name w:val="Intense Reference"/>
    <w:basedOn w:val="DefaultParagraphFont"/>
    <w:uiPriority w:val="32"/>
    <w:qFormat/>
    <w:rsid w:val="00A967D5"/>
    <w:rPr>
      <w:b/>
      <w:bCs/>
      <w:smallCaps/>
      <w:color w:val="0F4761" w:themeColor="accent1" w:themeShade="BF"/>
      <w:spacing w:val="5"/>
    </w:rPr>
  </w:style>
  <w:style w:type="paragraph" w:styleId="NormalWeb">
    <w:name w:val="Normal (Web)"/>
    <w:basedOn w:val="Normal"/>
    <w:uiPriority w:val="99"/>
    <w:unhideWhenUsed/>
    <w:rsid w:val="00A967D5"/>
    <w:pPr>
      <w:spacing w:before="100" w:beforeAutospacing="1" w:after="100" w:afterAutospacing="1"/>
    </w:pPr>
    <w:rPr>
      <w:rFonts w:eastAsia="Times New Roman" w:cs="Times New Roman"/>
      <w:szCs w:val="24"/>
    </w:rPr>
  </w:style>
  <w:style w:type="table" w:styleId="TableGrid">
    <w:name w:val="Table Grid"/>
    <w:basedOn w:val="TableNormal"/>
    <w:uiPriority w:val="39"/>
    <w:rsid w:val="00A967D5"/>
    <w:pPr>
      <w:spacing w:after="0" w:line="240" w:lineRule="auto"/>
    </w:pPr>
    <w:rPr>
      <w:rFonts w:asciiTheme="majorHAnsi" w:hAnsiTheme="majorHAns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eNormal"/>
    <w:next w:val="TableGrid"/>
    <w:uiPriority w:val="39"/>
    <w:rsid w:val="00A967D5"/>
    <w:pPr>
      <w:spacing w:after="0" w:line="240" w:lineRule="auto"/>
    </w:pPr>
    <w:rPr>
      <w:rFonts w:ascii="Calibri" w:hAnsi="Calibri"/>
      <w:kern w:val="0"/>
      <w:sz w:val="22"/>
      <w:szCs w:val="22"/>
      <w:lang w:val="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96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0D2BC3C6274AB3BF543E967034A50F"/>
        <w:category>
          <w:name w:val="General"/>
          <w:gallery w:val="placeholder"/>
        </w:category>
        <w:types>
          <w:type w:val="bbPlcHdr"/>
        </w:types>
        <w:behaviors>
          <w:behavior w:val="content"/>
        </w:behaviors>
        <w:guid w:val="{BDBC6DD5-76AD-4E11-A684-6CBC9044E6DA}"/>
      </w:docPartPr>
      <w:docPartBody>
        <w:p w:rsidR="00000000" w:rsidRDefault="00B93E81" w:rsidP="00B93E81">
          <w:pPr>
            <w:pStyle w:val="820D2BC3C6274AB3BF543E967034A50F"/>
          </w:pPr>
          <w:r w:rsidRPr="00367754">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81"/>
    <w:rsid w:val="00A602AF"/>
    <w:rsid w:val="00B93E81"/>
    <w:rsid w:val="00FD28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3E81"/>
  </w:style>
  <w:style w:type="paragraph" w:customStyle="1" w:styleId="820D2BC3C6274AB3BF543E967034A50F">
    <w:name w:val="820D2BC3C6274AB3BF543E967034A50F"/>
    <w:rsid w:val="00B93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2040</Words>
  <Characters>11631</Characters>
  <Application>Microsoft Office Word</Application>
  <DocSecurity>0</DocSecurity>
  <Lines>96</Lines>
  <Paragraphs>27</Paragraphs>
  <ScaleCrop>false</ScaleCrop>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2026-08-19T09:56:00Z</dcterms:created>
  <dcterms:modified xsi:type="dcterms:W3CDTF">2026-08-19T09:56:00Z</dcterms:modified>
</cp:coreProperties>
</file>