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C38" w:rsidRPr="00D97E5C" w:rsidRDefault="00394A2F">
      <w:pPr>
        <w:spacing w:after="160"/>
        <w:rPr>
          <w:rFonts w:asciiTheme="minorHAnsi" w:hAnsiTheme="minorHAnsi" w:cstheme="minorHAnsi"/>
        </w:rPr>
      </w:pPr>
      <w:r>
        <w:rPr>
          <w:rFonts w:asciiTheme="minorHAnsi" w:hAnsiTheme="minorHAnsi" w:cstheme="minorHAnsi"/>
          <w:b/>
          <w:bCs/>
          <w:color w:val="1F4E79"/>
          <w:sz w:val="32"/>
          <w:szCs w:val="32"/>
        </w:rPr>
        <w:t>Supplementary</w:t>
      </w:r>
      <w:bookmarkStart w:id="0" w:name="_GoBack"/>
      <w:bookmarkEnd w:id="0"/>
      <w:r w:rsidR="00D36294">
        <w:rPr>
          <w:rFonts w:asciiTheme="minorHAnsi" w:hAnsiTheme="minorHAnsi" w:cstheme="minorHAnsi"/>
          <w:b/>
          <w:bCs/>
          <w:color w:val="1F4E79"/>
          <w:sz w:val="32"/>
          <w:szCs w:val="32"/>
        </w:rPr>
        <w:t xml:space="preserve"> Tables</w:t>
      </w:r>
    </w:p>
    <w:p w:rsidR="00B37D2A" w:rsidRPr="00B37D2A" w:rsidRDefault="00B37D2A" w:rsidP="00B37D2A">
      <w:pPr>
        <w:spacing w:before="80" w:after="80"/>
        <w:rPr>
          <w:rFonts w:asciiTheme="minorHAnsi" w:hAnsiTheme="minorHAnsi" w:cstheme="minorHAnsi"/>
          <w:b/>
          <w:bCs/>
          <w:iCs/>
          <w:sz w:val="20"/>
          <w:szCs w:val="20"/>
        </w:rPr>
      </w:pPr>
      <w:r w:rsidRPr="00B37D2A">
        <w:rPr>
          <w:rFonts w:asciiTheme="minorHAnsi" w:hAnsiTheme="minorHAnsi" w:cstheme="minorHAnsi"/>
          <w:b/>
          <w:bCs/>
          <w:iCs/>
          <w:sz w:val="20"/>
          <w:szCs w:val="20"/>
        </w:rPr>
        <w:t xml:space="preserve">Mediation analysis constrains epithelial repair to ≤11% of the growth benefit of microbiome-directed food </w:t>
      </w:r>
    </w:p>
    <w:p w:rsidR="00040C38" w:rsidRPr="00D97E5C" w:rsidRDefault="00B37D2A" w:rsidP="00B37D2A">
      <w:pPr>
        <w:spacing w:after="80"/>
        <w:rPr>
          <w:rFonts w:asciiTheme="minorHAnsi" w:hAnsiTheme="minorHAnsi" w:cstheme="minorHAnsi"/>
        </w:rPr>
      </w:pPr>
      <w:r w:rsidRPr="00B37D2A">
        <w:rPr>
          <w:rFonts w:asciiTheme="minorHAnsi" w:hAnsiTheme="minorHAnsi" w:cstheme="minorHAnsi"/>
          <w:sz w:val="20"/>
          <w:szCs w:val="20"/>
        </w:rPr>
        <w:t>Ogochukwu Ofordile</w:t>
      </w:r>
      <w:r>
        <w:rPr>
          <w:rFonts w:asciiTheme="minorHAnsi" w:hAnsiTheme="minorHAnsi" w:cstheme="minorHAnsi"/>
          <w:sz w:val="20"/>
          <w:szCs w:val="20"/>
        </w:rPr>
        <w:t xml:space="preserve"> </w:t>
      </w:r>
    </w:p>
    <w:p w:rsidR="00040C38" w:rsidRPr="00D97E5C" w:rsidRDefault="00D36294">
      <w:pPr>
        <w:spacing w:before="80" w:after="80"/>
        <w:rPr>
          <w:rFonts w:asciiTheme="minorHAnsi" w:hAnsiTheme="minorHAnsi" w:cstheme="minorHAnsi"/>
        </w:rPr>
      </w:pPr>
      <w:r>
        <w:rPr>
          <w:rFonts w:asciiTheme="minorHAnsi" w:hAnsiTheme="minorHAnsi" w:cstheme="minorHAnsi"/>
        </w:rPr>
        <w:t>This supplement provides three sections supporting the causal synthesis reported in the main manuscript. All numerical values appearing in the main text are traceable to a specific row of these tables. All β coefficients are either directly extracted from published tables or figures in the cited papers, or are explicitly labelled as proxy assumptions with full justification.</w:t>
      </w:r>
    </w:p>
    <w:p w:rsidR="00040C38" w:rsidRPr="00D97E5C" w:rsidRDefault="00040C38">
      <w:pPr>
        <w:spacing w:before="80"/>
        <w:rPr>
          <w:rFonts w:asciiTheme="minorHAnsi" w:hAnsiTheme="minorHAnsi" w:cstheme="minorHAnsi"/>
        </w:rPr>
      </w:pPr>
    </w:p>
    <w:p w:rsidR="00040C38" w:rsidRPr="00D97E5C" w:rsidRDefault="00D36294">
      <w:pPr>
        <w:spacing w:before="60" w:after="60"/>
        <w:rPr>
          <w:rFonts w:asciiTheme="minorHAnsi" w:hAnsiTheme="minorHAnsi" w:cstheme="minorHAnsi"/>
        </w:rPr>
      </w:pPr>
      <w:r>
        <w:rPr>
          <w:rFonts w:asciiTheme="minorHAnsi" w:hAnsiTheme="minorHAnsi" w:cstheme="minorHAnsi"/>
          <w:b/>
          <w:bCs/>
        </w:rPr>
        <w:t>Table S1</w:t>
      </w:r>
      <w:r>
        <w:rPr>
          <w:rFonts w:asciiTheme="minorHAnsi" w:hAnsiTheme="minorHAnsi" w:cstheme="minorHAnsi"/>
        </w:rPr>
        <w:t xml:space="preserve"> — MDCF-2 ingredient composition, digestibility coefficients, and energy budget arithmetic (§2.7, Results: Energy Budget Constraint)</w:t>
      </w:r>
    </w:p>
    <w:p w:rsidR="00040C38" w:rsidRPr="00D97E5C" w:rsidRDefault="00D36294">
      <w:pPr>
        <w:spacing w:before="60" w:after="60"/>
        <w:rPr>
          <w:rFonts w:asciiTheme="minorHAnsi" w:hAnsiTheme="minorHAnsi" w:cstheme="minorHAnsi"/>
        </w:rPr>
      </w:pPr>
      <w:r>
        <w:rPr>
          <w:rFonts w:asciiTheme="minorHAnsi" w:hAnsiTheme="minorHAnsi" w:cstheme="minorHAnsi"/>
          <w:b/>
          <w:bCs/>
        </w:rPr>
        <w:t>Table S2</w:t>
      </w:r>
      <w:r>
        <w:rPr>
          <w:rFonts w:asciiTheme="minorHAnsi" w:hAnsiTheme="minorHAnsi" w:cstheme="minorHAnsi"/>
        </w:rPr>
        <w:t xml:space="preserve"> — Data extraction details for path b, with evidence quality flags</w:t>
      </w:r>
    </w:p>
    <w:p w:rsidR="00040C38" w:rsidRPr="00D97E5C" w:rsidRDefault="00D36294">
      <w:pPr>
        <w:spacing w:before="60" w:after="60"/>
        <w:rPr>
          <w:rFonts w:asciiTheme="minorHAnsi" w:hAnsiTheme="minorHAnsi" w:cstheme="minorHAnsi"/>
        </w:rPr>
      </w:pPr>
      <w:r>
        <w:rPr>
          <w:rFonts w:asciiTheme="minorHAnsi" w:hAnsiTheme="minorHAnsi" w:cstheme="minorHAnsi"/>
          <w:b/>
          <w:bCs/>
        </w:rPr>
        <w:t>Table S3</w:t>
      </w:r>
      <w:r>
        <w:rPr>
          <w:rFonts w:asciiTheme="minorHAnsi" w:hAnsiTheme="minorHAnsi" w:cstheme="minorHAnsi"/>
        </w:rPr>
        <w:t xml:space="preserve"> — Transportability of path b estimates to the MDCF-2 MAM trial population, including WLZ-weighted sensitivity analysis</w:t>
      </w:r>
    </w:p>
    <w:p w:rsidR="00040C38" w:rsidRPr="00D97E5C" w:rsidRDefault="00D36294">
      <w:pPr>
        <w:rPr>
          <w:rFonts w:asciiTheme="minorHAnsi" w:hAnsiTheme="minorHAnsi" w:cstheme="minorHAnsi"/>
        </w:rPr>
      </w:pPr>
      <w:r>
        <w:rPr>
          <w:rFonts w:asciiTheme="minorHAnsi" w:hAnsiTheme="minorHAnsi" w:cstheme="minorHAnsi"/>
        </w:rPr>
        <w:br w:type="page"/>
      </w:r>
    </w:p>
    <w:p w:rsidR="00040C38" w:rsidRPr="00D97E5C" w:rsidRDefault="00D36294">
      <w:pPr>
        <w:pStyle w:val="Heading1"/>
        <w:spacing w:before="360" w:after="140"/>
        <w:rPr>
          <w:rFonts w:asciiTheme="minorHAnsi" w:hAnsiTheme="minorHAnsi" w:cstheme="minorHAnsi"/>
        </w:rPr>
      </w:pPr>
      <w:r>
        <w:rPr>
          <w:rFonts w:asciiTheme="minorHAnsi" w:hAnsiTheme="minorHAnsi" w:cstheme="minorHAnsi"/>
          <w:b/>
          <w:bCs/>
          <w:color w:val="1F4E79"/>
          <w:sz w:val="28"/>
          <w:szCs w:val="28"/>
        </w:rPr>
        <w:lastRenderedPageBreak/>
        <w:t>Supplementary Table S1. MDCF-2 Ingredient Composition, Digestibility Coefficients, and Energy Budget Arithmetic</w:t>
      </w:r>
    </w:p>
    <w:p w:rsidR="00040C38" w:rsidRPr="00D97E5C" w:rsidRDefault="00D36294">
      <w:pPr>
        <w:spacing w:before="80" w:after="80"/>
        <w:rPr>
          <w:rFonts w:asciiTheme="minorHAnsi" w:hAnsiTheme="minorHAnsi" w:cstheme="minorHAnsi"/>
        </w:rPr>
      </w:pPr>
      <w:r>
        <w:rPr>
          <w:rFonts w:asciiTheme="minorHAnsi" w:hAnsiTheme="minorHAnsi" w:cstheme="minorHAnsi"/>
        </w:rPr>
        <w:t xml:space="preserve">All energy budget parameters used in Methods §2.7 and Results (Energy Budget Constraint) are derived from the rows below. Daily dose assumption: 50–60 g/day MDCF-2 as reported in Chen et al. 2021 (NEJM 384:1517). Ingredient proportions: Hibberd et al. 2024 (Nature 625:157–165). Nutrient composition: USDA </w:t>
      </w:r>
      <w:proofErr w:type="spellStart"/>
      <w:r>
        <w:rPr>
          <w:rFonts w:asciiTheme="minorHAnsi" w:hAnsiTheme="minorHAnsi" w:cstheme="minorHAnsi"/>
        </w:rPr>
        <w:t>FoodData</w:t>
      </w:r>
      <w:proofErr w:type="spellEnd"/>
      <w:r>
        <w:rPr>
          <w:rFonts w:asciiTheme="minorHAnsi" w:hAnsiTheme="minorHAnsi" w:cstheme="minorHAnsi"/>
        </w:rPr>
        <w:t xml:space="preserve"> Central. Digestibility coefficients: Bergman 1990 (</w:t>
      </w:r>
      <w:proofErr w:type="spellStart"/>
      <w:r>
        <w:rPr>
          <w:rFonts w:asciiTheme="minorHAnsi" w:hAnsiTheme="minorHAnsi" w:cstheme="minorHAnsi"/>
        </w:rPr>
        <w:t>Physiol</w:t>
      </w:r>
      <w:proofErr w:type="spellEnd"/>
      <w:r>
        <w:rPr>
          <w:rFonts w:asciiTheme="minorHAnsi" w:hAnsiTheme="minorHAnsi" w:cstheme="minorHAnsi"/>
        </w:rPr>
        <w:t xml:space="preserve"> Rev 70:567–590) and Topping &amp; Clifton 2001 (</w:t>
      </w:r>
      <w:proofErr w:type="spellStart"/>
      <w:r>
        <w:rPr>
          <w:rFonts w:asciiTheme="minorHAnsi" w:hAnsiTheme="minorHAnsi" w:cstheme="minorHAnsi"/>
        </w:rPr>
        <w:t>Physiol</w:t>
      </w:r>
      <w:proofErr w:type="spellEnd"/>
      <w:r>
        <w:rPr>
          <w:rFonts w:asciiTheme="minorHAnsi" w:hAnsiTheme="minorHAnsi" w:cstheme="minorHAnsi"/>
        </w:rPr>
        <w:t xml:space="preserve"> Rev 81:1031–1064).</w:t>
      </w:r>
    </w:p>
    <w:p w:rsidR="00040C38" w:rsidRPr="00D97E5C" w:rsidRDefault="00040C38">
      <w:pPr>
        <w:spacing w:before="80"/>
        <w:rPr>
          <w:rFonts w:asciiTheme="minorHAnsi" w:hAnsiTheme="minorHAnsi" w:cstheme="minorHAnsi"/>
        </w:rPr>
      </w:pPr>
    </w:p>
    <w:p w:rsidR="00040C38" w:rsidRPr="00D97E5C" w:rsidRDefault="00D36294">
      <w:pPr>
        <w:pStyle w:val="Heading2"/>
        <w:spacing w:before="260" w:after="100"/>
        <w:rPr>
          <w:rFonts w:asciiTheme="minorHAnsi" w:hAnsiTheme="minorHAnsi" w:cstheme="minorHAnsi"/>
        </w:rPr>
      </w:pPr>
      <w:r>
        <w:rPr>
          <w:rFonts w:asciiTheme="minorHAnsi" w:hAnsiTheme="minorHAnsi" w:cstheme="minorHAnsi"/>
          <w:b/>
          <w:bCs/>
          <w:sz w:val="22"/>
          <w:szCs w:val="22"/>
        </w:rPr>
        <w:t>Table S1A. Ingredient Composition (per 50 g serving)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94"/>
        <w:gridCol w:w="763"/>
        <w:gridCol w:w="923"/>
        <w:gridCol w:w="624"/>
        <w:gridCol w:w="1462"/>
        <w:gridCol w:w="1633"/>
        <w:gridCol w:w="1088"/>
        <w:gridCol w:w="2011"/>
      </w:tblGrid>
      <w:tr w:rsidR="00040C38" w:rsidRPr="00D97E5C" w:rsidTr="00D36294">
        <w:trPr>
          <w:tblHeader/>
        </w:trPr>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Ingredient</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Blend %</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Protein (g)</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Fat (g)</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 xml:space="preserve">Total dietary </w:t>
            </w:r>
            <w:proofErr w:type="spellStart"/>
            <w:r>
              <w:rPr>
                <w:rFonts w:asciiTheme="minorHAnsi" w:hAnsiTheme="minorHAnsi" w:cstheme="minorHAnsi"/>
                <w:b/>
                <w:bCs/>
                <w:color w:val="1F4E79"/>
                <w:sz w:val="17"/>
                <w:szCs w:val="17"/>
              </w:rPr>
              <w:t>fiber</w:t>
            </w:r>
            <w:proofErr w:type="spellEnd"/>
            <w:r>
              <w:rPr>
                <w:rFonts w:asciiTheme="minorHAnsi" w:hAnsiTheme="minorHAnsi" w:cstheme="minorHAnsi"/>
                <w:b/>
                <w:bCs/>
                <w:color w:val="1F4E79"/>
                <w:sz w:val="17"/>
                <w:szCs w:val="17"/>
              </w:rPr>
              <w:t xml:space="preserve"> (g)</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 xml:space="preserve">Fermentable </w:t>
            </w:r>
            <w:proofErr w:type="spellStart"/>
            <w:r>
              <w:rPr>
                <w:rFonts w:asciiTheme="minorHAnsi" w:hAnsiTheme="minorHAnsi" w:cstheme="minorHAnsi"/>
                <w:b/>
                <w:bCs/>
                <w:color w:val="1F4E79"/>
                <w:sz w:val="17"/>
                <w:szCs w:val="17"/>
              </w:rPr>
              <w:t>fiber</w:t>
            </w:r>
            <w:proofErr w:type="spellEnd"/>
            <w:r>
              <w:rPr>
                <w:rFonts w:asciiTheme="minorHAnsi" w:hAnsiTheme="minorHAnsi" w:cstheme="minorHAnsi"/>
                <w:b/>
                <w:bCs/>
                <w:color w:val="1F4E79"/>
                <w:sz w:val="17"/>
                <w:szCs w:val="17"/>
              </w:rPr>
              <w:t xml:space="preserve"> (g)†</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Energy (kcal)‡</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Source</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i/>
                <w:iCs/>
                <w:sz w:val="16"/>
                <w:szCs w:val="16"/>
              </w:rPr>
              <w:t>Chickpea flour</w:t>
            </w:r>
            <w:r>
              <w:rPr>
                <w:rFonts w:asciiTheme="minorHAnsi" w:hAnsiTheme="minorHAnsi" w:cstheme="minorHAnsi"/>
                <w:sz w:val="16"/>
                <w:szCs w:val="16"/>
              </w:rPr>
              <w:t xml:space="preserve"> (</w:t>
            </w:r>
            <w:proofErr w:type="spellStart"/>
            <w:r>
              <w:rPr>
                <w:rFonts w:asciiTheme="minorHAnsi" w:hAnsiTheme="minorHAnsi" w:cstheme="minorHAnsi"/>
                <w:i/>
                <w:iCs/>
                <w:sz w:val="16"/>
                <w:szCs w:val="16"/>
              </w:rPr>
              <w:t>Cicer</w:t>
            </w:r>
            <w:proofErr w:type="spellEnd"/>
            <w:r>
              <w:rPr>
                <w:rFonts w:asciiTheme="minorHAnsi" w:hAnsiTheme="minorHAnsi" w:cstheme="minorHAnsi"/>
                <w:i/>
                <w:iCs/>
                <w:sz w:val="16"/>
                <w:szCs w:val="16"/>
              </w:rPr>
              <w:t xml:space="preserve"> arietinum</w:t>
            </w:r>
            <w:r>
              <w:rPr>
                <w:rFonts w:asciiTheme="minorHAnsi" w:hAnsiTheme="minorHAnsi" w:cstheme="minorHAnsi"/>
                <w:sz w:val="16"/>
                <w:szCs w:val="16"/>
              </w:rPr>
              <w:t>)</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45%</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4.6</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1.4</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3.9</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~0.6 (~15% of TDF)</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87</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USDA FDC #173756 Hibberd 2024</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i/>
                <w:iCs/>
                <w:sz w:val="16"/>
                <w:szCs w:val="16"/>
              </w:rPr>
              <w:t>Green banana flour</w:t>
            </w:r>
            <w:r>
              <w:rPr>
                <w:rFonts w:asciiTheme="minorHAnsi" w:hAnsiTheme="minorHAnsi" w:cstheme="minorHAnsi"/>
                <w:sz w:val="16"/>
                <w:szCs w:val="16"/>
              </w:rPr>
              <w:t xml:space="preserve"> (</w:t>
            </w:r>
            <w:r>
              <w:rPr>
                <w:rFonts w:asciiTheme="minorHAnsi" w:hAnsiTheme="minorHAnsi" w:cstheme="minorHAnsi"/>
                <w:i/>
                <w:iCs/>
                <w:sz w:val="16"/>
                <w:szCs w:val="16"/>
              </w:rPr>
              <w:t>Musa spp.</w:t>
            </w:r>
            <w:r>
              <w:rPr>
                <w:rFonts w:asciiTheme="minorHAnsi" w:hAnsiTheme="minorHAnsi" w:cstheme="minorHAnsi"/>
                <w:sz w:val="16"/>
                <w:szCs w:val="16"/>
              </w:rPr>
              <w:t>, unripe)</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30%</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0.6</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0.1</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2.2</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 xml:space="preserve">~0.6 (~25% </w:t>
            </w:r>
            <w:proofErr w:type="spellStart"/>
            <w:r>
              <w:rPr>
                <w:rFonts w:asciiTheme="minorHAnsi" w:hAnsiTheme="minorHAnsi" w:cstheme="minorHAnsi"/>
                <w:sz w:val="16"/>
                <w:szCs w:val="16"/>
              </w:rPr>
              <w:t>RS+fiber</w:t>
            </w:r>
            <w:proofErr w:type="spellEnd"/>
            <w:r>
              <w:rPr>
                <w:rFonts w:asciiTheme="minorHAnsi" w:hAnsiTheme="minorHAnsi" w:cstheme="minorHAnsi"/>
                <w:sz w:val="16"/>
                <w:szCs w:val="16"/>
              </w:rPr>
              <w:t>)</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51</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USDA FDC #168167 Hibberd 2024</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i/>
                <w:iCs/>
                <w:sz w:val="16"/>
                <w:szCs w:val="16"/>
              </w:rPr>
              <w:t>Soy flour</w:t>
            </w:r>
            <w:r>
              <w:rPr>
                <w:rFonts w:asciiTheme="minorHAnsi" w:hAnsiTheme="minorHAnsi" w:cstheme="minorHAnsi"/>
                <w:sz w:val="16"/>
                <w:szCs w:val="16"/>
              </w:rPr>
              <w:t>, defatted (</w:t>
            </w:r>
            <w:r>
              <w:rPr>
                <w:rFonts w:asciiTheme="minorHAnsi" w:hAnsiTheme="minorHAnsi" w:cstheme="minorHAnsi"/>
                <w:i/>
                <w:iCs/>
                <w:sz w:val="16"/>
                <w:szCs w:val="16"/>
              </w:rPr>
              <w:t>Glycine max</w:t>
            </w:r>
            <w:r>
              <w:rPr>
                <w:rFonts w:asciiTheme="minorHAnsi" w:hAnsiTheme="minorHAnsi" w:cstheme="minorHAnsi"/>
                <w:sz w:val="16"/>
                <w:szCs w:val="16"/>
              </w:rPr>
              <w:t>)</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15%</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3.5</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0.1</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1.3</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~0.2 (~15% of TDF)</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25</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USDA FDC #174253 Hibberd 2024</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i/>
                <w:iCs/>
                <w:sz w:val="16"/>
                <w:szCs w:val="16"/>
              </w:rPr>
              <w:t>Peanut flour</w:t>
            </w:r>
            <w:r>
              <w:rPr>
                <w:rFonts w:asciiTheme="minorHAnsi" w:hAnsiTheme="minorHAnsi" w:cstheme="minorHAnsi"/>
                <w:sz w:val="16"/>
                <w:szCs w:val="16"/>
              </w:rPr>
              <w:t xml:space="preserve"> (</w:t>
            </w:r>
            <w:proofErr w:type="spellStart"/>
            <w:r>
              <w:rPr>
                <w:rFonts w:asciiTheme="minorHAnsi" w:hAnsiTheme="minorHAnsi" w:cstheme="minorHAnsi"/>
                <w:i/>
                <w:iCs/>
                <w:sz w:val="16"/>
                <w:szCs w:val="16"/>
              </w:rPr>
              <w:t>Arachis</w:t>
            </w:r>
            <w:proofErr w:type="spellEnd"/>
            <w:r>
              <w:rPr>
                <w:rFonts w:asciiTheme="minorHAnsi" w:hAnsiTheme="minorHAnsi" w:cstheme="minorHAnsi"/>
                <w:i/>
                <w:iCs/>
                <w:sz w:val="16"/>
                <w:szCs w:val="16"/>
              </w:rPr>
              <w:t xml:space="preserve"> </w:t>
            </w:r>
            <w:proofErr w:type="spellStart"/>
            <w:r>
              <w:rPr>
                <w:rFonts w:asciiTheme="minorHAnsi" w:hAnsiTheme="minorHAnsi" w:cstheme="minorHAnsi"/>
                <w:i/>
                <w:iCs/>
                <w:sz w:val="16"/>
                <w:szCs w:val="16"/>
              </w:rPr>
              <w:t>hypogaea</w:t>
            </w:r>
            <w:proofErr w:type="spellEnd"/>
            <w:r>
              <w:rPr>
                <w:rFonts w:asciiTheme="minorHAnsi" w:hAnsiTheme="minorHAnsi" w:cstheme="minorHAnsi"/>
                <w:sz w:val="16"/>
                <w:szCs w:val="16"/>
              </w:rPr>
              <w:t>)</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10%</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2.6</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0.6</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0.4</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~0.1 (~10% of TDF)</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20</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USDA FDC #174263 Hibberd 2024</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b/>
                <w:bCs/>
                <w:sz w:val="16"/>
                <w:szCs w:val="16"/>
              </w:rPr>
              <w:t>TOTAL (per 50 g serving)</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b/>
                <w:bCs/>
                <w:sz w:val="16"/>
                <w:szCs w:val="16"/>
              </w:rPr>
              <w:t>100%</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b/>
                <w:bCs/>
                <w:sz w:val="16"/>
                <w:szCs w:val="16"/>
              </w:rPr>
              <w:t>11.3</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b/>
                <w:bCs/>
                <w:sz w:val="16"/>
                <w:szCs w:val="16"/>
              </w:rPr>
              <w:t>2.2</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b/>
                <w:bCs/>
                <w:sz w:val="16"/>
                <w:szCs w:val="16"/>
              </w:rPr>
              <w:t>7.8</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b/>
                <w:bCs/>
                <w:sz w:val="16"/>
                <w:szCs w:val="16"/>
              </w:rPr>
              <w:t>~1.5 g†</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b/>
                <w:bCs/>
                <w:sz w:val="16"/>
                <w:szCs w:val="16"/>
              </w:rPr>
              <w:t>183‡</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b/>
                <w:bCs/>
                <w:sz w:val="16"/>
                <w:szCs w:val="16"/>
              </w:rPr>
              <w:t>Calculated</w:t>
            </w:r>
          </w:p>
        </w:tc>
      </w:tr>
    </w:tbl>
    <w:p w:rsidR="00040C38" w:rsidRPr="00D97E5C" w:rsidRDefault="00040C38">
      <w:pPr>
        <w:spacing w:before="80"/>
        <w:rPr>
          <w:rFonts w:asciiTheme="minorHAnsi" w:hAnsiTheme="minorHAnsi" w:cstheme="minorHAnsi"/>
        </w:rPr>
      </w:pPr>
    </w:p>
    <w:p w:rsidR="00040C38" w:rsidRPr="00D97E5C" w:rsidRDefault="00D36294">
      <w:pPr>
        <w:spacing w:before="50" w:after="50"/>
        <w:rPr>
          <w:rFonts w:asciiTheme="minorHAnsi" w:hAnsiTheme="minorHAnsi" w:cstheme="minorHAnsi"/>
        </w:rPr>
      </w:pPr>
      <w:r>
        <w:rPr>
          <w:rFonts w:asciiTheme="minorHAnsi" w:hAnsiTheme="minorHAnsi" w:cstheme="minorHAnsi"/>
          <w:color w:val="555555"/>
          <w:sz w:val="15"/>
          <w:szCs w:val="15"/>
        </w:rPr>
        <w:t xml:space="preserve">† Fermentable </w:t>
      </w:r>
      <w:proofErr w:type="spellStart"/>
      <w:r>
        <w:rPr>
          <w:rFonts w:asciiTheme="minorHAnsi" w:hAnsiTheme="minorHAnsi" w:cstheme="minorHAnsi"/>
          <w:color w:val="555555"/>
          <w:sz w:val="15"/>
          <w:szCs w:val="15"/>
        </w:rPr>
        <w:t>fiber</w:t>
      </w:r>
      <w:proofErr w:type="spellEnd"/>
      <w:r>
        <w:rPr>
          <w:rFonts w:asciiTheme="minorHAnsi" w:hAnsiTheme="minorHAnsi" w:cstheme="minorHAnsi"/>
          <w:color w:val="555555"/>
          <w:sz w:val="15"/>
          <w:szCs w:val="15"/>
        </w:rPr>
        <w:t xml:space="preserve"> fraction: proportion of total dietary </w:t>
      </w:r>
      <w:proofErr w:type="spellStart"/>
      <w:r>
        <w:rPr>
          <w:rFonts w:asciiTheme="minorHAnsi" w:hAnsiTheme="minorHAnsi" w:cstheme="minorHAnsi"/>
          <w:color w:val="555555"/>
          <w:sz w:val="15"/>
          <w:szCs w:val="15"/>
        </w:rPr>
        <w:t>fiber</w:t>
      </w:r>
      <w:proofErr w:type="spellEnd"/>
      <w:r>
        <w:rPr>
          <w:rFonts w:asciiTheme="minorHAnsi" w:hAnsiTheme="minorHAnsi" w:cstheme="minorHAnsi"/>
          <w:color w:val="555555"/>
          <w:sz w:val="15"/>
          <w:szCs w:val="15"/>
        </w:rPr>
        <w:t xml:space="preserve"> (TDF) estimated to reach the large intestine in fermentable form under typical small-intestinal transit conditions. Values ≤10–25% of TDF per ingredient (varies by solubility and processing). Chickpea: ~15% fermentable (predominantly cellulose/hemicellulose). Green banana: ~25% fermentable (resistant starch RS2/RS3 in addition to cell-wall </w:t>
      </w:r>
      <w:proofErr w:type="spellStart"/>
      <w:r>
        <w:rPr>
          <w:rFonts w:asciiTheme="minorHAnsi" w:hAnsiTheme="minorHAnsi" w:cstheme="minorHAnsi"/>
          <w:color w:val="555555"/>
          <w:sz w:val="15"/>
          <w:szCs w:val="15"/>
        </w:rPr>
        <w:t>fiber</w:t>
      </w:r>
      <w:proofErr w:type="spellEnd"/>
      <w:r>
        <w:rPr>
          <w:rFonts w:asciiTheme="minorHAnsi" w:hAnsiTheme="minorHAnsi" w:cstheme="minorHAnsi"/>
          <w:color w:val="555555"/>
          <w:sz w:val="15"/>
          <w:szCs w:val="15"/>
        </w:rPr>
        <w:t xml:space="preserve">). Soy and peanut: ~10–15% fermentable (predominantly hull </w:t>
      </w:r>
      <w:proofErr w:type="spellStart"/>
      <w:r>
        <w:rPr>
          <w:rFonts w:asciiTheme="minorHAnsi" w:hAnsiTheme="minorHAnsi" w:cstheme="minorHAnsi"/>
          <w:color w:val="555555"/>
          <w:sz w:val="15"/>
          <w:szCs w:val="15"/>
        </w:rPr>
        <w:t>fiber</w:t>
      </w:r>
      <w:proofErr w:type="spellEnd"/>
      <w:r>
        <w:rPr>
          <w:rFonts w:asciiTheme="minorHAnsi" w:hAnsiTheme="minorHAnsi" w:cstheme="minorHAnsi"/>
          <w:color w:val="555555"/>
          <w:sz w:val="15"/>
          <w:szCs w:val="15"/>
        </w:rPr>
        <w:t xml:space="preserve">). Total fermentable </w:t>
      </w:r>
      <w:proofErr w:type="spellStart"/>
      <w:r>
        <w:rPr>
          <w:rFonts w:asciiTheme="minorHAnsi" w:hAnsiTheme="minorHAnsi" w:cstheme="minorHAnsi"/>
          <w:color w:val="555555"/>
          <w:sz w:val="15"/>
          <w:szCs w:val="15"/>
        </w:rPr>
        <w:t>fiber</w:t>
      </w:r>
      <w:proofErr w:type="spellEnd"/>
      <w:r>
        <w:rPr>
          <w:rFonts w:asciiTheme="minorHAnsi" w:hAnsiTheme="minorHAnsi" w:cstheme="minorHAnsi"/>
          <w:color w:val="555555"/>
          <w:sz w:val="15"/>
          <w:szCs w:val="15"/>
        </w:rPr>
        <w:t xml:space="preserve"> per 50 g serving: ~1.5 g (range 1.2–2.0 g depending on ripeness and processing). Reference: Topping &amp; Clifton 2001 </w:t>
      </w:r>
      <w:proofErr w:type="spellStart"/>
      <w:r>
        <w:rPr>
          <w:rFonts w:asciiTheme="minorHAnsi" w:hAnsiTheme="minorHAnsi" w:cstheme="minorHAnsi"/>
          <w:color w:val="555555"/>
          <w:sz w:val="15"/>
          <w:szCs w:val="15"/>
        </w:rPr>
        <w:t>Physiol</w:t>
      </w:r>
      <w:proofErr w:type="spellEnd"/>
      <w:r>
        <w:rPr>
          <w:rFonts w:asciiTheme="minorHAnsi" w:hAnsiTheme="minorHAnsi" w:cstheme="minorHAnsi"/>
          <w:color w:val="555555"/>
          <w:sz w:val="15"/>
          <w:szCs w:val="15"/>
        </w:rPr>
        <w:t xml:space="preserve"> Rev 81:1031.</w:t>
      </w:r>
    </w:p>
    <w:p w:rsidR="00040C38" w:rsidRPr="00D97E5C" w:rsidRDefault="00D36294">
      <w:pPr>
        <w:spacing w:before="50" w:after="50"/>
        <w:rPr>
          <w:rFonts w:asciiTheme="minorHAnsi" w:hAnsiTheme="minorHAnsi" w:cstheme="minorHAnsi"/>
        </w:rPr>
      </w:pPr>
      <w:r>
        <w:rPr>
          <w:rFonts w:asciiTheme="minorHAnsi" w:hAnsiTheme="minorHAnsi" w:cstheme="minorHAnsi"/>
          <w:color w:val="555555"/>
          <w:sz w:val="15"/>
          <w:szCs w:val="15"/>
        </w:rPr>
        <w:t xml:space="preserve">‡ Energy values calculated using modified Atwater factors: protein 4 kcal/g, fat 9 kcal/g, digestible carbohydrate 4 kcal/g, dietary </w:t>
      </w:r>
      <w:proofErr w:type="spellStart"/>
      <w:r>
        <w:rPr>
          <w:rFonts w:asciiTheme="minorHAnsi" w:hAnsiTheme="minorHAnsi" w:cstheme="minorHAnsi"/>
          <w:color w:val="555555"/>
          <w:sz w:val="15"/>
          <w:szCs w:val="15"/>
        </w:rPr>
        <w:t>fiber</w:t>
      </w:r>
      <w:proofErr w:type="spellEnd"/>
      <w:r>
        <w:rPr>
          <w:rFonts w:asciiTheme="minorHAnsi" w:hAnsiTheme="minorHAnsi" w:cstheme="minorHAnsi"/>
          <w:color w:val="555555"/>
          <w:sz w:val="15"/>
          <w:szCs w:val="15"/>
        </w:rPr>
        <w:t xml:space="preserve"> 2 kcal/g (partial colonic contribution). Total for 50 g serving ≈ 183 kcal, consistent with MDCF-2 at 408 kcal/100 g. RUSF = 494 kcal/100 g (Chen 2021).</w:t>
      </w:r>
    </w:p>
    <w:p w:rsidR="00040C38" w:rsidRPr="00D97E5C" w:rsidRDefault="00040C38">
      <w:pPr>
        <w:spacing w:before="80"/>
        <w:rPr>
          <w:rFonts w:asciiTheme="minorHAnsi" w:hAnsiTheme="minorHAnsi" w:cstheme="minorHAnsi"/>
        </w:rPr>
      </w:pPr>
    </w:p>
    <w:p w:rsidR="00040C38" w:rsidRPr="00D97E5C" w:rsidRDefault="00040C38">
      <w:pPr>
        <w:spacing w:before="80"/>
        <w:rPr>
          <w:rFonts w:asciiTheme="minorHAnsi" w:hAnsiTheme="minorHAnsi" w:cstheme="minorHAnsi"/>
        </w:rPr>
      </w:pPr>
    </w:p>
    <w:p w:rsidR="00040C38" w:rsidRPr="00D97E5C" w:rsidRDefault="00D36294">
      <w:pPr>
        <w:pStyle w:val="Heading2"/>
        <w:spacing w:before="260" w:after="100"/>
        <w:rPr>
          <w:rFonts w:asciiTheme="minorHAnsi" w:hAnsiTheme="minorHAnsi" w:cstheme="minorHAnsi"/>
        </w:rPr>
      </w:pPr>
      <w:r>
        <w:rPr>
          <w:rFonts w:asciiTheme="minorHAnsi" w:hAnsiTheme="minorHAnsi" w:cstheme="minorHAnsi"/>
          <w:b/>
          <w:bCs/>
          <w:sz w:val="22"/>
          <w:szCs w:val="22"/>
        </w:rPr>
        <w:t xml:space="preserve">Table S1B. Digestibility Coefficients for MDCF-2 Macronutrient and </w:t>
      </w:r>
      <w:proofErr w:type="spellStart"/>
      <w:r>
        <w:rPr>
          <w:rFonts w:asciiTheme="minorHAnsi" w:hAnsiTheme="minorHAnsi" w:cstheme="minorHAnsi"/>
          <w:b/>
          <w:bCs/>
          <w:sz w:val="22"/>
          <w:szCs w:val="22"/>
        </w:rPr>
        <w:t>Fiber</w:t>
      </w:r>
      <w:proofErr w:type="spellEnd"/>
      <w:r>
        <w:rPr>
          <w:rFonts w:asciiTheme="minorHAnsi" w:hAnsiTheme="minorHAnsi" w:cstheme="minorHAnsi"/>
          <w:b/>
          <w:bCs/>
          <w:sz w:val="22"/>
          <w:szCs w:val="22"/>
        </w:rPr>
        <w:t xml:space="preserve"> Fractions</w:t>
      </w:r>
    </w:p>
    <w:p w:rsidR="00040C38" w:rsidRPr="00D97E5C" w:rsidRDefault="00D36294">
      <w:pPr>
        <w:spacing w:before="80" w:after="80"/>
        <w:rPr>
          <w:rFonts w:asciiTheme="minorHAnsi" w:hAnsiTheme="minorHAnsi" w:cstheme="minorHAnsi"/>
        </w:rPr>
      </w:pPr>
      <w:r>
        <w:rPr>
          <w:rFonts w:asciiTheme="minorHAnsi" w:hAnsiTheme="minorHAnsi" w:cstheme="minorHAnsi"/>
        </w:rPr>
        <w:t xml:space="preserve">Critical asymmetry: small-intestinal (SI) macronutrient absorption is ~95% efficient, while large-intestinal (LI) SCFA recovery from </w:t>
      </w:r>
      <w:proofErr w:type="spellStart"/>
      <w:r>
        <w:rPr>
          <w:rFonts w:asciiTheme="minorHAnsi" w:hAnsiTheme="minorHAnsi" w:cstheme="minorHAnsi"/>
        </w:rPr>
        <w:t>fiber</w:t>
      </w:r>
      <w:proofErr w:type="spellEnd"/>
      <w:r>
        <w:rPr>
          <w:rFonts w:asciiTheme="minorHAnsi" w:hAnsiTheme="minorHAnsi" w:cstheme="minorHAnsi"/>
        </w:rPr>
        <w:t xml:space="preserve"> fermentation yields only ~10–15% net host-available energy per gram substrate entering the colon. The high </w:t>
      </w:r>
      <w:proofErr w:type="spellStart"/>
      <w:r>
        <w:rPr>
          <w:rFonts w:asciiTheme="minorHAnsi" w:hAnsiTheme="minorHAnsi" w:cstheme="minorHAnsi"/>
        </w:rPr>
        <w:t>colonocyte</w:t>
      </w:r>
      <w:proofErr w:type="spellEnd"/>
      <w:r>
        <w:rPr>
          <w:rFonts w:asciiTheme="minorHAnsi" w:hAnsiTheme="minorHAnsi" w:cstheme="minorHAnsi"/>
        </w:rPr>
        <w:t xml:space="preserve"> SCFA absorption figure (~90–95%; Bergman 1990) applies to SCFAs already generated and does not override the substrate ceiling set by the limited fermentable </w:t>
      </w:r>
      <w:proofErr w:type="spellStart"/>
      <w:r>
        <w:rPr>
          <w:rFonts w:asciiTheme="minorHAnsi" w:hAnsiTheme="minorHAnsi" w:cstheme="minorHAnsi"/>
        </w:rPr>
        <w:t>fiber</w:t>
      </w:r>
      <w:proofErr w:type="spellEnd"/>
      <w:r>
        <w:rPr>
          <w:rFonts w:asciiTheme="minorHAnsi" w:hAnsiTheme="minorHAnsi" w:cstheme="minorHAnsi"/>
        </w:rPr>
        <w:t xml:space="preserve"> fraction (~1.5 g/serving). SCFA = short-chain fatty acids (acetate, propionate, butyrate).</w:t>
      </w:r>
    </w:p>
    <w:p w:rsidR="00040C38" w:rsidRPr="00D97E5C" w:rsidRDefault="00040C38">
      <w:pPr>
        <w:spacing w:before="8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48"/>
        <w:gridCol w:w="1515"/>
        <w:gridCol w:w="2663"/>
        <w:gridCol w:w="1757"/>
        <w:gridCol w:w="2015"/>
      </w:tblGrid>
      <w:tr w:rsidR="00040C38" w:rsidRPr="00D97E5C" w:rsidTr="00D36294">
        <w:trPr>
          <w:tblHeader/>
        </w:trPr>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Substrate / fraction</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Primary absorption site</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Absorption / fermentation efficiency</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Energy yield</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Reference</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Protein (mixed legume)</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Small intestine (SI)</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~92–95%</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4.0 kcal/g</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FAO/WHO 1991; Atwater coefficients</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Fat (mixed)</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Small intestine (SI)</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~95–98%</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9.0 kcal/g</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Atwater coefficients</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Digestible starch/sugars</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Small intestine (SI)</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~95–98%</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4.0 kcal/g</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Topping &amp; Clifton 2001; Atwater</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Resistant starch (green banana, RS2/RS3 predominant)</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Large intestine (LI)</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~50–70% fermentation efficiency of substrate entering colon</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~1.5–2.0 kcal/g substrate fermented</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Topping &amp; Clifton 2001 </w:t>
            </w:r>
            <w:proofErr w:type="spellStart"/>
            <w:r>
              <w:rPr>
                <w:rFonts w:asciiTheme="minorHAnsi" w:hAnsiTheme="minorHAnsi" w:cstheme="minorHAnsi"/>
                <w:sz w:val="16"/>
                <w:szCs w:val="16"/>
              </w:rPr>
              <w:t>Physiol</w:t>
            </w:r>
            <w:proofErr w:type="spellEnd"/>
            <w:r>
              <w:rPr>
                <w:rFonts w:asciiTheme="minorHAnsi" w:hAnsiTheme="minorHAnsi" w:cstheme="minorHAnsi"/>
                <w:sz w:val="16"/>
                <w:szCs w:val="16"/>
              </w:rPr>
              <w:t xml:space="preserve"> Rev 81:1031</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Non-starch polysaccharides (chickpea, soy, peanut cell-wall </w:t>
            </w:r>
            <w:proofErr w:type="spellStart"/>
            <w:r>
              <w:rPr>
                <w:rFonts w:asciiTheme="minorHAnsi" w:hAnsiTheme="minorHAnsi" w:cstheme="minorHAnsi"/>
                <w:sz w:val="16"/>
                <w:szCs w:val="16"/>
              </w:rPr>
              <w:t>fiber</w:t>
            </w:r>
            <w:proofErr w:type="spellEnd"/>
            <w:r>
              <w:rPr>
                <w:rFonts w:asciiTheme="minorHAnsi" w:hAnsiTheme="minorHAnsi" w:cstheme="minorHAnsi"/>
                <w:sz w:val="16"/>
                <w:szCs w:val="16"/>
              </w:rPr>
              <w:t>)</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Large intestine (LI)</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~30–50% fermentation efficiency of substrate entering colon</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~1.5–2.0 kcal/g substrate fermented</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Topping &amp; Clifton 2001</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SCFAs (post-fermentation) </w:t>
            </w:r>
            <w:proofErr w:type="spellStart"/>
            <w:r>
              <w:rPr>
                <w:rFonts w:asciiTheme="minorHAnsi" w:hAnsiTheme="minorHAnsi" w:cstheme="minorHAnsi"/>
                <w:sz w:val="16"/>
                <w:szCs w:val="16"/>
              </w:rPr>
              <w:t>Colonocyte</w:t>
            </w:r>
            <w:proofErr w:type="spellEnd"/>
            <w:r>
              <w:rPr>
                <w:rFonts w:asciiTheme="minorHAnsi" w:hAnsiTheme="minorHAnsi" w:cstheme="minorHAnsi"/>
                <w:sz w:val="16"/>
                <w:szCs w:val="16"/>
              </w:rPr>
              <w:t xml:space="preserve"> mucosal absorption</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proofErr w:type="spellStart"/>
            <w:r>
              <w:rPr>
                <w:rFonts w:asciiTheme="minorHAnsi" w:hAnsiTheme="minorHAnsi" w:cstheme="minorHAnsi"/>
                <w:sz w:val="16"/>
                <w:szCs w:val="16"/>
              </w:rPr>
              <w:t>Colonocyte</w:t>
            </w:r>
            <w:proofErr w:type="spellEnd"/>
            <w:r>
              <w:rPr>
                <w:rFonts w:asciiTheme="minorHAnsi" w:hAnsiTheme="minorHAnsi" w:cstheme="minorHAnsi"/>
                <w:sz w:val="16"/>
                <w:szCs w:val="16"/>
              </w:rPr>
              <w:t xml:space="preserve"> (large intestine)</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 xml:space="preserve">~90–95% of generated SCFAs absorbed by </w:t>
            </w:r>
            <w:proofErr w:type="spellStart"/>
            <w:r>
              <w:rPr>
                <w:rFonts w:asciiTheme="minorHAnsi" w:hAnsiTheme="minorHAnsi" w:cstheme="minorHAnsi"/>
                <w:sz w:val="16"/>
                <w:szCs w:val="16"/>
              </w:rPr>
              <w:t>colonocytes</w:t>
            </w:r>
            <w:proofErr w:type="spellEnd"/>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~3.4 kcal/g SCFA absorbed</w:t>
            </w:r>
          </w:p>
        </w:tc>
        <w:tc>
          <w:tcPr>
            <w:tcW w:w="0" w:type="auto"/>
            <w:tcBorders>
              <w:top w:val="single" w:sz="1" w:space="0" w:color="AAAAAA"/>
              <w:left w:val="single" w:sz="1" w:space="0" w:color="AAAAAA"/>
              <w:bottom w:val="single" w:sz="1" w:space="0" w:color="AAAAAA"/>
              <w:right w:val="single" w:sz="1" w:space="0" w:color="AAAAAA"/>
            </w:tcBorders>
            <w:shd w:val="clear" w:color="auto" w:fill="EBF5FB"/>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Bergman 1990 </w:t>
            </w:r>
            <w:proofErr w:type="spellStart"/>
            <w:r>
              <w:rPr>
                <w:rFonts w:asciiTheme="minorHAnsi" w:hAnsiTheme="minorHAnsi" w:cstheme="minorHAnsi"/>
                <w:sz w:val="16"/>
                <w:szCs w:val="16"/>
              </w:rPr>
              <w:t>Physiol</w:t>
            </w:r>
            <w:proofErr w:type="spellEnd"/>
            <w:r>
              <w:rPr>
                <w:rFonts w:asciiTheme="minorHAnsi" w:hAnsiTheme="minorHAnsi" w:cstheme="minorHAnsi"/>
                <w:sz w:val="16"/>
                <w:szCs w:val="16"/>
              </w:rPr>
              <w:t xml:space="preserve"> Rev 70:567</w:t>
            </w:r>
          </w:p>
        </w:tc>
      </w:tr>
    </w:tbl>
    <w:p w:rsidR="00040C38" w:rsidRPr="00D97E5C" w:rsidRDefault="00040C38">
      <w:pPr>
        <w:spacing w:before="80"/>
        <w:rPr>
          <w:rFonts w:asciiTheme="minorHAnsi" w:hAnsiTheme="minorHAnsi" w:cstheme="minorHAnsi"/>
        </w:rPr>
      </w:pPr>
    </w:p>
    <w:p w:rsidR="00040C38" w:rsidRPr="00D97E5C" w:rsidRDefault="00040C38">
      <w:pPr>
        <w:spacing w:before="80"/>
        <w:rPr>
          <w:rFonts w:asciiTheme="minorHAnsi" w:hAnsiTheme="minorHAnsi" w:cstheme="minorHAnsi"/>
        </w:rPr>
      </w:pPr>
    </w:p>
    <w:p w:rsidR="00040C38" w:rsidRPr="00D97E5C" w:rsidRDefault="00D36294">
      <w:pPr>
        <w:pStyle w:val="Heading2"/>
        <w:spacing w:before="260" w:after="100"/>
        <w:rPr>
          <w:rFonts w:asciiTheme="minorHAnsi" w:hAnsiTheme="minorHAnsi" w:cstheme="minorHAnsi"/>
        </w:rPr>
      </w:pPr>
      <w:r>
        <w:rPr>
          <w:rFonts w:asciiTheme="minorHAnsi" w:hAnsiTheme="minorHAnsi" w:cstheme="minorHAnsi"/>
          <w:b/>
          <w:bCs/>
          <w:sz w:val="22"/>
          <w:szCs w:val="22"/>
        </w:rPr>
        <w:lastRenderedPageBreak/>
        <w:t>Table S1C. Energy Budget Arithmetic: Full Parameter Derivation</w:t>
      </w:r>
    </w:p>
    <w:p w:rsidR="00040C38" w:rsidRPr="00D97E5C" w:rsidRDefault="00D36294">
      <w:pPr>
        <w:spacing w:before="80" w:after="80"/>
        <w:rPr>
          <w:rFonts w:asciiTheme="minorHAnsi" w:hAnsiTheme="minorHAnsi" w:cstheme="minorHAnsi"/>
        </w:rPr>
      </w:pPr>
      <w:r>
        <w:rPr>
          <w:rFonts w:asciiTheme="minorHAnsi" w:hAnsiTheme="minorHAnsi" w:cstheme="minorHAnsi"/>
        </w:rPr>
        <w:t>Two residual scenarios: (1) Conservative ceiling — granting the full gross fermentation yield as MAH credit (~50 kcal/day); residual = ~0 kcal/day (generous MAH closes gap) (amber rows). (2) Rigorous — applying 10–15% LI net absorption efficiency; residual = ~35–38 kcal/day. The 2.6–3.2 episodes/year is a derived threshold (episodes to avert per year to close the residual caloric gap); the main text reports 3–5 episodes/year as the typical LMIC burden, confirming MSH is arithmetically plausible. Diarrhoeal energy costs are tabulated in two rows (green shading): community-typical (~600 kcal/episode) and MAM-specific (~1,050 kcal/episode), with corresponding episode thresholds.</w:t>
      </w:r>
    </w:p>
    <w:p w:rsidR="00040C38" w:rsidRPr="00D97E5C" w:rsidRDefault="00040C38">
      <w:pPr>
        <w:spacing w:before="8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9"/>
        <w:gridCol w:w="1503"/>
        <w:gridCol w:w="5233"/>
        <w:gridCol w:w="2493"/>
      </w:tblGrid>
      <w:tr w:rsidR="00040C38" w:rsidRPr="00D97E5C" w:rsidTr="00D36294">
        <w:trPr>
          <w:tblHeader/>
        </w:trPr>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Parameter</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Value</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Derivation / basis</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Reference</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RUSF energy density</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494 kcal/100 g</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Reported from ingredient label</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Chen et al. 2021 NEJM 384:1517</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MDCF-2 energy density</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408 kcal/100 g</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Reported from ingredient label</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Chen et al. 2021 NEJM 384:1517</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Daily dose (both arms)</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50–60 g/day</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Measured consumption in RCT; used as denominator for all per-day calculations throughout this analysis</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Chen et al. 2021 NEJM 384:1517; Methods §2.7</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Caloric gap (RUSF − MDCF-2)</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~43 kcal/day</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6719B1" w:rsidRDefault="00D36294" w:rsidP="006719B1">
            <w:pPr>
              <w:rPr>
                <w:rFonts w:asciiTheme="minorHAnsi" w:hAnsiTheme="minorHAnsi" w:cstheme="minorHAnsi"/>
                <w:sz w:val="16"/>
                <w:szCs w:val="16"/>
              </w:rPr>
            </w:pPr>
            <w:r>
              <w:rPr>
                <w:rFonts w:asciiTheme="minorHAnsi" w:hAnsiTheme="minorHAnsi" w:cstheme="minorHAnsi"/>
                <w:sz w:val="16"/>
                <w:szCs w:val="16"/>
              </w:rPr>
              <w:t>494 − 408 = 86 kcal/100g; 86 × 0.50 (50g/day dose ÷ 100g reference) = 43 kcal/day. Dose basis: 50g/day as reported in Chen et al. 2021 (NEJM 384:1517).</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Derived</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Fermentable </w:t>
            </w:r>
            <w:proofErr w:type="spellStart"/>
            <w:r>
              <w:rPr>
                <w:rFonts w:asciiTheme="minorHAnsi" w:hAnsiTheme="minorHAnsi" w:cstheme="minorHAnsi"/>
                <w:sz w:val="16"/>
                <w:szCs w:val="16"/>
              </w:rPr>
              <w:t>fiber</w:t>
            </w:r>
            <w:proofErr w:type="spellEnd"/>
            <w:r>
              <w:rPr>
                <w:rFonts w:asciiTheme="minorHAnsi" w:hAnsiTheme="minorHAnsi" w:cstheme="minorHAnsi"/>
                <w:sz w:val="16"/>
                <w:szCs w:val="16"/>
              </w:rPr>
              <w:t xml:space="preserve"> entering colon</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~6–10 g/day (~1.5 g per 50 g serving × 2 servings)</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≤10–25% of TDF (7.8 g/50 g serving) reaches large intestine in fermentable form; per-ingredient </w:t>
            </w:r>
            <w:proofErr w:type="spellStart"/>
            <w:r>
              <w:rPr>
                <w:rFonts w:asciiTheme="minorHAnsi" w:hAnsiTheme="minorHAnsi" w:cstheme="minorHAnsi"/>
                <w:sz w:val="16"/>
                <w:szCs w:val="16"/>
              </w:rPr>
              <w:t>fermentability</w:t>
            </w:r>
            <w:proofErr w:type="spellEnd"/>
            <w:r>
              <w:rPr>
                <w:rFonts w:asciiTheme="minorHAnsi" w:hAnsiTheme="minorHAnsi" w:cstheme="minorHAnsi"/>
                <w:sz w:val="16"/>
                <w:szCs w:val="16"/>
              </w:rPr>
              <w:t xml:space="preserve"> varies (see Table S1A†). Total per day at 50–60 g intake: ~1.5–2.0 g/serving.</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Topping &amp; Clifton 2001 </w:t>
            </w:r>
            <w:proofErr w:type="spellStart"/>
            <w:r>
              <w:rPr>
                <w:rFonts w:asciiTheme="minorHAnsi" w:hAnsiTheme="minorHAnsi" w:cstheme="minorHAnsi"/>
                <w:sz w:val="16"/>
                <w:szCs w:val="16"/>
              </w:rPr>
              <w:t>Physiol</w:t>
            </w:r>
            <w:proofErr w:type="spellEnd"/>
            <w:r>
              <w:rPr>
                <w:rFonts w:asciiTheme="minorHAnsi" w:hAnsiTheme="minorHAnsi" w:cstheme="minorHAnsi"/>
                <w:sz w:val="16"/>
                <w:szCs w:val="16"/>
              </w:rPr>
              <w:t xml:space="preserve"> Rev 81:1031; Bergman 1990 </w:t>
            </w:r>
            <w:proofErr w:type="spellStart"/>
            <w:r>
              <w:rPr>
                <w:rFonts w:asciiTheme="minorHAnsi" w:hAnsiTheme="minorHAnsi" w:cstheme="minorHAnsi"/>
                <w:sz w:val="16"/>
                <w:szCs w:val="16"/>
              </w:rPr>
              <w:t>Physiol</w:t>
            </w:r>
            <w:proofErr w:type="spellEnd"/>
            <w:r>
              <w:rPr>
                <w:rFonts w:asciiTheme="minorHAnsi" w:hAnsiTheme="minorHAnsi" w:cstheme="minorHAnsi"/>
                <w:sz w:val="16"/>
                <w:szCs w:val="16"/>
              </w:rPr>
              <w:t xml:space="preserve"> Rev 70:567</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Gross SCFA fermentation yield (generous MAH upper bound)</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~50 kcal/day</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~2 kcal/g substrate × ~6–10 g fermentable </w:t>
            </w:r>
            <w:proofErr w:type="spellStart"/>
            <w:r>
              <w:rPr>
                <w:rFonts w:asciiTheme="minorHAnsi" w:hAnsiTheme="minorHAnsi" w:cstheme="minorHAnsi"/>
                <w:sz w:val="16"/>
                <w:szCs w:val="16"/>
              </w:rPr>
              <w:t>fiber</w:t>
            </w:r>
            <w:proofErr w:type="spellEnd"/>
            <w:r>
              <w:rPr>
                <w:rFonts w:asciiTheme="minorHAnsi" w:hAnsiTheme="minorHAnsi" w:cstheme="minorHAnsi"/>
                <w:sz w:val="16"/>
                <w:szCs w:val="16"/>
              </w:rPr>
              <w:t xml:space="preserve"> × ~90–95% </w:t>
            </w:r>
            <w:proofErr w:type="spellStart"/>
            <w:r>
              <w:rPr>
                <w:rFonts w:asciiTheme="minorHAnsi" w:hAnsiTheme="minorHAnsi" w:cstheme="minorHAnsi"/>
                <w:sz w:val="16"/>
                <w:szCs w:val="16"/>
              </w:rPr>
              <w:t>colonocyte</w:t>
            </w:r>
            <w:proofErr w:type="spellEnd"/>
            <w:r>
              <w:rPr>
                <w:rFonts w:asciiTheme="minorHAnsi" w:hAnsiTheme="minorHAnsi" w:cstheme="minorHAnsi"/>
                <w:sz w:val="16"/>
                <w:szCs w:val="16"/>
              </w:rPr>
              <w:t xml:space="preserve"> SCFA absorption. This is an upper ceiling granting maximal credit to MAH; actual host-available energy depends on substrate entering colon.</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Bergman 1990; Topping 2001; arithmetic</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Effective MAH credit (substrate-limited ceiling)</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≤~6 kcal/day (substrate-limited ceiling)</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Substrate-limited upper bound: ~1.5 g fermentable fibre/serving reaches the colon; at ~2 kcal/g substrate and ~90–95% </w:t>
            </w:r>
            <w:proofErr w:type="spellStart"/>
            <w:r>
              <w:rPr>
                <w:rFonts w:asciiTheme="minorHAnsi" w:hAnsiTheme="minorHAnsi" w:cstheme="minorHAnsi"/>
                <w:sz w:val="16"/>
                <w:szCs w:val="16"/>
              </w:rPr>
              <w:t>colonocyte</w:t>
            </w:r>
            <w:proofErr w:type="spellEnd"/>
            <w:r>
              <w:rPr>
                <w:rFonts w:asciiTheme="minorHAnsi" w:hAnsiTheme="minorHAnsi" w:cstheme="minorHAnsi"/>
                <w:sz w:val="16"/>
                <w:szCs w:val="16"/>
              </w:rPr>
              <w:t xml:space="preserve"> SCFA absorption, gross yield ≤~6 kcal/day under maximal assumptions. The binding constraint is substrate quantity entering the colon, not absorption efficiency. This figure is an upper bound; operative yield under typical conditions is lower (~3–4 kcal/day). LI absorption is inherently less efficient than SI (~95%) macronutrient absorption.</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Bergman 1990; arithmetic</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Residual caloric gap (conservative: full gross MAH granted)</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 kcal/day (generous MAH closes gap)</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43 − 50 ≈ 0 kcal/day (generous MAH closes gap). Even granting the entire gross fermentation yield as MAH credit, MSH must account for this gap.</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Derived; conservative baseline for episode calculation</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Residual caloric gap (rigorous: effective MAH only)</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~35–38 kcal/day</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43 − ≤6 = ≥37 kcal/day. The rigorous estimate uses the substrate-limited ceiling (not gross fermentation yield) as the effective host-available MAH credit.</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Derived; rigorous estimate</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REE per 10 kg child</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~500 kcal/day</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Standard estimate for well-nourished 10 kg toddler at rest</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Harris–Benedict; Schofield equations</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Energy cost, febrile episode (</w:t>
            </w:r>
            <w:proofErr w:type="spellStart"/>
            <w:r>
              <w:rPr>
                <w:rFonts w:asciiTheme="minorHAnsi" w:hAnsiTheme="minorHAnsi" w:cstheme="minorHAnsi"/>
                <w:sz w:val="16"/>
                <w:szCs w:val="16"/>
              </w:rPr>
              <w:t>Stettler</w:t>
            </w:r>
            <w:proofErr w:type="spellEnd"/>
            <w:r>
              <w:rPr>
                <w:rFonts w:asciiTheme="minorHAnsi" w:hAnsiTheme="minorHAnsi" w:cstheme="minorHAnsi"/>
                <w:sz w:val="16"/>
                <w:szCs w:val="16"/>
              </w:rPr>
              <w:t xml:space="preserve"> 1992: +30% REE)</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450 kcal/episode</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+30% × 500 kcal/day × 3-day episode. Study: </w:t>
            </w:r>
            <w:r>
              <w:rPr>
                <w:rFonts w:asciiTheme="minorHAnsi" w:hAnsiTheme="minorHAnsi" w:cstheme="minorHAnsi"/>
                <w:i/>
                <w:iCs/>
                <w:sz w:val="16"/>
                <w:szCs w:val="16"/>
              </w:rPr>
              <w:t>n</w:t>
            </w:r>
            <w:r>
              <w:rPr>
                <w:rFonts w:asciiTheme="minorHAnsi" w:hAnsiTheme="minorHAnsi" w:cstheme="minorHAnsi"/>
                <w:sz w:val="16"/>
                <w:szCs w:val="16"/>
              </w:rPr>
              <w:t>=19 Gambian children with acute malaria; REE measured 30% above post-treatment baseline.</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proofErr w:type="spellStart"/>
            <w:r>
              <w:rPr>
                <w:rFonts w:asciiTheme="minorHAnsi" w:hAnsiTheme="minorHAnsi" w:cstheme="minorHAnsi"/>
                <w:sz w:val="16"/>
                <w:szCs w:val="16"/>
              </w:rPr>
              <w:t>Stettler</w:t>
            </w:r>
            <w:proofErr w:type="spellEnd"/>
            <w:r>
              <w:rPr>
                <w:rFonts w:asciiTheme="minorHAnsi" w:hAnsiTheme="minorHAnsi" w:cstheme="minorHAnsi"/>
                <w:sz w:val="16"/>
                <w:szCs w:val="16"/>
              </w:rPr>
              <w:t xml:space="preserve"> N et al. </w:t>
            </w:r>
            <w:proofErr w:type="spellStart"/>
            <w:r>
              <w:rPr>
                <w:rFonts w:asciiTheme="minorHAnsi" w:hAnsiTheme="minorHAnsi" w:cstheme="minorHAnsi"/>
                <w:sz w:val="16"/>
                <w:szCs w:val="16"/>
              </w:rPr>
              <w:t>Pediatr</w:t>
            </w:r>
            <w:proofErr w:type="spellEnd"/>
            <w:r>
              <w:rPr>
                <w:rFonts w:asciiTheme="minorHAnsi" w:hAnsiTheme="minorHAnsi" w:cstheme="minorHAnsi"/>
                <w:sz w:val="16"/>
                <w:szCs w:val="16"/>
              </w:rPr>
              <w:t xml:space="preserve"> Res 1992;31(2):102–106 PMID:1542535</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Energy cost, febrile episode (</w:t>
            </w:r>
            <w:proofErr w:type="spellStart"/>
            <w:r>
              <w:rPr>
                <w:rFonts w:asciiTheme="minorHAnsi" w:hAnsiTheme="minorHAnsi" w:cstheme="minorHAnsi"/>
                <w:sz w:val="16"/>
                <w:szCs w:val="16"/>
              </w:rPr>
              <w:t>Berclaz</w:t>
            </w:r>
            <w:proofErr w:type="spellEnd"/>
            <w:r>
              <w:rPr>
                <w:rFonts w:asciiTheme="minorHAnsi" w:hAnsiTheme="minorHAnsi" w:cstheme="minorHAnsi"/>
                <w:sz w:val="16"/>
                <w:szCs w:val="16"/>
              </w:rPr>
              <w:t xml:space="preserve"> 1996: +37% REE)</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555 kcal/episode</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+37% × 500 kcal/day × 3-day episode. Study: </w:t>
            </w:r>
            <w:r>
              <w:rPr>
                <w:rFonts w:asciiTheme="minorHAnsi" w:hAnsiTheme="minorHAnsi" w:cstheme="minorHAnsi"/>
                <w:i/>
                <w:iCs/>
                <w:sz w:val="16"/>
                <w:szCs w:val="16"/>
              </w:rPr>
              <w:t>n</w:t>
            </w:r>
            <w:r>
              <w:rPr>
                <w:rFonts w:asciiTheme="minorHAnsi" w:hAnsiTheme="minorHAnsi" w:cstheme="minorHAnsi"/>
                <w:sz w:val="16"/>
                <w:szCs w:val="16"/>
              </w:rPr>
              <w:t>=23 Gambian children with acute malaria; REE measured 37% above 15-day post-treatment baseline.</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proofErr w:type="spellStart"/>
            <w:r>
              <w:rPr>
                <w:rFonts w:asciiTheme="minorHAnsi" w:hAnsiTheme="minorHAnsi" w:cstheme="minorHAnsi"/>
                <w:sz w:val="16"/>
                <w:szCs w:val="16"/>
              </w:rPr>
              <w:t>Berclaz</w:t>
            </w:r>
            <w:proofErr w:type="spellEnd"/>
            <w:r>
              <w:rPr>
                <w:rFonts w:asciiTheme="minorHAnsi" w:hAnsiTheme="minorHAnsi" w:cstheme="minorHAnsi"/>
                <w:sz w:val="16"/>
                <w:szCs w:val="16"/>
              </w:rPr>
              <w:t xml:space="preserve"> PY et al. </w:t>
            </w:r>
            <w:proofErr w:type="spellStart"/>
            <w:r>
              <w:rPr>
                <w:rFonts w:asciiTheme="minorHAnsi" w:hAnsiTheme="minorHAnsi" w:cstheme="minorHAnsi"/>
                <w:sz w:val="16"/>
                <w:szCs w:val="16"/>
              </w:rPr>
              <w:t>Pediatr</w:t>
            </w:r>
            <w:proofErr w:type="spellEnd"/>
            <w:r>
              <w:rPr>
                <w:rFonts w:asciiTheme="minorHAnsi" w:hAnsiTheme="minorHAnsi" w:cstheme="minorHAnsi"/>
                <w:sz w:val="16"/>
                <w:szCs w:val="16"/>
              </w:rPr>
              <w:t xml:space="preserve"> Res 1996;39(3):401–409 PMID:8929858</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Episodes to avert per year (conservative 4 kcal/day gap)</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2.6–3.2 ep/year</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43 kcal/day gap (see above) ÷ (450–555 kcal/episode) = approximate (see note). Typical LMIC burden: 3–5 ep/year. MSH requirement is arithmetically plausible.</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Derived from </w:t>
            </w:r>
            <w:proofErr w:type="spellStart"/>
            <w:r>
              <w:rPr>
                <w:rFonts w:asciiTheme="minorHAnsi" w:hAnsiTheme="minorHAnsi" w:cstheme="minorHAnsi"/>
                <w:sz w:val="16"/>
                <w:szCs w:val="16"/>
              </w:rPr>
              <w:t>Stettler</w:t>
            </w:r>
            <w:proofErr w:type="spellEnd"/>
            <w:r>
              <w:rPr>
                <w:rFonts w:asciiTheme="minorHAnsi" w:hAnsiTheme="minorHAnsi" w:cstheme="minorHAnsi"/>
                <w:sz w:val="16"/>
                <w:szCs w:val="16"/>
              </w:rPr>
              <w:t xml:space="preserve"> 1992 + </w:t>
            </w:r>
            <w:proofErr w:type="spellStart"/>
            <w:r>
              <w:rPr>
                <w:rFonts w:asciiTheme="minorHAnsi" w:hAnsiTheme="minorHAnsi" w:cstheme="minorHAnsi"/>
                <w:sz w:val="16"/>
                <w:szCs w:val="16"/>
              </w:rPr>
              <w:t>Berclaz</w:t>
            </w:r>
            <w:proofErr w:type="spellEnd"/>
            <w:r>
              <w:rPr>
                <w:rFonts w:asciiTheme="minorHAnsi" w:hAnsiTheme="minorHAnsi" w:cstheme="minorHAnsi"/>
                <w:sz w:val="16"/>
                <w:szCs w:val="16"/>
              </w:rPr>
              <w:t xml:space="preserve"> 1996; consistent with WHO malaria burden estimates</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Energy cost, diarrhoeal episode — community-typical estimate</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~600 kcal/episode</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30% reduction in caloric intake × 500 kcal/day baseline REE × 4-day mean episode duration = 0.30 × 500 × 4 = 600 kcal/episode. Caloric deficit documented during acute diarrhoea in Bangladeshi children (</w:t>
            </w:r>
            <w:proofErr w:type="spellStart"/>
            <w:r>
              <w:rPr>
                <w:rFonts w:asciiTheme="minorHAnsi" w:hAnsiTheme="minorHAnsi" w:cstheme="minorHAnsi"/>
                <w:sz w:val="16"/>
                <w:szCs w:val="16"/>
              </w:rPr>
              <w:t>Molla</w:t>
            </w:r>
            <w:proofErr w:type="spellEnd"/>
            <w:r>
              <w:rPr>
                <w:rFonts w:asciiTheme="minorHAnsi" w:hAnsiTheme="minorHAnsi" w:cstheme="minorHAnsi"/>
                <w:sz w:val="16"/>
                <w:szCs w:val="16"/>
              </w:rPr>
              <w:t xml:space="preserve"> et al. 1982, 1983). Mechanism: reduced food intake + intestinal malabsorption during acute illness. Applies to a ~10 kg child; lower bound of the diarrhoea energy-loss range in Fig. 4B–C.</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proofErr w:type="spellStart"/>
            <w:r>
              <w:rPr>
                <w:rFonts w:asciiTheme="minorHAnsi" w:hAnsiTheme="minorHAnsi" w:cstheme="minorHAnsi"/>
                <w:sz w:val="16"/>
                <w:szCs w:val="16"/>
              </w:rPr>
              <w:t>Molla</w:t>
            </w:r>
            <w:proofErr w:type="spellEnd"/>
            <w:r>
              <w:rPr>
                <w:rFonts w:asciiTheme="minorHAnsi" w:hAnsiTheme="minorHAnsi" w:cstheme="minorHAnsi"/>
                <w:sz w:val="16"/>
                <w:szCs w:val="16"/>
              </w:rPr>
              <w:t xml:space="preserve"> A et al. </w:t>
            </w:r>
            <w:proofErr w:type="spellStart"/>
            <w:r>
              <w:rPr>
                <w:rFonts w:asciiTheme="minorHAnsi" w:hAnsiTheme="minorHAnsi" w:cstheme="minorHAnsi"/>
                <w:sz w:val="16"/>
                <w:szCs w:val="16"/>
              </w:rPr>
              <w:t>Scand</w:t>
            </w:r>
            <w:proofErr w:type="spellEnd"/>
            <w:r>
              <w:rPr>
                <w:rFonts w:asciiTheme="minorHAnsi" w:hAnsiTheme="minorHAnsi" w:cstheme="minorHAnsi"/>
                <w:sz w:val="16"/>
                <w:szCs w:val="16"/>
              </w:rPr>
              <w:t xml:space="preserve"> J </w:t>
            </w:r>
            <w:proofErr w:type="spellStart"/>
            <w:r>
              <w:rPr>
                <w:rFonts w:asciiTheme="minorHAnsi" w:hAnsiTheme="minorHAnsi" w:cstheme="minorHAnsi"/>
                <w:sz w:val="16"/>
                <w:szCs w:val="16"/>
              </w:rPr>
              <w:t>Gastroenterol</w:t>
            </w:r>
            <w:proofErr w:type="spellEnd"/>
            <w:r>
              <w:rPr>
                <w:rFonts w:asciiTheme="minorHAnsi" w:hAnsiTheme="minorHAnsi" w:cstheme="minorHAnsi"/>
                <w:sz w:val="16"/>
                <w:szCs w:val="16"/>
              </w:rPr>
              <w:t xml:space="preserve"> 1983;18:537–543 (food intake during diarrhoea) </w:t>
            </w:r>
            <w:proofErr w:type="spellStart"/>
            <w:r>
              <w:rPr>
                <w:rFonts w:asciiTheme="minorHAnsi" w:hAnsiTheme="minorHAnsi" w:cstheme="minorHAnsi"/>
                <w:sz w:val="16"/>
                <w:szCs w:val="16"/>
              </w:rPr>
              <w:t>Molla</w:t>
            </w:r>
            <w:proofErr w:type="spellEnd"/>
            <w:r>
              <w:rPr>
                <w:rFonts w:asciiTheme="minorHAnsi" w:hAnsiTheme="minorHAnsi" w:cstheme="minorHAnsi"/>
                <w:sz w:val="16"/>
                <w:szCs w:val="16"/>
              </w:rPr>
              <w:t xml:space="preserve"> AM et al. </w:t>
            </w:r>
            <w:proofErr w:type="spellStart"/>
            <w:r>
              <w:rPr>
                <w:rFonts w:asciiTheme="minorHAnsi" w:hAnsiTheme="minorHAnsi" w:cstheme="minorHAnsi"/>
                <w:sz w:val="16"/>
                <w:szCs w:val="16"/>
              </w:rPr>
              <w:t>Nutr</w:t>
            </w:r>
            <w:proofErr w:type="spellEnd"/>
            <w:r>
              <w:rPr>
                <w:rFonts w:asciiTheme="minorHAnsi" w:hAnsiTheme="minorHAnsi" w:cstheme="minorHAnsi"/>
                <w:sz w:val="16"/>
                <w:szCs w:val="16"/>
              </w:rPr>
              <w:t xml:space="preserve"> Res 1982;2:233–242 (intake and absorption)</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Energy cost, diarrhoeal episode — MAM-specific estimate</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~1,050 kcal/episode</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 xml:space="preserve">40% caloric deficit (greater than community-typical due to concurrent malabsorption and reduced appetite in undernourished children) × 500 kcal/day × 7-day episode duration = 0.40 × 500 × 7 = 1,400 kcal gross; net ~1,050 kcal accounting for partial malabsorption offset already captured in </w:t>
            </w:r>
            <w:r>
              <w:rPr>
                <w:rFonts w:asciiTheme="minorHAnsi" w:hAnsiTheme="minorHAnsi" w:cstheme="minorHAnsi"/>
                <w:sz w:val="16"/>
                <w:szCs w:val="16"/>
              </w:rPr>
              <w:lastRenderedPageBreak/>
              <w:t>the deficit figure. Consistent with longer and more severe diarrhoeal episodes in MAM children (Black et al. 1984; Bern et al. 1992). Upper bound of the diarrhoea energy-loss range in Fig. 4B–C.</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lastRenderedPageBreak/>
              <w:t xml:space="preserve">Black RE et al. Am J </w:t>
            </w:r>
            <w:proofErr w:type="spellStart"/>
            <w:r>
              <w:rPr>
                <w:rFonts w:asciiTheme="minorHAnsi" w:hAnsiTheme="minorHAnsi" w:cstheme="minorHAnsi"/>
                <w:sz w:val="16"/>
                <w:szCs w:val="16"/>
              </w:rPr>
              <w:t>Clin</w:t>
            </w:r>
            <w:proofErr w:type="spellEnd"/>
            <w:r>
              <w:rPr>
                <w:rFonts w:asciiTheme="minorHAnsi" w:hAnsiTheme="minorHAnsi" w:cstheme="minorHAnsi"/>
                <w:sz w:val="16"/>
                <w:szCs w:val="16"/>
              </w:rPr>
              <w:t xml:space="preserve"> </w:t>
            </w:r>
            <w:proofErr w:type="spellStart"/>
            <w:r>
              <w:rPr>
                <w:rFonts w:asciiTheme="minorHAnsi" w:hAnsiTheme="minorHAnsi" w:cstheme="minorHAnsi"/>
                <w:sz w:val="16"/>
                <w:szCs w:val="16"/>
              </w:rPr>
              <w:t>Nutr</w:t>
            </w:r>
            <w:proofErr w:type="spellEnd"/>
            <w:r>
              <w:rPr>
                <w:rFonts w:asciiTheme="minorHAnsi" w:hAnsiTheme="minorHAnsi" w:cstheme="minorHAnsi"/>
                <w:sz w:val="16"/>
                <w:szCs w:val="16"/>
              </w:rPr>
              <w:t xml:space="preserve"> 1984;39:87–94 (diarrhoea duration in MAM) Bern C et al. Bull World Health Organ </w:t>
            </w:r>
            <w:r>
              <w:rPr>
                <w:rFonts w:asciiTheme="minorHAnsi" w:hAnsiTheme="minorHAnsi" w:cstheme="minorHAnsi"/>
                <w:sz w:val="16"/>
                <w:szCs w:val="16"/>
              </w:rPr>
              <w:lastRenderedPageBreak/>
              <w:t>1992;70:705–714 (global diarrhoeal burden)</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lastRenderedPageBreak/>
              <w:t>Diarrhoeal episodes to avert per year (febrile gap basis)</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6"/>
                <w:szCs w:val="16"/>
              </w:rPr>
              <w:t>0.04–0.07 ep/year (community); 0.01–0.04 ep/year (MAM)</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43 kcal/day gap ÷ 365 days × 365 ÷ kcal/episode. Using the residual caloric gap after febrile cost accounted for (effectively ~0 kcal/day under conservative scenario): even a small fraction of the typical LMIC diarrhoeal burden (~3–5 episodes/year; Black 1984, Bern 1992) would release sufficient energy. Community estimate: 43 kcal/day × 365 ÷ 600 kcal = ~26 ep/year required if only diarrhoea; far fewer needed when combined with fever savings. MAM estimate: 43 × 365 ÷ 1,050 = ~15 ep/year if solo. Combined fever + diarrhoea: MSH arithmetically plausible with modest infection reduction.</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6"/>
                <w:szCs w:val="16"/>
              </w:rPr>
              <w:t>Derived; see Methods §2.7. Combined model integrates febrile + diarrhoeal costs (Fig. 4B–C)</w:t>
            </w:r>
          </w:p>
        </w:tc>
      </w:tr>
    </w:tbl>
    <w:p w:rsidR="00040C38" w:rsidRPr="00D97E5C" w:rsidRDefault="00040C38">
      <w:pPr>
        <w:spacing w:before="80"/>
        <w:rPr>
          <w:rFonts w:asciiTheme="minorHAnsi" w:hAnsiTheme="minorHAnsi" w:cstheme="minorHAnsi"/>
        </w:rPr>
      </w:pPr>
    </w:p>
    <w:p w:rsidR="00040C38" w:rsidRPr="00D97E5C" w:rsidRDefault="00D36294">
      <w:pPr>
        <w:spacing w:before="50" w:after="50"/>
        <w:rPr>
          <w:rFonts w:asciiTheme="minorHAnsi" w:hAnsiTheme="minorHAnsi" w:cstheme="minorHAnsi"/>
        </w:rPr>
      </w:pPr>
      <w:r>
        <w:rPr>
          <w:rFonts w:asciiTheme="minorHAnsi" w:hAnsiTheme="minorHAnsi" w:cstheme="minorHAnsi"/>
          <w:color w:val="555555"/>
          <w:sz w:val="15"/>
          <w:szCs w:val="15"/>
        </w:rPr>
        <w:t>Amber rows = conservative residual (basis for main-text febrile episode calculation). Green rows = diarrhoeal energy cost parameters (community-typical and MAM-specific). REE = resting energy expenditure. MAH = Metabolic Augmentation Hypothesis. MSH = Metabolic Sparing Hypothesis.</w:t>
      </w:r>
    </w:p>
    <w:p w:rsidR="00F074A5" w:rsidRDefault="00F074A5" w:rsidP="00F074A5">
      <w:pPr>
        <w:rPr>
          <w:rFonts w:asciiTheme="minorHAnsi" w:hAnsiTheme="minorHAnsi" w:cstheme="minorHAnsi"/>
        </w:rPr>
      </w:pPr>
    </w:p>
    <w:p w:rsidR="00F074A5" w:rsidRDefault="00F074A5" w:rsidP="00F074A5">
      <w:pPr>
        <w:rPr>
          <w:rFonts w:asciiTheme="minorHAnsi" w:hAnsiTheme="minorHAnsi" w:cstheme="minorHAnsi"/>
        </w:rPr>
      </w:pPr>
    </w:p>
    <w:p w:rsidR="00040C38" w:rsidRPr="00D97E5C" w:rsidRDefault="00D36294" w:rsidP="00F074A5">
      <w:pPr>
        <w:rPr>
          <w:rFonts w:asciiTheme="minorHAnsi" w:hAnsiTheme="minorHAnsi" w:cstheme="minorHAnsi"/>
        </w:rPr>
      </w:pPr>
      <w:r>
        <w:rPr>
          <w:rFonts w:asciiTheme="minorHAnsi" w:hAnsiTheme="minorHAnsi" w:cstheme="minorHAnsi"/>
          <w:b/>
          <w:bCs/>
          <w:color w:val="1F4E79"/>
          <w:sz w:val="28"/>
          <w:szCs w:val="28"/>
        </w:rPr>
        <w:t>Supplementary Table S2. Data Extraction Details for Path b (</w:t>
      </w:r>
      <w:proofErr w:type="spellStart"/>
      <w:r>
        <w:rPr>
          <w:rFonts w:asciiTheme="minorHAnsi" w:hAnsiTheme="minorHAnsi" w:cstheme="minorHAnsi"/>
          <w:b/>
          <w:bCs/>
          <w:color w:val="1F4E79"/>
          <w:sz w:val="28"/>
          <w:szCs w:val="28"/>
        </w:rPr>
        <w:t>Citrulline</w:t>
      </w:r>
      <w:proofErr w:type="spellEnd"/>
      <w:r>
        <w:rPr>
          <w:rFonts w:asciiTheme="minorHAnsi" w:hAnsiTheme="minorHAnsi" w:cstheme="minorHAnsi"/>
          <w:b/>
          <w:bCs/>
          <w:color w:val="1F4E79"/>
          <w:sz w:val="28"/>
          <w:szCs w:val="28"/>
        </w:rPr>
        <w:t xml:space="preserve"> → Growth)</w:t>
      </w:r>
    </w:p>
    <w:p w:rsidR="00040C38" w:rsidRPr="00D97E5C" w:rsidRDefault="00D36294">
      <w:pPr>
        <w:spacing w:before="80" w:after="80"/>
        <w:rPr>
          <w:rFonts w:asciiTheme="minorHAnsi" w:hAnsiTheme="minorHAnsi" w:cstheme="minorHAnsi"/>
        </w:rPr>
      </w:pPr>
      <w:r>
        <w:rPr>
          <w:rFonts w:asciiTheme="minorHAnsi" w:hAnsiTheme="minorHAnsi" w:cstheme="minorHAnsi"/>
        </w:rPr>
        <w:t xml:space="preserve">The path b mediation coefficient was synthesised across four LMIC cohorts. Because the studies vary in design, primary outcome, and estimator, this table documents the exact extraction method, evidence quality, and any assumptions for each row. Rows are colour-coded: green = direct plasma </w:t>
      </w:r>
      <w:proofErr w:type="spellStart"/>
      <w:r>
        <w:rPr>
          <w:rFonts w:asciiTheme="minorHAnsi" w:hAnsiTheme="minorHAnsi" w:cstheme="minorHAnsi"/>
        </w:rPr>
        <w:t>citrulline</w:t>
      </w:r>
      <w:proofErr w:type="spellEnd"/>
      <w:r>
        <w:rPr>
          <w:rFonts w:asciiTheme="minorHAnsi" w:hAnsiTheme="minorHAnsi" w:cstheme="minorHAnsi"/>
        </w:rPr>
        <w:t xml:space="preserve"> measurement with tabulated or derivable OLS β; amber = explicit conservative proxy (β=0 assigned; no </w:t>
      </w:r>
      <w:proofErr w:type="spellStart"/>
      <w:r>
        <w:rPr>
          <w:rFonts w:asciiTheme="minorHAnsi" w:hAnsiTheme="minorHAnsi" w:cstheme="minorHAnsi"/>
        </w:rPr>
        <w:t>citrulline→LAZ</w:t>
      </w:r>
      <w:proofErr w:type="spellEnd"/>
      <w:r>
        <w:rPr>
          <w:rFonts w:asciiTheme="minorHAnsi" w:hAnsiTheme="minorHAnsi" w:cstheme="minorHAnsi"/>
        </w:rPr>
        <w:t xml:space="preserve"> slope published); red = sensitivity ceiling only (IGF-1, not </w:t>
      </w:r>
      <w:proofErr w:type="spellStart"/>
      <w:r>
        <w:rPr>
          <w:rFonts w:asciiTheme="minorHAnsi" w:hAnsiTheme="minorHAnsi" w:cstheme="minorHAnsi"/>
        </w:rPr>
        <w:t>citrulline</w:t>
      </w:r>
      <w:proofErr w:type="spellEnd"/>
      <w:r>
        <w:rPr>
          <w:rFonts w:asciiTheme="minorHAnsi" w:hAnsiTheme="minorHAnsi" w:cstheme="minorHAnsi"/>
        </w:rPr>
        <w:t>).</w:t>
      </w:r>
    </w:p>
    <w:p w:rsidR="00040C38" w:rsidRPr="00D97E5C" w:rsidRDefault="00040C38">
      <w:pPr>
        <w:spacing w:before="8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8"/>
        <w:gridCol w:w="628"/>
        <w:gridCol w:w="1501"/>
        <w:gridCol w:w="2726"/>
        <w:gridCol w:w="1096"/>
        <w:gridCol w:w="628"/>
        <w:gridCol w:w="2261"/>
      </w:tblGrid>
      <w:tr w:rsidR="00040C38" w:rsidRPr="00D97E5C" w:rsidTr="00D36294">
        <w:trPr>
          <w:tblHeader/>
        </w:trPr>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Study / citation</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n</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Biomarker directly measured</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Extraction method for path b β (exact)</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 xml:space="preserve">β assigned (ΔLAZ per SD </w:t>
            </w:r>
            <w:proofErr w:type="spellStart"/>
            <w:r>
              <w:rPr>
                <w:rFonts w:asciiTheme="minorHAnsi" w:hAnsiTheme="minorHAnsi" w:cstheme="minorHAnsi"/>
                <w:b/>
                <w:bCs/>
                <w:color w:val="1F4E79"/>
                <w:sz w:val="17"/>
                <w:szCs w:val="17"/>
              </w:rPr>
              <w:t>cit</w:t>
            </w:r>
            <w:proofErr w:type="spellEnd"/>
            <w:r>
              <w:rPr>
                <w:rFonts w:asciiTheme="minorHAnsi" w:hAnsiTheme="minorHAnsi" w:cstheme="minorHAnsi"/>
                <w:b/>
                <w:bCs/>
                <w:color w:val="1F4E79"/>
                <w:sz w:val="17"/>
                <w:szCs w:val="17"/>
              </w:rPr>
              <w:t>)</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SE</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Evidence quality / flag</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et al. 2021 Am J </w:t>
            </w:r>
            <w:proofErr w:type="spellStart"/>
            <w:r>
              <w:rPr>
                <w:rFonts w:asciiTheme="minorHAnsi" w:hAnsiTheme="minorHAnsi" w:cstheme="minorHAnsi"/>
                <w:sz w:val="17"/>
                <w:szCs w:val="17"/>
              </w:rPr>
              <w:t>Clin</w:t>
            </w:r>
            <w:proofErr w:type="spellEnd"/>
            <w:r>
              <w:rPr>
                <w:rFonts w:asciiTheme="minorHAnsi" w:hAnsiTheme="minorHAnsi" w:cstheme="minorHAnsi"/>
                <w:sz w:val="17"/>
                <w:szCs w:val="17"/>
              </w:rPr>
              <w:t xml:space="preserve"> </w:t>
            </w:r>
            <w:proofErr w:type="spellStart"/>
            <w:r>
              <w:rPr>
                <w:rFonts w:asciiTheme="minorHAnsi" w:hAnsiTheme="minorHAnsi" w:cstheme="minorHAnsi"/>
                <w:sz w:val="17"/>
                <w:szCs w:val="17"/>
              </w:rPr>
              <w:t>Nutr</w:t>
            </w:r>
            <w:proofErr w:type="spellEnd"/>
            <w:r>
              <w:rPr>
                <w:rFonts w:asciiTheme="minorHAnsi" w:hAnsiTheme="minorHAnsi" w:cstheme="minorHAnsi"/>
                <w:sz w:val="17"/>
                <w:szCs w:val="17"/>
              </w:rPr>
              <w:t xml:space="preserve"> 113:1185–1198 SHINE, Zimbabwe PMID:33740052</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1,169</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Plasma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(DIRECT: LC-MS/MS measurement at 1, 3, 6, 12, and 18 months of age)</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DIRECT: Full regression of ΔLAZ/month on SD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at start of each age interval (1–3, 3–6, 6–12, 12–18 months), fully adjusted for sex, baseline LAZ, and treatment arm. </w:t>
            </w:r>
            <w:proofErr w:type="gramStart"/>
            <w:r>
              <w:rPr>
                <w:rFonts w:asciiTheme="minorHAnsi" w:hAnsiTheme="minorHAnsi" w:cstheme="minorHAnsi"/>
                <w:sz w:val="17"/>
                <w:szCs w:val="17"/>
              </w:rPr>
              <w:t>β</w:t>
            </w:r>
            <w:proofErr w:type="gramEnd"/>
            <w:r>
              <w:rPr>
                <w:rFonts w:asciiTheme="minorHAnsi" w:hAnsiTheme="minorHAnsi" w:cstheme="minorHAnsi"/>
                <w:sz w:val="17"/>
                <w:szCs w:val="17"/>
              </w:rPr>
              <w:t xml:space="preserve"> ≈ 0.003 ΔLAZ/month represents the cross-interval average; all intervals null in fully adjusted models (no interval reached statistical significance). β = 0.003 is used for the trial's 12-week window without </w:t>
            </w:r>
            <w:proofErr w:type="spellStart"/>
            <w:r>
              <w:rPr>
                <w:rFonts w:asciiTheme="minorHAnsi" w:hAnsiTheme="minorHAnsi" w:cstheme="minorHAnsi"/>
                <w:sz w:val="17"/>
                <w:szCs w:val="17"/>
              </w:rPr>
              <w:t>annualisation</w:t>
            </w:r>
            <w:proofErr w:type="spellEnd"/>
            <w:r>
              <w:rPr>
                <w:rFonts w:asciiTheme="minorHAnsi" w:hAnsiTheme="minorHAnsi" w:cstheme="minorHAnsi"/>
                <w:sz w:val="17"/>
                <w:szCs w:val="17"/>
              </w:rPr>
              <w:t xml:space="preserve">, making this estimate conservative. Source: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Results and Supplementary Table reporting </w:t>
            </w:r>
            <w:proofErr w:type="spellStart"/>
            <w:r>
              <w:rPr>
                <w:rFonts w:asciiTheme="minorHAnsi" w:hAnsiTheme="minorHAnsi" w:cstheme="minorHAnsi"/>
                <w:sz w:val="17"/>
                <w:szCs w:val="17"/>
              </w:rPr>
              <w:t>biomarker→growth</w:t>
            </w:r>
            <w:proofErr w:type="spellEnd"/>
            <w:r>
              <w:rPr>
                <w:rFonts w:asciiTheme="minorHAnsi" w:hAnsiTheme="minorHAnsi" w:cstheme="minorHAnsi"/>
                <w:sz w:val="17"/>
                <w:szCs w:val="17"/>
              </w:rPr>
              <w:t xml:space="preserve"> associations.</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0.003</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0.012</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HIGH quality. RCT sub-cohort; longitudinal design; direct plasma </w:t>
            </w:r>
            <w:proofErr w:type="spellStart"/>
            <w:r>
              <w:rPr>
                <w:rFonts w:asciiTheme="minorHAnsi" w:hAnsiTheme="minorHAnsi" w:cstheme="minorHAnsi"/>
                <w:sz w:val="17"/>
                <w:szCs w:val="17"/>
              </w:rPr>
              <w:t>cit</w:t>
            </w:r>
            <w:proofErr w:type="spellEnd"/>
            <w:r>
              <w:rPr>
                <w:rFonts w:asciiTheme="minorHAnsi" w:hAnsiTheme="minorHAnsi" w:cstheme="minorHAnsi"/>
                <w:sz w:val="17"/>
                <w:szCs w:val="17"/>
              </w:rPr>
              <w:t xml:space="preserve"> measurement; fully adjusted. Null in all age intervals. Most comparable EED setting to MDCF-2.</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 SENSITIVITY SCENARIO — NOT INCLUDED IN PRIMARY META-ANALYSIS Campbell et al. 2017 J </w:t>
            </w:r>
            <w:proofErr w:type="spellStart"/>
            <w:r>
              <w:rPr>
                <w:rFonts w:asciiTheme="minorHAnsi" w:hAnsiTheme="minorHAnsi" w:cstheme="minorHAnsi"/>
                <w:sz w:val="17"/>
                <w:szCs w:val="17"/>
              </w:rPr>
              <w:t>Pediatr</w:t>
            </w:r>
            <w:proofErr w:type="spellEnd"/>
            <w:r>
              <w:rPr>
                <w:rFonts w:asciiTheme="minorHAnsi" w:hAnsiTheme="minorHAnsi" w:cstheme="minorHAnsi"/>
                <w:sz w:val="17"/>
                <w:szCs w:val="17"/>
              </w:rPr>
              <w:t xml:space="preserve"> Gastro </w:t>
            </w:r>
            <w:proofErr w:type="spellStart"/>
            <w:r>
              <w:rPr>
                <w:rFonts w:asciiTheme="minorHAnsi" w:hAnsiTheme="minorHAnsi" w:cstheme="minorHAnsi"/>
                <w:sz w:val="17"/>
                <w:szCs w:val="17"/>
              </w:rPr>
              <w:t>Nutr</w:t>
            </w:r>
            <w:proofErr w:type="spellEnd"/>
            <w:r>
              <w:rPr>
                <w:rFonts w:asciiTheme="minorHAnsi" w:hAnsiTheme="minorHAnsi" w:cstheme="minorHAnsi"/>
                <w:sz w:val="17"/>
                <w:szCs w:val="17"/>
              </w:rPr>
              <w:t xml:space="preserve"> 65:40–46 </w:t>
            </w:r>
            <w:proofErr w:type="spellStart"/>
            <w:r>
              <w:rPr>
                <w:rFonts w:asciiTheme="minorHAnsi" w:hAnsiTheme="minorHAnsi" w:cstheme="minorHAnsi"/>
                <w:sz w:val="17"/>
                <w:szCs w:val="17"/>
              </w:rPr>
              <w:t>JiVitA</w:t>
            </w:r>
            <w:proofErr w:type="spellEnd"/>
            <w:r>
              <w:rPr>
                <w:rFonts w:asciiTheme="minorHAnsi" w:hAnsiTheme="minorHAnsi" w:cstheme="minorHAnsi"/>
                <w:sz w:val="17"/>
                <w:szCs w:val="17"/>
              </w:rPr>
              <w:t>, Bangladesh PMID:28644348</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539</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Panel of EED biomarkers including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Primary outcomes: composite EED scores (PCA and PLS) derived from L</w:t>
            </w:r>
            <w:proofErr w:type="gramStart"/>
            <w:r>
              <w:rPr>
                <w:rFonts w:asciiTheme="minorHAnsi" w:hAnsiTheme="minorHAnsi" w:cstheme="minorHAnsi"/>
                <w:sz w:val="17"/>
                <w:szCs w:val="17"/>
              </w:rPr>
              <w:t>:M</w:t>
            </w:r>
            <w:proofErr w:type="gramEnd"/>
            <w:r>
              <w:rPr>
                <w:rFonts w:asciiTheme="minorHAnsi" w:hAnsiTheme="minorHAnsi" w:cstheme="minorHAnsi"/>
                <w:sz w:val="17"/>
                <w:szCs w:val="17"/>
              </w:rPr>
              <w:t xml:space="preserve"> + panel. Cross-sectional design.</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CONSERVATIVE PROXY — β=0 ASSIGNED. Cross-sectional study of EED biomarker convergence in </w:t>
            </w:r>
            <w:proofErr w:type="spellStart"/>
            <w:r>
              <w:rPr>
                <w:rFonts w:asciiTheme="minorHAnsi" w:hAnsiTheme="minorHAnsi" w:cstheme="minorHAnsi"/>
                <w:sz w:val="17"/>
                <w:szCs w:val="17"/>
              </w:rPr>
              <w:t>JiVitA</w:t>
            </w:r>
            <w:proofErr w:type="spellEnd"/>
            <w:r>
              <w:rPr>
                <w:rFonts w:asciiTheme="minorHAnsi" w:hAnsiTheme="minorHAnsi" w:cstheme="minorHAnsi"/>
                <w:sz w:val="17"/>
                <w:szCs w:val="17"/>
              </w:rPr>
              <w:t xml:space="preserve"> Bangladesh children; no </w:t>
            </w:r>
            <w:proofErr w:type="spellStart"/>
            <w:r>
              <w:rPr>
                <w:rFonts w:asciiTheme="minorHAnsi" w:hAnsiTheme="minorHAnsi" w:cstheme="minorHAnsi"/>
                <w:sz w:val="17"/>
                <w:szCs w:val="17"/>
              </w:rPr>
              <w:t>citrulline→LAZ</w:t>
            </w:r>
            <w:proofErr w:type="spellEnd"/>
            <w:r>
              <w:rPr>
                <w:rFonts w:asciiTheme="minorHAnsi" w:hAnsiTheme="minorHAnsi" w:cstheme="minorHAnsi"/>
                <w:sz w:val="17"/>
                <w:szCs w:val="17"/>
              </w:rPr>
              <w:t xml:space="preserve"> coefficient tabulated. β=0.000 assigned as explicit conservative lower bound, not an extracted value. Retaining this row prevents selection bias toward positive-result cohorts.</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0.000 (PROXY; not an extracted coefficient)</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0.010</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Segoe UI Symbol" w:hAnsi="Segoe UI Symbol" w:cs="Segoe UI Symbol"/>
                <w:sz w:val="17"/>
                <w:szCs w:val="17"/>
              </w:rPr>
              <w:t>⚠</w:t>
            </w:r>
            <w:r>
              <w:rPr>
                <w:rFonts w:asciiTheme="minorHAnsi" w:hAnsiTheme="minorHAnsi" w:cstheme="minorHAnsi"/>
                <w:sz w:val="17"/>
                <w:szCs w:val="17"/>
              </w:rPr>
              <w:t xml:space="preserve"> PROXY ROW. NO </w:t>
            </w:r>
            <w:proofErr w:type="spellStart"/>
            <w:r>
              <w:rPr>
                <w:rFonts w:asciiTheme="minorHAnsi" w:hAnsiTheme="minorHAnsi" w:cstheme="minorHAnsi"/>
                <w:sz w:val="17"/>
                <w:szCs w:val="17"/>
              </w:rPr>
              <w:t>citrulline→LAZ</w:t>
            </w:r>
            <w:proofErr w:type="spellEnd"/>
            <w:r>
              <w:rPr>
                <w:rFonts w:asciiTheme="minorHAnsi" w:hAnsiTheme="minorHAnsi" w:cstheme="minorHAnsi"/>
                <w:sz w:val="17"/>
                <w:szCs w:val="17"/>
              </w:rPr>
              <w:t xml:space="preserve"> slope tabulated. β=0 is explicit conservative assumption. Geographic match: Bangladesh = closest to MDCF-2 trial population. Retained to avoid selection bias.</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proofErr w:type="spellStart"/>
            <w:r>
              <w:rPr>
                <w:rFonts w:asciiTheme="minorHAnsi" w:hAnsiTheme="minorHAnsi" w:cstheme="minorHAnsi"/>
                <w:sz w:val="17"/>
                <w:szCs w:val="17"/>
              </w:rPr>
              <w:t>Colston</w:t>
            </w:r>
            <w:proofErr w:type="spellEnd"/>
            <w:r>
              <w:rPr>
                <w:rFonts w:asciiTheme="minorHAnsi" w:hAnsiTheme="minorHAnsi" w:cstheme="minorHAnsi"/>
                <w:sz w:val="17"/>
                <w:szCs w:val="17"/>
              </w:rPr>
              <w:t xml:space="preserve"> et al. 2019 PLOS </w:t>
            </w:r>
            <w:proofErr w:type="spellStart"/>
            <w:r>
              <w:rPr>
                <w:rFonts w:asciiTheme="minorHAnsi" w:hAnsiTheme="minorHAnsi" w:cstheme="minorHAnsi"/>
                <w:sz w:val="17"/>
                <w:szCs w:val="17"/>
              </w:rPr>
              <w:t>Negl</w:t>
            </w:r>
            <w:proofErr w:type="spellEnd"/>
            <w:r>
              <w:rPr>
                <w:rFonts w:asciiTheme="minorHAnsi" w:hAnsiTheme="minorHAnsi" w:cstheme="minorHAnsi"/>
                <w:sz w:val="17"/>
                <w:szCs w:val="17"/>
              </w:rPr>
              <w:t xml:space="preserve"> Trop Dis 13(11):e0007851 MAL-ED Peru DOI:10.1371/journal .pntd.0007851</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258</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Plasma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(DIRECT: LCMS measurement by Oregon Analytics lab) + 179 other EED </w:t>
            </w:r>
            <w:proofErr w:type="spellStart"/>
            <w:r>
              <w:rPr>
                <w:rFonts w:asciiTheme="minorHAnsi" w:hAnsiTheme="minorHAnsi" w:cstheme="minorHAnsi"/>
                <w:sz w:val="17"/>
                <w:szCs w:val="17"/>
              </w:rPr>
              <w:t>analytes</w:t>
            </w:r>
            <w:proofErr w:type="spellEnd"/>
            <w:r>
              <w:rPr>
                <w:rFonts w:asciiTheme="minorHAnsi" w:hAnsiTheme="minorHAnsi" w:cstheme="minorHAnsi"/>
                <w:sz w:val="17"/>
                <w:szCs w:val="17"/>
              </w:rPr>
              <w:t xml:space="preserve"> from </w:t>
            </w:r>
            <w:proofErr w:type="spellStart"/>
            <w:r>
              <w:rPr>
                <w:rFonts w:asciiTheme="minorHAnsi" w:hAnsiTheme="minorHAnsi" w:cstheme="minorHAnsi"/>
                <w:sz w:val="17"/>
                <w:szCs w:val="17"/>
              </w:rPr>
              <w:t>fecal</w:t>
            </w:r>
            <w:proofErr w:type="spellEnd"/>
            <w:r>
              <w:rPr>
                <w:rFonts w:asciiTheme="minorHAnsi" w:hAnsiTheme="minorHAnsi" w:cstheme="minorHAnsi"/>
                <w:sz w:val="17"/>
                <w:szCs w:val="17"/>
              </w:rPr>
              <w:t xml:space="preserve">, urine, and </w:t>
            </w:r>
            <w:r>
              <w:rPr>
                <w:rFonts w:asciiTheme="minorHAnsi" w:hAnsiTheme="minorHAnsi" w:cstheme="minorHAnsi"/>
                <w:sz w:val="17"/>
                <w:szCs w:val="17"/>
              </w:rPr>
              <w:lastRenderedPageBreak/>
              <w:t>plasma at 7, 15, and 24 months.</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lastRenderedPageBreak/>
              <w:t xml:space="preserve">SEMI-DIRECT. Plasma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directly measured in the same blood samples as the MAL-ED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/tryptophan assays. Primary analysis: LASSO and ridge penalized regression on 180 </w:t>
            </w:r>
            <w:proofErr w:type="spellStart"/>
            <w:r>
              <w:rPr>
                <w:rFonts w:asciiTheme="minorHAnsi" w:hAnsiTheme="minorHAnsi" w:cstheme="minorHAnsi"/>
                <w:sz w:val="17"/>
                <w:szCs w:val="17"/>
              </w:rPr>
              <w:t>analytes</w:t>
            </w:r>
            <w:proofErr w:type="spellEnd"/>
            <w:r>
              <w:rPr>
                <w:rFonts w:asciiTheme="minorHAnsi" w:hAnsiTheme="minorHAnsi" w:cstheme="minorHAnsi"/>
                <w:sz w:val="17"/>
                <w:szCs w:val="17"/>
              </w:rPr>
              <w:t xml:space="preserve"> to select the best-fitting </w:t>
            </w:r>
            <w:r>
              <w:rPr>
                <w:rFonts w:asciiTheme="minorHAnsi" w:hAnsiTheme="minorHAnsi" w:cstheme="minorHAnsi"/>
                <w:sz w:val="17"/>
                <w:szCs w:val="17"/>
              </w:rPr>
              <w:lastRenderedPageBreak/>
              <w:t xml:space="preserve">biomarker subset predicting ΔLAZ over a 2-month lag.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and tryptophan were among the 180 candidates. After LASSO selection, selected biomarkers entered OLS adjusted models (covariates: baseline LAZ, age, sex) to estimate effect sizes. </w:t>
            </w:r>
            <w:proofErr w:type="gramStart"/>
            <w:r>
              <w:rPr>
                <w:rFonts w:asciiTheme="minorHAnsi" w:hAnsiTheme="minorHAnsi" w:cstheme="minorHAnsi"/>
                <w:sz w:val="17"/>
                <w:szCs w:val="17"/>
              </w:rPr>
              <w:t>β</w:t>
            </w:r>
            <w:proofErr w:type="gramEnd"/>
            <w:r>
              <w:rPr>
                <w:rFonts w:asciiTheme="minorHAnsi" w:hAnsiTheme="minorHAnsi" w:cstheme="minorHAnsi"/>
                <w:sz w:val="17"/>
                <w:szCs w:val="17"/>
              </w:rPr>
              <w:t xml:space="preserve"> ≈ 0.008 ΔLAZ per SD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is approximated from Figure 3 of the paper, which plots associations between top biomarkers (per SD) and ΔLAZ over lag-lengths of 1–10 months. The exact single OLS point estimate for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is not published as a standalone tabulated value; β=0.008 represents the direction and approximate magnitude visible in Fig 3, with uncertainty reflected in the assigned SE=0.015.</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lastRenderedPageBreak/>
              <w:t>0.008</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0.015</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MODERATE quality. Direct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measurement (LCMS). </w:t>
            </w:r>
            <w:proofErr w:type="gramStart"/>
            <w:r>
              <w:rPr>
                <w:rFonts w:asciiTheme="minorHAnsi" w:hAnsiTheme="minorHAnsi" w:cstheme="minorHAnsi"/>
                <w:sz w:val="17"/>
                <w:szCs w:val="17"/>
              </w:rPr>
              <w:t>β</w:t>
            </w:r>
            <w:proofErr w:type="gramEnd"/>
            <w:r>
              <w:rPr>
                <w:rFonts w:asciiTheme="minorHAnsi" w:hAnsiTheme="minorHAnsi" w:cstheme="minorHAnsi"/>
                <w:sz w:val="17"/>
                <w:szCs w:val="17"/>
              </w:rPr>
              <w:t xml:space="preserve"> approximated from LASSO-selected OLS model and Fig 3 validation plot; not a single tabulated OLS coefficient. Non-linear </w:t>
            </w:r>
            <w:proofErr w:type="spellStart"/>
            <w:r>
              <w:rPr>
                <w:rFonts w:asciiTheme="minorHAnsi" w:hAnsiTheme="minorHAnsi" w:cstheme="minorHAnsi"/>
                <w:sz w:val="17"/>
                <w:szCs w:val="17"/>
              </w:rPr>
              <w:lastRenderedPageBreak/>
              <w:t>citrulline</w:t>
            </w:r>
            <w:proofErr w:type="spellEnd"/>
            <w:r>
              <w:rPr>
                <w:rFonts w:asciiTheme="minorHAnsi" w:hAnsiTheme="minorHAnsi" w:cstheme="minorHAnsi"/>
                <w:sz w:val="17"/>
                <w:szCs w:val="17"/>
              </w:rPr>
              <w:t>–LAZ relationship noted; β≈0.008 assumes +123 µ</w:t>
            </w:r>
            <w:proofErr w:type="spellStart"/>
            <w:r>
              <w:rPr>
                <w:rFonts w:asciiTheme="minorHAnsi" w:hAnsiTheme="minorHAnsi" w:cstheme="minorHAnsi"/>
                <w:sz w:val="17"/>
                <w:szCs w:val="17"/>
              </w:rPr>
              <w:t>mol</w:t>
            </w:r>
            <w:proofErr w:type="spellEnd"/>
            <w:r>
              <w:rPr>
                <w:rFonts w:asciiTheme="minorHAnsi" w:hAnsiTheme="minorHAnsi" w:cstheme="minorHAnsi"/>
                <w:sz w:val="17"/>
                <w:szCs w:val="17"/>
              </w:rPr>
              <w:t xml:space="preserve">/L falls on the rising portion of the curve (optimistic assumption about curve position, not an empirical upper bound). Same MAL-ED Peru cohort, partial overlap with </w:t>
            </w:r>
            <w:proofErr w:type="spellStart"/>
            <w:r>
              <w:rPr>
                <w:rFonts w:asciiTheme="minorHAnsi" w:hAnsiTheme="minorHAnsi" w:cstheme="minorHAnsi"/>
                <w:sz w:val="17"/>
                <w:szCs w:val="17"/>
              </w:rPr>
              <w:t>Kosek</w:t>
            </w:r>
            <w:proofErr w:type="spellEnd"/>
            <w:r>
              <w:rPr>
                <w:rFonts w:asciiTheme="minorHAnsi" w:hAnsiTheme="minorHAnsi" w:cstheme="minorHAnsi"/>
                <w:sz w:val="17"/>
                <w:szCs w:val="17"/>
              </w:rPr>
              <w:t xml:space="preserve"> 2016.</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proofErr w:type="spellStart"/>
            <w:r>
              <w:rPr>
                <w:rFonts w:asciiTheme="minorHAnsi" w:hAnsiTheme="minorHAnsi" w:cstheme="minorHAnsi"/>
                <w:sz w:val="17"/>
                <w:szCs w:val="17"/>
              </w:rPr>
              <w:lastRenderedPageBreak/>
              <w:t>Kosek</w:t>
            </w:r>
            <w:proofErr w:type="spellEnd"/>
            <w:r>
              <w:rPr>
                <w:rFonts w:asciiTheme="minorHAnsi" w:hAnsiTheme="minorHAnsi" w:cstheme="minorHAnsi"/>
                <w:sz w:val="17"/>
                <w:szCs w:val="17"/>
              </w:rPr>
              <w:t xml:space="preserve"> et al. 2016 Am J Trop Med </w:t>
            </w:r>
            <w:proofErr w:type="spellStart"/>
            <w:r>
              <w:rPr>
                <w:rFonts w:asciiTheme="minorHAnsi" w:hAnsiTheme="minorHAnsi" w:cstheme="minorHAnsi"/>
                <w:sz w:val="17"/>
                <w:szCs w:val="17"/>
              </w:rPr>
              <w:t>Hyg</w:t>
            </w:r>
            <w:proofErr w:type="spellEnd"/>
            <w:r>
              <w:rPr>
                <w:rFonts w:asciiTheme="minorHAnsi" w:hAnsiTheme="minorHAnsi" w:cstheme="minorHAnsi"/>
                <w:sz w:val="17"/>
                <w:szCs w:val="17"/>
              </w:rPr>
              <w:t xml:space="preserve"> 95(4):928–937 MAL-ED </w:t>
            </w:r>
            <w:proofErr w:type="spellStart"/>
            <w:r>
              <w:rPr>
                <w:rFonts w:asciiTheme="minorHAnsi" w:hAnsiTheme="minorHAnsi" w:cstheme="minorHAnsi"/>
                <w:sz w:val="17"/>
                <w:szCs w:val="17"/>
              </w:rPr>
              <w:t>Peru+Tanzania</w:t>
            </w:r>
            <w:proofErr w:type="spellEnd"/>
            <w:r>
              <w:rPr>
                <w:rFonts w:asciiTheme="minorHAnsi" w:hAnsiTheme="minorHAnsi" w:cstheme="minorHAnsi"/>
                <w:sz w:val="17"/>
                <w:szCs w:val="17"/>
              </w:rPr>
              <w:t xml:space="preserve"> PMID:27503512</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494</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Plasma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(DIRECT: measured at 3, 7, 15, 24 months) + plasma tryptophan and KTR ratio. Peru (n=270) and Tanzania (n=224) combined.</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DIRECT (early-age limited). Plasma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directly measured. The paper examined </w:t>
            </w:r>
            <w:proofErr w:type="spellStart"/>
            <w:r>
              <w:rPr>
                <w:rFonts w:asciiTheme="minorHAnsi" w:hAnsiTheme="minorHAnsi" w:cstheme="minorHAnsi"/>
                <w:sz w:val="17"/>
                <w:szCs w:val="17"/>
              </w:rPr>
              <w:t>citrulline→subsequent</w:t>
            </w:r>
            <w:proofErr w:type="spellEnd"/>
            <w:r>
              <w:rPr>
                <w:rFonts w:asciiTheme="minorHAnsi" w:hAnsiTheme="minorHAnsi" w:cstheme="minorHAnsi"/>
                <w:sz w:val="17"/>
                <w:szCs w:val="17"/>
              </w:rPr>
              <w:t xml:space="preserve"> LAZ separately from tryptophan/KTR. </w:t>
            </w:r>
            <w:proofErr w:type="spellStart"/>
            <w:r>
              <w:rPr>
                <w:rFonts w:asciiTheme="minorHAnsi" w:hAnsiTheme="minorHAnsi" w:cstheme="minorHAnsi"/>
                <w:sz w:val="17"/>
                <w:szCs w:val="17"/>
              </w:rPr>
              <w:t>Citrulline→LAZ</w:t>
            </w:r>
            <w:proofErr w:type="spellEnd"/>
            <w:r>
              <w:rPr>
                <w:rFonts w:asciiTheme="minorHAnsi" w:hAnsiTheme="minorHAnsi" w:cstheme="minorHAnsi"/>
                <w:sz w:val="17"/>
                <w:szCs w:val="17"/>
              </w:rPr>
              <w:t xml:space="preserve"> was statistically significant only when measured at 3 months of age (predicting growth in the 3–8 month interval); the association was NOT present at 7, 15, or 24 months. </w:t>
            </w:r>
            <w:proofErr w:type="gramStart"/>
            <w:r>
              <w:rPr>
                <w:rFonts w:asciiTheme="minorHAnsi" w:hAnsiTheme="minorHAnsi" w:cstheme="minorHAnsi"/>
                <w:sz w:val="17"/>
                <w:szCs w:val="17"/>
              </w:rPr>
              <w:t>β</w:t>
            </w:r>
            <w:proofErr w:type="gramEnd"/>
            <w:r>
              <w:rPr>
                <w:rFonts w:asciiTheme="minorHAnsi" w:hAnsiTheme="minorHAnsi" w:cstheme="minorHAnsi"/>
                <w:sz w:val="17"/>
                <w:szCs w:val="17"/>
              </w:rPr>
              <w:t xml:space="preserve"> ≈ 0.002 is a conservative approximation of the 3-month effect size; the original paper does not tabulate a single per-SD β but reports the association as present at 3 months only.</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0.002</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0.008</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MODERATE quality. Direct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measurement. Effect limited to 3 months of age; NOT present at 12–18 months (trial age range).</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CE4D6"/>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Sensitivity upper bound (NOT a study row)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SHINE Same cohort as Row 1</w:t>
            </w:r>
          </w:p>
        </w:tc>
        <w:tc>
          <w:tcPr>
            <w:tcW w:w="0" w:type="auto"/>
            <w:tcBorders>
              <w:top w:val="single" w:sz="1" w:space="0" w:color="AAAAAA"/>
              <w:left w:val="single" w:sz="1" w:space="0" w:color="AAAAAA"/>
              <w:bottom w:val="single" w:sz="1" w:space="0" w:color="AAAAAA"/>
              <w:right w:val="single" w:sz="1" w:space="0" w:color="AAAAAA"/>
            </w:tcBorders>
            <w:shd w:val="clear" w:color="auto" w:fill="FCE4D6"/>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1,169</w:t>
            </w:r>
          </w:p>
        </w:tc>
        <w:tc>
          <w:tcPr>
            <w:tcW w:w="0" w:type="auto"/>
            <w:tcBorders>
              <w:top w:val="single" w:sz="1" w:space="0" w:color="AAAAAA"/>
              <w:left w:val="single" w:sz="1" w:space="0" w:color="AAAAAA"/>
              <w:bottom w:val="single" w:sz="1" w:space="0" w:color="AAAAAA"/>
              <w:right w:val="single" w:sz="1" w:space="0" w:color="AAAAAA"/>
            </w:tcBorders>
            <w:shd w:val="clear" w:color="auto" w:fill="FCE4D6"/>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Plasma IGF-1 (NOT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Measured directly in SHINE. Used only as biological upper ceiling for path b.</w:t>
            </w:r>
          </w:p>
        </w:tc>
        <w:tc>
          <w:tcPr>
            <w:tcW w:w="0" w:type="auto"/>
            <w:tcBorders>
              <w:top w:val="single" w:sz="1" w:space="0" w:color="AAAAAA"/>
              <w:left w:val="single" w:sz="1" w:space="0" w:color="AAAAAA"/>
              <w:bottom w:val="single" w:sz="1" w:space="0" w:color="AAAAAA"/>
              <w:right w:val="single" w:sz="1" w:space="0" w:color="AAAAAA"/>
            </w:tcBorders>
            <w:shd w:val="clear" w:color="auto" w:fill="FCE4D6"/>
            <w:tcMar>
              <w:top w:w="70" w:type="dxa"/>
              <w:left w:w="120" w:type="dxa"/>
              <w:bottom w:w="70" w:type="dxa"/>
              <w:right w:w="120" w:type="dxa"/>
            </w:tcMar>
          </w:tcPr>
          <w:p w:rsidR="00040C38" w:rsidRPr="00D97E5C" w:rsidRDefault="00D36294" w:rsidP="00F2162F">
            <w:pPr>
              <w:rPr>
                <w:rFonts w:asciiTheme="minorHAnsi" w:hAnsiTheme="minorHAnsi" w:cstheme="minorHAnsi"/>
              </w:rPr>
            </w:pPr>
            <w:r>
              <w:rPr>
                <w:rFonts w:asciiTheme="minorHAnsi" w:hAnsiTheme="minorHAnsi" w:cstheme="minorHAnsi"/>
                <w:sz w:val="17"/>
                <w:szCs w:val="17"/>
              </w:rPr>
              <w:t xml:space="preserve">SENSITIVITY CEILING — NOT A CITRULLINE ESTIMATE. The strongest statistically significant </w:t>
            </w:r>
            <w:proofErr w:type="spellStart"/>
            <w:r>
              <w:rPr>
                <w:rFonts w:asciiTheme="minorHAnsi" w:hAnsiTheme="minorHAnsi" w:cstheme="minorHAnsi"/>
                <w:sz w:val="17"/>
                <w:szCs w:val="17"/>
              </w:rPr>
              <w:t>EED-biomarker→growth</w:t>
            </w:r>
            <w:proofErr w:type="spellEnd"/>
            <w:r>
              <w:rPr>
                <w:rFonts w:asciiTheme="minorHAnsi" w:hAnsiTheme="minorHAnsi" w:cstheme="minorHAnsi"/>
                <w:sz w:val="17"/>
                <w:szCs w:val="17"/>
              </w:rPr>
              <w:t xml:space="preserve"> association in the SHINE cohort was plasma IGF-1 at 1 month of age (β = 0.118 ΔLAZ/month, 95% CI 0.024–0.211;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results section). This β corresponds to approximately 0.025 ΔLAZ per SD over a 12-week trial window. IGF-1 is downstream of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in the growth pathway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 enterocyte mass → IGF-1 release → growth). Using IGF-1’s effect size as the ceiling for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therefore intentionally overestimates path b, making the NIE ceiling of 10.8% a conservatively upward-biased bound. For this ceiling to be biologically coherent,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improvement must at least partially activate the </w:t>
            </w:r>
            <w:proofErr w:type="spellStart"/>
            <w:r>
              <w:rPr>
                <w:rFonts w:asciiTheme="minorHAnsi" w:hAnsiTheme="minorHAnsi" w:cstheme="minorHAnsi"/>
                <w:sz w:val="17"/>
                <w:szCs w:val="17"/>
              </w:rPr>
              <w:t>citrulline→enterocyte</w:t>
            </w:r>
            <w:proofErr w:type="spellEnd"/>
            <w:r>
              <w:rPr>
                <w:rFonts w:asciiTheme="minorHAnsi" w:hAnsiTheme="minorHAnsi" w:cstheme="minorHAnsi"/>
                <w:sz w:val="17"/>
                <w:szCs w:val="17"/>
              </w:rPr>
              <w:t xml:space="preserve"> mass→IGF-1→growth pathway in young children with MAM. </w:t>
            </w:r>
            <w:r>
              <w:rPr>
                <w:rFonts w:asciiTheme="minorHAnsi" w:hAnsiTheme="minorHAnsi" w:cstheme="minorHAnsi"/>
                <w:sz w:val="17"/>
                <w:szCs w:val="17"/>
              </w:rPr>
              <w:lastRenderedPageBreak/>
              <w:t>Evidence for this linkage in LMIC children is indirect: plasma IGF-1 correlates with linear growth velocity in sub-Saharan African and South Asian cohorts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and enterocyte mass is a known upstream regulator of hepatic IGF-1 secretion (</w:t>
            </w:r>
            <w:proofErr w:type="spellStart"/>
            <w:r>
              <w:rPr>
                <w:rFonts w:asciiTheme="minorHAnsi" w:hAnsiTheme="minorHAnsi" w:cstheme="minorHAnsi"/>
                <w:sz w:val="17"/>
                <w:szCs w:val="17"/>
              </w:rPr>
              <w:t>Thissen</w:t>
            </w:r>
            <w:proofErr w:type="spellEnd"/>
            <w:r>
              <w:rPr>
                <w:rFonts w:asciiTheme="minorHAnsi" w:hAnsiTheme="minorHAnsi" w:cstheme="minorHAnsi"/>
                <w:sz w:val="17"/>
                <w:szCs w:val="17"/>
              </w:rPr>
              <w:t xml:space="preserve"> et al. 1994). Direct evidence that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supplementation raises IGF-1 in MAM children is not available. The ceiling should therefore be interpreted as a biological plausibility bound rather than a measured </w:t>
            </w:r>
            <w:proofErr w:type="spellStart"/>
            <w:r>
              <w:rPr>
                <w:rFonts w:asciiTheme="minorHAnsi" w:hAnsiTheme="minorHAnsi" w:cstheme="minorHAnsi"/>
                <w:sz w:val="17"/>
                <w:szCs w:val="17"/>
              </w:rPr>
              <w:t>citrulline→growth</w:t>
            </w:r>
            <w:proofErr w:type="spellEnd"/>
            <w:r>
              <w:rPr>
                <w:rFonts w:asciiTheme="minorHAnsi" w:hAnsiTheme="minorHAnsi" w:cstheme="minorHAnsi"/>
                <w:sz w:val="17"/>
                <w:szCs w:val="17"/>
              </w:rPr>
              <w:t xml:space="preserve"> coefficient.</w:t>
            </w:r>
          </w:p>
        </w:tc>
        <w:tc>
          <w:tcPr>
            <w:tcW w:w="0" w:type="auto"/>
            <w:tcBorders>
              <w:top w:val="single" w:sz="1" w:space="0" w:color="AAAAAA"/>
              <w:left w:val="single" w:sz="1" w:space="0" w:color="AAAAAA"/>
              <w:bottom w:val="single" w:sz="1" w:space="0" w:color="AAAAAA"/>
              <w:right w:val="single" w:sz="1" w:space="0" w:color="AAAAAA"/>
            </w:tcBorders>
            <w:shd w:val="clear" w:color="auto" w:fill="FCE4D6"/>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lastRenderedPageBreak/>
              <w:t xml:space="preserve">0.025 (CEILING: based on IGF-1, not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w:t>
            </w:r>
          </w:p>
        </w:tc>
        <w:tc>
          <w:tcPr>
            <w:tcW w:w="0" w:type="auto"/>
            <w:tcBorders>
              <w:top w:val="single" w:sz="1" w:space="0" w:color="AAAAAA"/>
              <w:left w:val="single" w:sz="1" w:space="0" w:color="AAAAAA"/>
              <w:bottom w:val="single" w:sz="1" w:space="0" w:color="AAAAAA"/>
              <w:right w:val="single" w:sz="1" w:space="0" w:color="AAAAAA"/>
            </w:tcBorders>
            <w:shd w:val="clear" w:color="auto" w:fill="FCE4D6"/>
            <w:tcMar>
              <w:top w:w="70" w:type="dxa"/>
              <w:left w:w="120" w:type="dxa"/>
              <w:bottom w:w="70" w:type="dxa"/>
              <w:right w:w="120" w:type="dxa"/>
            </w:tcMar>
          </w:tcPr>
          <w:p w:rsidR="00040C38" w:rsidRPr="00D97E5C" w:rsidRDefault="00D36294">
            <w:pPr>
              <w:jc w:val="center"/>
              <w:rPr>
                <w:rFonts w:asciiTheme="minorHAnsi" w:hAnsiTheme="minorHAnsi" w:cstheme="minorHAnsi"/>
              </w:rPr>
            </w:pPr>
            <w:r>
              <w:rPr>
                <w:rFonts w:asciiTheme="minorHAnsi" w:hAnsiTheme="minorHAnsi" w:cstheme="minorHAnsi"/>
                <w:sz w:val="17"/>
                <w:szCs w:val="17"/>
              </w:rPr>
              <w:t>0.015</w:t>
            </w:r>
          </w:p>
        </w:tc>
        <w:tc>
          <w:tcPr>
            <w:tcW w:w="0" w:type="auto"/>
            <w:tcBorders>
              <w:top w:val="single" w:sz="1" w:space="0" w:color="AAAAAA"/>
              <w:left w:val="single" w:sz="1" w:space="0" w:color="AAAAAA"/>
              <w:bottom w:val="single" w:sz="1" w:space="0" w:color="AAAAAA"/>
              <w:right w:val="single" w:sz="1" w:space="0" w:color="AAAAAA"/>
            </w:tcBorders>
            <w:shd w:val="clear" w:color="auto" w:fill="FCE4D6"/>
            <w:tcMar>
              <w:top w:w="70" w:type="dxa"/>
              <w:left w:w="120" w:type="dxa"/>
              <w:bottom w:w="70" w:type="dxa"/>
              <w:right w:w="120" w:type="dxa"/>
            </w:tcMar>
          </w:tcPr>
          <w:p w:rsidR="00040C38" w:rsidRPr="00D97E5C" w:rsidRDefault="00D36294">
            <w:pPr>
              <w:rPr>
                <w:rFonts w:asciiTheme="minorHAnsi" w:hAnsiTheme="minorHAnsi" w:cstheme="minorHAnsi"/>
              </w:rPr>
            </w:pPr>
            <w:r>
              <w:rPr>
                <w:rFonts w:ascii="Segoe UI Symbol" w:hAnsi="Segoe UI Symbol" w:cs="Segoe UI Symbol"/>
                <w:sz w:val="17"/>
                <w:szCs w:val="17"/>
              </w:rPr>
              <w:t>⚠</w:t>
            </w:r>
            <w:r>
              <w:rPr>
                <w:rFonts w:asciiTheme="minorHAnsi" w:hAnsiTheme="minorHAnsi" w:cstheme="minorHAnsi"/>
                <w:sz w:val="17"/>
                <w:szCs w:val="17"/>
              </w:rPr>
              <w:t xml:space="preserve"> NOT A CITRULLINE ESTIMATE. IGF-1 β used as biological ceiling. Intentionally OVERESTIMATES path b. NIE ceiling = 10.8% is upward-biased. Any true </w:t>
            </w:r>
            <w:proofErr w:type="spellStart"/>
            <w:r>
              <w:rPr>
                <w:rFonts w:asciiTheme="minorHAnsi" w:hAnsiTheme="minorHAnsi" w:cstheme="minorHAnsi"/>
                <w:sz w:val="17"/>
                <w:szCs w:val="17"/>
              </w:rPr>
              <w:t>cit→growth</w:t>
            </w:r>
            <w:proofErr w:type="spellEnd"/>
            <w:r>
              <w:rPr>
                <w:rFonts w:asciiTheme="minorHAnsi" w:hAnsiTheme="minorHAnsi" w:cstheme="minorHAnsi"/>
                <w:sz w:val="17"/>
                <w:szCs w:val="17"/>
              </w:rPr>
              <w:t xml:space="preserve"> effect is bounded below this.</w:t>
            </w:r>
          </w:p>
        </w:tc>
      </w:tr>
    </w:tbl>
    <w:p w:rsidR="00040C38" w:rsidRPr="00D97E5C" w:rsidRDefault="00040C38">
      <w:pPr>
        <w:spacing w:before="80"/>
        <w:rPr>
          <w:rFonts w:asciiTheme="minorHAnsi" w:hAnsiTheme="minorHAnsi" w:cstheme="minorHAnsi"/>
        </w:rPr>
      </w:pPr>
    </w:p>
    <w:p w:rsidR="00040C38" w:rsidRPr="00D97E5C" w:rsidRDefault="00D36294">
      <w:pPr>
        <w:spacing w:before="50" w:after="50"/>
        <w:rPr>
          <w:rFonts w:asciiTheme="minorHAnsi" w:hAnsiTheme="minorHAnsi" w:cstheme="minorHAnsi"/>
        </w:rPr>
      </w:pPr>
      <w:r>
        <w:rPr>
          <w:rFonts w:asciiTheme="minorHAnsi" w:hAnsiTheme="minorHAnsi" w:cstheme="minorHAnsi"/>
          <w:color w:val="555555"/>
          <w:sz w:val="15"/>
          <w:szCs w:val="15"/>
        </w:rPr>
        <w:t xml:space="preserve">PRIMARY (k=2 precision-weighted average, </w:t>
      </w:r>
      <w:proofErr w:type="spellStart"/>
      <w:r>
        <w:rPr>
          <w:rFonts w:asciiTheme="minorHAnsi" w:hAnsiTheme="minorHAnsi" w:cstheme="minorHAnsi"/>
          <w:color w:val="555555"/>
          <w:sz w:val="15"/>
          <w:szCs w:val="15"/>
        </w:rPr>
        <w:t>Mutasa</w:t>
      </w:r>
      <w:proofErr w:type="spellEnd"/>
      <w:r>
        <w:rPr>
          <w:rFonts w:asciiTheme="minorHAnsi" w:hAnsiTheme="minorHAnsi" w:cstheme="minorHAnsi"/>
          <w:color w:val="555555"/>
          <w:sz w:val="15"/>
          <w:szCs w:val="15"/>
        </w:rPr>
        <w:t xml:space="preserve"> 2021 + </w:t>
      </w:r>
      <w:proofErr w:type="spellStart"/>
      <w:r>
        <w:rPr>
          <w:rFonts w:asciiTheme="minorHAnsi" w:hAnsiTheme="minorHAnsi" w:cstheme="minorHAnsi"/>
          <w:color w:val="555555"/>
          <w:sz w:val="15"/>
          <w:szCs w:val="15"/>
        </w:rPr>
        <w:t>Kosek</w:t>
      </w:r>
      <w:proofErr w:type="spellEnd"/>
      <w:r>
        <w:rPr>
          <w:rFonts w:asciiTheme="minorHAnsi" w:hAnsiTheme="minorHAnsi" w:cstheme="minorHAnsi"/>
          <w:color w:val="555555"/>
          <w:sz w:val="15"/>
          <w:szCs w:val="15"/>
        </w:rPr>
        <w:t xml:space="preserve"> 2016): β = 0.0023 ΔLAZ per SD </w:t>
      </w:r>
      <w:proofErr w:type="spellStart"/>
      <w:r>
        <w:rPr>
          <w:rFonts w:asciiTheme="minorHAnsi" w:hAnsiTheme="minorHAnsi" w:cstheme="minorHAnsi"/>
          <w:color w:val="555555"/>
          <w:sz w:val="15"/>
          <w:szCs w:val="15"/>
        </w:rPr>
        <w:t>citrulline</w:t>
      </w:r>
      <w:proofErr w:type="spellEnd"/>
      <w:r>
        <w:rPr>
          <w:rFonts w:asciiTheme="minorHAnsi" w:hAnsiTheme="minorHAnsi" w:cstheme="minorHAnsi"/>
          <w:color w:val="555555"/>
          <w:sz w:val="15"/>
          <w:szCs w:val="15"/>
        </w:rPr>
        <w:t xml:space="preserve"> (95% CI −0.011 to +0.015); </w:t>
      </w:r>
      <w:r>
        <w:rPr>
          <w:rFonts w:asciiTheme="minorHAnsi" w:hAnsiTheme="minorHAnsi" w:cstheme="minorHAnsi"/>
          <w:i/>
          <w:iCs/>
          <w:color w:val="555555"/>
          <w:sz w:val="15"/>
          <w:szCs w:val="15"/>
        </w:rPr>
        <w:t>I²</w:t>
      </w:r>
      <w:r>
        <w:rPr>
          <w:rFonts w:asciiTheme="minorHAnsi" w:hAnsiTheme="minorHAnsi" w:cstheme="minorHAnsi"/>
          <w:color w:val="555555"/>
          <w:sz w:val="15"/>
          <w:szCs w:val="15"/>
        </w:rPr>
        <w:t xml:space="preserve">=0% (arithmetically uninformative at k=2). NIE = 123.10 × 0.0023 / 215 = 0.00132 ΔWLZ (1.0% of total effect). SINGLE-STUDY REFERENCE (k=1, </w:t>
      </w:r>
      <w:proofErr w:type="spellStart"/>
      <w:r>
        <w:rPr>
          <w:rFonts w:asciiTheme="minorHAnsi" w:hAnsiTheme="minorHAnsi" w:cstheme="minorHAnsi"/>
          <w:color w:val="555555"/>
          <w:sz w:val="15"/>
          <w:szCs w:val="15"/>
        </w:rPr>
        <w:t>Mutasa</w:t>
      </w:r>
      <w:proofErr w:type="spellEnd"/>
      <w:r>
        <w:rPr>
          <w:rFonts w:asciiTheme="minorHAnsi" w:hAnsiTheme="minorHAnsi" w:cstheme="minorHAnsi"/>
          <w:color w:val="555555"/>
          <w:sz w:val="15"/>
          <w:szCs w:val="15"/>
        </w:rPr>
        <w:t xml:space="preserve"> 2021 alone): β = 0.003 ΔLAZ per SD </w:t>
      </w:r>
      <w:proofErr w:type="spellStart"/>
      <w:r>
        <w:rPr>
          <w:rFonts w:asciiTheme="minorHAnsi" w:hAnsiTheme="minorHAnsi" w:cstheme="minorHAnsi"/>
          <w:color w:val="555555"/>
          <w:sz w:val="15"/>
          <w:szCs w:val="15"/>
        </w:rPr>
        <w:t>citrulline</w:t>
      </w:r>
      <w:proofErr w:type="spellEnd"/>
      <w:r>
        <w:rPr>
          <w:rFonts w:asciiTheme="minorHAnsi" w:hAnsiTheme="minorHAnsi" w:cstheme="minorHAnsi"/>
          <w:color w:val="555555"/>
          <w:sz w:val="15"/>
          <w:szCs w:val="15"/>
        </w:rPr>
        <w:t xml:space="preserve">; NIE = 123.10 × 0.003 / 215 = 0.00172 ΔWLZ (1.3% of total effect). SENSITIVITY (k=3, including Campbell 2017 proxy): β = 0.0016 ΔLAZ per SD </w:t>
      </w:r>
      <w:proofErr w:type="spellStart"/>
      <w:r>
        <w:rPr>
          <w:rFonts w:asciiTheme="minorHAnsi" w:hAnsiTheme="minorHAnsi" w:cstheme="minorHAnsi"/>
          <w:color w:val="555555"/>
          <w:sz w:val="15"/>
          <w:szCs w:val="15"/>
        </w:rPr>
        <w:t>citrulline</w:t>
      </w:r>
      <w:proofErr w:type="spellEnd"/>
      <w:r>
        <w:rPr>
          <w:rFonts w:asciiTheme="minorHAnsi" w:hAnsiTheme="minorHAnsi" w:cstheme="minorHAnsi"/>
          <w:color w:val="555555"/>
          <w:sz w:val="15"/>
          <w:szCs w:val="15"/>
        </w:rPr>
        <w:t xml:space="preserve"> (95% CI −0.0093 to +0.0125); </w:t>
      </w:r>
      <w:r>
        <w:rPr>
          <w:rFonts w:asciiTheme="minorHAnsi" w:hAnsiTheme="minorHAnsi" w:cstheme="minorHAnsi"/>
          <w:i/>
          <w:iCs/>
          <w:color w:val="555555"/>
          <w:sz w:val="15"/>
          <w:szCs w:val="15"/>
        </w:rPr>
        <w:t>I²</w:t>
      </w:r>
      <w:r>
        <w:rPr>
          <w:rFonts w:asciiTheme="minorHAnsi" w:hAnsiTheme="minorHAnsi" w:cstheme="minorHAnsi"/>
          <w:color w:val="555555"/>
          <w:sz w:val="15"/>
          <w:szCs w:val="15"/>
        </w:rPr>
        <w:t xml:space="preserve"> = 0%; Q p = 0.98. NIE = 123.10 × 0.0016 / 215 = 0.00092 ΔWLZ (0.7% of total effect [0.00092 / 0.132 ΔWLZ total effect × 100], 95% CI −4.0% to +5.4%). </w:t>
      </w:r>
      <w:proofErr w:type="spellStart"/>
      <w:r>
        <w:rPr>
          <w:rFonts w:asciiTheme="minorHAnsi" w:hAnsiTheme="minorHAnsi" w:cstheme="minorHAnsi"/>
          <w:color w:val="555555"/>
          <w:sz w:val="15"/>
          <w:szCs w:val="15"/>
        </w:rPr>
        <w:t>Colston</w:t>
      </w:r>
      <w:proofErr w:type="spellEnd"/>
      <w:r>
        <w:rPr>
          <w:rFonts w:asciiTheme="minorHAnsi" w:hAnsiTheme="minorHAnsi" w:cstheme="minorHAnsi"/>
          <w:color w:val="555555"/>
          <w:sz w:val="15"/>
          <w:szCs w:val="15"/>
        </w:rPr>
        <w:t>-inclusive bound (β≈0.008 semi-direct LASSO+OLS estimate used as single-study upper-reading scenario, not pooled): NIE ≈ 0.0041 ΔWLZ (3.1%). Upper bound with biological ceiling (β=0.025): NIE = 0.01426 ΔWLZ (10.8%). The near-null conclusion holds across all scenarios. All arithmetic reproducible from the companion Python script.</w:t>
      </w:r>
    </w:p>
    <w:p w:rsidR="00040C38" w:rsidRPr="00D97E5C" w:rsidRDefault="00D36294" w:rsidP="007C1E10">
      <w:pPr>
        <w:spacing w:before="50" w:after="50"/>
        <w:rPr>
          <w:rFonts w:asciiTheme="minorHAnsi" w:hAnsiTheme="minorHAnsi" w:cstheme="minorHAnsi"/>
        </w:rPr>
      </w:pPr>
      <w:r>
        <w:rPr>
          <w:rFonts w:asciiTheme="minorHAnsi" w:hAnsiTheme="minorHAnsi" w:cstheme="minorHAnsi"/>
          <w:color w:val="555555"/>
          <w:sz w:val="15"/>
          <w:szCs w:val="15"/>
        </w:rPr>
        <w:t xml:space="preserve">SE values: </w:t>
      </w:r>
      <w:proofErr w:type="spellStart"/>
      <w:r>
        <w:rPr>
          <w:rFonts w:asciiTheme="minorHAnsi" w:hAnsiTheme="minorHAnsi" w:cstheme="minorHAnsi"/>
          <w:color w:val="555555"/>
          <w:sz w:val="15"/>
          <w:szCs w:val="15"/>
        </w:rPr>
        <w:t>Mutasa</w:t>
      </w:r>
      <w:proofErr w:type="spellEnd"/>
      <w:r>
        <w:rPr>
          <w:rFonts w:asciiTheme="minorHAnsi" w:hAnsiTheme="minorHAnsi" w:cstheme="minorHAnsi"/>
          <w:color w:val="555555"/>
          <w:sz w:val="15"/>
          <w:szCs w:val="15"/>
        </w:rPr>
        <w:t xml:space="preserve"> 2021 SE (0.012) derived from null CI width. </w:t>
      </w:r>
      <w:proofErr w:type="spellStart"/>
      <w:r>
        <w:rPr>
          <w:rFonts w:asciiTheme="minorHAnsi" w:hAnsiTheme="minorHAnsi" w:cstheme="minorHAnsi"/>
          <w:color w:val="555555"/>
          <w:sz w:val="15"/>
          <w:szCs w:val="15"/>
        </w:rPr>
        <w:t>Kosek</w:t>
      </w:r>
      <w:proofErr w:type="spellEnd"/>
      <w:r>
        <w:rPr>
          <w:rFonts w:asciiTheme="minorHAnsi" w:hAnsiTheme="minorHAnsi" w:cstheme="minorHAnsi"/>
          <w:color w:val="555555"/>
          <w:sz w:val="15"/>
          <w:szCs w:val="15"/>
        </w:rPr>
        <w:t xml:space="preserve"> 2016 SE (0.008) consistent with </w:t>
      </w:r>
      <w:r>
        <w:rPr>
          <w:rFonts w:asciiTheme="minorHAnsi" w:hAnsiTheme="minorHAnsi" w:cstheme="minorHAnsi"/>
          <w:i/>
          <w:iCs/>
          <w:color w:val="555555"/>
          <w:sz w:val="15"/>
          <w:szCs w:val="15"/>
        </w:rPr>
        <w:t>n</w:t>
      </w:r>
      <w:r>
        <w:rPr>
          <w:rFonts w:asciiTheme="minorHAnsi" w:hAnsiTheme="minorHAnsi" w:cstheme="minorHAnsi"/>
          <w:color w:val="555555"/>
          <w:sz w:val="15"/>
          <w:szCs w:val="15"/>
        </w:rPr>
        <w:t xml:space="preserve">=494. </w:t>
      </w:r>
      <w:proofErr w:type="spellStart"/>
      <w:r>
        <w:rPr>
          <w:rFonts w:asciiTheme="minorHAnsi" w:hAnsiTheme="minorHAnsi" w:cstheme="minorHAnsi"/>
          <w:color w:val="555555"/>
          <w:sz w:val="15"/>
          <w:szCs w:val="15"/>
        </w:rPr>
        <w:t>Colston</w:t>
      </w:r>
      <w:proofErr w:type="spellEnd"/>
      <w:r>
        <w:rPr>
          <w:rFonts w:asciiTheme="minorHAnsi" w:hAnsiTheme="minorHAnsi" w:cstheme="minorHAnsi"/>
          <w:color w:val="555555"/>
          <w:sz w:val="15"/>
          <w:szCs w:val="15"/>
        </w:rPr>
        <w:t xml:space="preserve"> 2019 SE (0.015) reflects additional uncertainty from non-linear relationship approximation.</w:t>
      </w:r>
      <w:r>
        <w:t xml:space="preserve"> </w:t>
      </w:r>
      <w:r>
        <w:rPr>
          <w:rFonts w:asciiTheme="minorHAnsi" w:hAnsiTheme="minorHAnsi" w:cstheme="minorHAnsi"/>
          <w:color w:val="555555"/>
          <w:sz w:val="15"/>
          <w:szCs w:val="15"/>
        </w:rPr>
        <w:t xml:space="preserve">PRIMARY ANALYSIS (k=2 two-study precision-weighted average, </w:t>
      </w:r>
      <w:proofErr w:type="spellStart"/>
      <w:r>
        <w:rPr>
          <w:rFonts w:asciiTheme="minorHAnsi" w:hAnsiTheme="minorHAnsi" w:cstheme="minorHAnsi"/>
          <w:color w:val="555555"/>
          <w:sz w:val="15"/>
          <w:szCs w:val="15"/>
        </w:rPr>
        <w:t>Mutasa</w:t>
      </w:r>
      <w:proofErr w:type="spellEnd"/>
      <w:r>
        <w:rPr>
          <w:rFonts w:asciiTheme="minorHAnsi" w:hAnsiTheme="minorHAnsi" w:cstheme="minorHAnsi"/>
          <w:color w:val="555555"/>
          <w:sz w:val="15"/>
          <w:szCs w:val="15"/>
        </w:rPr>
        <w:t xml:space="preserve"> 2021 + </w:t>
      </w:r>
      <w:proofErr w:type="spellStart"/>
      <w:r>
        <w:rPr>
          <w:rFonts w:asciiTheme="minorHAnsi" w:hAnsiTheme="minorHAnsi" w:cstheme="minorHAnsi"/>
          <w:color w:val="555555"/>
          <w:sz w:val="15"/>
          <w:szCs w:val="15"/>
        </w:rPr>
        <w:t>Kosek</w:t>
      </w:r>
      <w:proofErr w:type="spellEnd"/>
      <w:r>
        <w:rPr>
          <w:rFonts w:asciiTheme="minorHAnsi" w:hAnsiTheme="minorHAnsi" w:cstheme="minorHAnsi"/>
          <w:color w:val="555555"/>
          <w:sz w:val="15"/>
          <w:szCs w:val="15"/>
        </w:rPr>
        <w:t xml:space="preserve"> 2016): β = 0.0023 ΔLAZ/SD (95% CI −0.011 to +0.015; </w:t>
      </w:r>
      <w:r>
        <w:rPr>
          <w:rFonts w:asciiTheme="minorHAnsi" w:hAnsiTheme="minorHAnsi" w:cstheme="minorHAnsi"/>
          <w:i/>
          <w:iCs/>
          <w:color w:val="555555"/>
          <w:sz w:val="15"/>
          <w:szCs w:val="15"/>
        </w:rPr>
        <w:t>I²</w:t>
      </w:r>
      <w:r>
        <w:rPr>
          <w:rFonts w:asciiTheme="minorHAnsi" w:hAnsiTheme="minorHAnsi" w:cstheme="minorHAnsi"/>
          <w:color w:val="555555"/>
          <w:sz w:val="15"/>
          <w:szCs w:val="15"/>
        </w:rPr>
        <w:t xml:space="preserve"> = 0%; </w:t>
      </w:r>
      <w:proofErr w:type="spellStart"/>
      <w:r>
        <w:rPr>
          <w:rFonts w:asciiTheme="minorHAnsi" w:hAnsiTheme="minorHAnsi" w:cstheme="minorHAnsi"/>
          <w:color w:val="555555"/>
          <w:sz w:val="15"/>
          <w:szCs w:val="15"/>
        </w:rPr>
        <w:t>Mutasa</w:t>
      </w:r>
      <w:proofErr w:type="spellEnd"/>
      <w:r>
        <w:rPr>
          <w:rFonts w:asciiTheme="minorHAnsi" w:hAnsiTheme="minorHAnsi" w:cstheme="minorHAnsi"/>
          <w:color w:val="555555"/>
          <w:sz w:val="15"/>
          <w:szCs w:val="15"/>
        </w:rPr>
        <w:t xml:space="preserve"> 2021 + </w:t>
      </w:r>
      <w:proofErr w:type="spellStart"/>
      <w:r>
        <w:rPr>
          <w:rFonts w:asciiTheme="minorHAnsi" w:hAnsiTheme="minorHAnsi" w:cstheme="minorHAnsi"/>
          <w:color w:val="555555"/>
          <w:sz w:val="15"/>
          <w:szCs w:val="15"/>
        </w:rPr>
        <w:t>Kosek</w:t>
      </w:r>
      <w:proofErr w:type="spellEnd"/>
      <w:r>
        <w:rPr>
          <w:rFonts w:asciiTheme="minorHAnsi" w:hAnsiTheme="minorHAnsi" w:cstheme="minorHAnsi"/>
          <w:color w:val="555555"/>
          <w:sz w:val="15"/>
          <w:szCs w:val="15"/>
        </w:rPr>
        <w:t xml:space="preserve"> 2016); NIE = 1.0% of total effect. SINGLE-STUDY REFERENCE (k=1, </w:t>
      </w:r>
      <w:proofErr w:type="spellStart"/>
      <w:r>
        <w:rPr>
          <w:rFonts w:asciiTheme="minorHAnsi" w:hAnsiTheme="minorHAnsi" w:cstheme="minorHAnsi"/>
          <w:color w:val="555555"/>
          <w:sz w:val="15"/>
          <w:szCs w:val="15"/>
        </w:rPr>
        <w:t>Mutasa</w:t>
      </w:r>
      <w:proofErr w:type="spellEnd"/>
      <w:r>
        <w:rPr>
          <w:rFonts w:asciiTheme="minorHAnsi" w:hAnsiTheme="minorHAnsi" w:cstheme="minorHAnsi"/>
          <w:color w:val="555555"/>
          <w:sz w:val="15"/>
          <w:szCs w:val="15"/>
        </w:rPr>
        <w:t xml:space="preserve"> 2021 alone): β = 0.003 ΔLAZ/SD; NIE ≈ 1.3% of total effect. With only k=2 contributing studies the </w:t>
      </w:r>
      <w:proofErr w:type="spellStart"/>
      <w:r>
        <w:rPr>
          <w:rFonts w:asciiTheme="minorHAnsi" w:hAnsiTheme="minorHAnsi" w:cstheme="minorHAnsi"/>
          <w:color w:val="555555"/>
          <w:sz w:val="15"/>
          <w:szCs w:val="15"/>
        </w:rPr>
        <w:t>DerSimonian</w:t>
      </w:r>
      <w:proofErr w:type="spellEnd"/>
      <w:r>
        <w:rPr>
          <w:rFonts w:asciiTheme="minorHAnsi" w:hAnsiTheme="minorHAnsi" w:cstheme="minorHAnsi"/>
          <w:color w:val="555555"/>
          <w:sz w:val="15"/>
          <w:szCs w:val="15"/>
        </w:rPr>
        <w:t xml:space="preserve">–Laird estimator is a precision-weighted average of two point estimates; it cannot characterise cross-study heterogeneity, detect publication bias, or yield robust meta-analytic inference. </w:t>
      </w:r>
      <w:r>
        <w:rPr>
          <w:rFonts w:asciiTheme="minorHAnsi" w:hAnsiTheme="minorHAnsi" w:cstheme="minorHAnsi"/>
          <w:i/>
          <w:iCs/>
          <w:color w:val="555555"/>
          <w:sz w:val="15"/>
          <w:szCs w:val="15"/>
        </w:rPr>
        <w:t>I²</w:t>
      </w:r>
      <w:r>
        <w:rPr>
          <w:rFonts w:asciiTheme="minorHAnsi" w:hAnsiTheme="minorHAnsi" w:cstheme="minorHAnsi"/>
          <w:color w:val="555555"/>
          <w:sz w:val="15"/>
          <w:szCs w:val="15"/>
        </w:rPr>
        <w:t xml:space="preserve">=0% is arithmetically uninformative at k=2 and should not be read as evidence of cross-setting consistency. The estimate is reported as the appropriate weighted summary of primary-pool data; inferential weight rests on the consistent near-null direction of both </w:t>
      </w:r>
      <w:r>
        <w:rPr>
          <w:rFonts w:asciiTheme="minorHAnsi" w:hAnsiTheme="minorHAnsi" w:cstheme="minorHAnsi"/>
        </w:rPr>
        <w:br w:type="page"/>
      </w:r>
    </w:p>
    <w:p w:rsidR="00040C38" w:rsidRPr="00D97E5C" w:rsidRDefault="00D36294">
      <w:pPr>
        <w:pStyle w:val="Heading1"/>
        <w:spacing w:before="360" w:after="140"/>
        <w:rPr>
          <w:rFonts w:asciiTheme="minorHAnsi" w:hAnsiTheme="minorHAnsi" w:cstheme="minorHAnsi"/>
        </w:rPr>
      </w:pPr>
      <w:r>
        <w:rPr>
          <w:rFonts w:asciiTheme="minorHAnsi" w:hAnsiTheme="minorHAnsi" w:cstheme="minorHAnsi"/>
          <w:b/>
          <w:bCs/>
          <w:color w:val="1F4E79"/>
          <w:sz w:val="28"/>
          <w:szCs w:val="28"/>
        </w:rPr>
        <w:lastRenderedPageBreak/>
        <w:t>Supplementary Table S3. Transportability of Path b Estimates to the MDCF-2 Trial Population</w:t>
      </w:r>
    </w:p>
    <w:p w:rsidR="00040C38" w:rsidRPr="00D97E5C" w:rsidRDefault="00D36294">
      <w:pPr>
        <w:pStyle w:val="Heading2"/>
        <w:spacing w:before="260" w:after="100"/>
        <w:rPr>
          <w:rFonts w:asciiTheme="minorHAnsi" w:hAnsiTheme="minorHAnsi" w:cstheme="minorHAnsi"/>
        </w:rPr>
      </w:pPr>
      <w:r>
        <w:rPr>
          <w:rFonts w:asciiTheme="minorHAnsi" w:hAnsiTheme="minorHAnsi" w:cstheme="minorHAnsi"/>
          <w:b/>
          <w:bCs/>
          <w:sz w:val="22"/>
          <w:szCs w:val="22"/>
        </w:rPr>
        <w:t>S3.1 Rationale and Study-Level Transportability Flags</w:t>
      </w:r>
    </w:p>
    <w:p w:rsidR="00040C38" w:rsidRPr="00D97E5C" w:rsidRDefault="00D36294">
      <w:pPr>
        <w:spacing w:before="80" w:after="80"/>
        <w:rPr>
          <w:rFonts w:asciiTheme="minorHAnsi" w:hAnsiTheme="minorHAnsi" w:cstheme="minorHAnsi"/>
        </w:rPr>
      </w:pPr>
      <w:r>
        <w:rPr>
          <w:rFonts w:asciiTheme="minorHAnsi" w:hAnsiTheme="minorHAnsi" w:cstheme="minorHAnsi"/>
        </w:rPr>
        <w:t xml:space="preserve">Transportability of the path b coefficient (estimated in external cohorts) to the MDCF-2 Bangladesh MAM trial population is threatened if: (a) trial children had systematically different baseline </w:t>
      </w:r>
      <w:proofErr w:type="spellStart"/>
      <w:r>
        <w:rPr>
          <w:rFonts w:asciiTheme="minorHAnsi" w:hAnsiTheme="minorHAnsi" w:cstheme="minorHAnsi"/>
        </w:rPr>
        <w:t>citrulline</w:t>
      </w:r>
      <w:proofErr w:type="spellEnd"/>
      <w:r>
        <w:rPr>
          <w:rFonts w:asciiTheme="minorHAnsi" w:hAnsiTheme="minorHAnsi" w:cstheme="minorHAnsi"/>
        </w:rPr>
        <w:t>; (b) path b is strongly positively moderated by baseline malnutrition; or (c) EED severity or age structure of the cohorts differs importantly from the trial. Table S3 assesses each threat in turn.</w:t>
      </w:r>
    </w:p>
    <w:p w:rsidR="00040C38" w:rsidRPr="00D97E5C" w:rsidRDefault="00040C38">
      <w:pPr>
        <w:spacing w:before="80"/>
        <w:rPr>
          <w:rFonts w:asciiTheme="minorHAnsi" w:hAnsiTheme="minorHAnsi" w:cstheme="minorHAnsi"/>
        </w:rPr>
      </w:pPr>
    </w:p>
    <w:p w:rsidR="00040C38" w:rsidRPr="00D97E5C" w:rsidRDefault="00D36294">
      <w:pPr>
        <w:pStyle w:val="Heading2"/>
        <w:spacing w:before="260" w:after="100"/>
        <w:rPr>
          <w:rFonts w:asciiTheme="minorHAnsi" w:hAnsiTheme="minorHAnsi" w:cstheme="minorHAnsi"/>
        </w:rPr>
      </w:pPr>
      <w:r>
        <w:rPr>
          <w:rFonts w:asciiTheme="minorHAnsi" w:hAnsiTheme="minorHAnsi" w:cstheme="minorHAnsi"/>
          <w:b/>
          <w:bCs/>
          <w:sz w:val="22"/>
          <w:szCs w:val="22"/>
        </w:rPr>
        <w:t>S3.2 Transportability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589"/>
        <w:gridCol w:w="2548"/>
        <w:gridCol w:w="2548"/>
        <w:gridCol w:w="2513"/>
      </w:tblGrid>
      <w:tr w:rsidR="00040C38" w:rsidRPr="00D97E5C" w:rsidTr="00D36294">
        <w:trPr>
          <w:tblHeader/>
        </w:trPr>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Transportability criterion</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MDCF-2 trial (Mostafa 2024, Bangladesh MAM)</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Path b cohort(s) (most comparable)</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Assessment</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vAlign w:val="center"/>
          </w:tcPr>
          <w:p w:rsidR="00040C38" w:rsidRPr="00D97E5C" w:rsidRDefault="00D36294">
            <w:pPr>
              <w:jc w:val="center"/>
              <w:rPr>
                <w:rFonts w:asciiTheme="minorHAnsi" w:hAnsiTheme="minorHAnsi" w:cstheme="minorHAnsi"/>
              </w:rPr>
            </w:pPr>
            <w:r>
              <w:rPr>
                <w:rFonts w:asciiTheme="minorHAnsi" w:hAnsiTheme="minorHAnsi" w:cstheme="minorHAnsi"/>
                <w:b/>
                <w:bCs/>
                <w:color w:val="1F4E79"/>
                <w:sz w:val="17"/>
                <w:szCs w:val="17"/>
              </w:rPr>
              <w:t>Conclusion</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Default="00040C38">
            <w:r>
              <w:rPr>
                <w:rFonts w:asciiTheme="minorHAnsi" w:hAnsiTheme="minorHAnsi" w:cstheme="minorHAnsi"/>
                <w:b/>
                <w:bCs/>
                <w:sz w:val="17"/>
                <w:szCs w:val="17"/>
              </w:rPr>
              <w:t xml:space="preserve">Mechanism generating </w:t>
            </w:r>
            <w:proofErr w:type="spellStart"/>
            <w:r>
              <w:rPr>
                <w:rFonts w:asciiTheme="minorHAnsi" w:hAnsiTheme="minorHAnsi" w:cstheme="minorHAnsi"/>
                <w:b/>
                <w:bCs/>
                <w:sz w:val="17"/>
                <w:szCs w:val="17"/>
              </w:rPr>
              <w:t>citrulline</w:t>
            </w:r>
            <w:proofErr w:type="spellEnd"/>
            <w:r>
              <w:rPr>
                <w:rFonts w:asciiTheme="minorHAnsi" w:hAnsiTheme="minorHAnsi" w:cstheme="minorHAnsi"/>
                <w:b/>
                <w:bCs/>
                <w:sz w:val="17"/>
                <w:szCs w:val="17"/>
              </w:rPr>
              <w:t xml:space="preserve"> variation (constitutive population variation vs. intervention-induced change)</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Default="00040C38">
            <w:r>
              <w:rPr>
                <w:rFonts w:asciiTheme="minorHAnsi" w:hAnsiTheme="minorHAnsi" w:cstheme="minorHAnsi"/>
                <w:sz w:val="17"/>
                <w:szCs w:val="17"/>
              </w:rPr>
              <w:t xml:space="preserve">MDCF-2 trial: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elevated acutely (~+123 µ</w:t>
            </w:r>
            <w:proofErr w:type="spellStart"/>
            <w:r>
              <w:rPr>
                <w:rFonts w:asciiTheme="minorHAnsi" w:hAnsiTheme="minorHAnsi" w:cstheme="minorHAnsi"/>
                <w:sz w:val="17"/>
                <w:szCs w:val="17"/>
              </w:rPr>
              <w:t>mol</w:t>
            </w:r>
            <w:proofErr w:type="spellEnd"/>
            <w:r>
              <w:rPr>
                <w:rFonts w:asciiTheme="minorHAnsi" w:hAnsiTheme="minorHAnsi" w:cstheme="minorHAnsi"/>
                <w:sz w:val="17"/>
                <w:szCs w:val="17"/>
              </w:rPr>
              <w:t>/L) by a prebiotic food over 12 weeks in treated children (experimental, intervention-induced change).</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Default="00040C38">
            <w:r>
              <w:rPr>
                <w:rFonts w:asciiTheme="minorHAnsi" w:hAnsiTheme="minorHAnsi" w:cstheme="minorHAnsi"/>
                <w:sz w:val="17"/>
                <w:szCs w:val="17"/>
              </w:rPr>
              <w:t xml:space="preserve">Path b cohorts: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variation reflects constitutive differences across children driven by infection history, diet, and microbiome composition (observational population variation). A child with constitutively higher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due to lower infection burden is not necessarily causally equivalent to a child whose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is experimentally elevated by a prebiotic food. If MDCF-2 raises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through a distinct cellular pathway (e.g., acute upregulation of enterocyte proliferation rather than reduced villous damage), the observational β may not capture the correct counterfactual. Two factors limit this concern: (a)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is mechanistically downstream of enterocyte mass regardless of proximal input, so the outcome pathway is the same; and (b) the near-zero pooled β is robust across multiple diverse settings. Cannot be fully resolved without individual-level trial data.</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Default="00040C38">
            <w:r>
              <w:rPr>
                <w:rFonts w:asciiTheme="minorHAnsi" w:hAnsiTheme="minorHAnsi" w:cstheme="minorHAnsi"/>
                <w:sz w:val="17"/>
                <w:szCs w:val="17"/>
              </w:rPr>
              <w:t>RESIDUAL THREAT (unresolvable without individual-level data). Both mitigating factors present. Near-zero pooled β robust across diverse settings; even granting plausible mechanistic divergence, NIE upper bound would have to be substantially underestimated for core conclusion to be reversed.</w:t>
            </w:r>
          </w:p>
        </w:tc>
        <w:tc>
          <w:tcPr>
            <w:tcW w:w="0" w:type="auto"/>
            <w:tcBorders>
              <w:top w:val="single" w:sz="1" w:space="0" w:color="AAAAAA"/>
              <w:left w:val="single" w:sz="1" w:space="0" w:color="AAAAAA"/>
              <w:bottom w:val="single" w:sz="1" w:space="0" w:color="AAAAAA"/>
              <w:right w:val="single" w:sz="1" w:space="0" w:color="AAAAAA"/>
            </w:tcBorders>
            <w:shd w:val="clear" w:color="auto" w:fill="FCE4D6"/>
            <w:tcMar>
              <w:top w:w="70" w:type="dxa"/>
              <w:left w:w="120" w:type="dxa"/>
              <w:bottom w:w="70" w:type="dxa"/>
              <w:right w:w="120" w:type="dxa"/>
            </w:tcMar>
          </w:tcPr>
          <w:p w:rsidR="00040C38" w:rsidRDefault="00040C38">
            <w:pPr>
              <w:rPr>
                <w:rFonts w:asciiTheme="minorHAnsi" w:hAnsiTheme="minorHAnsi" w:cstheme="minorHAnsi"/>
              </w:rPr>
            </w:pPr>
            <w:r>
              <w:rPr>
                <w:rFonts w:asciiTheme="minorHAnsi" w:hAnsiTheme="minorHAnsi" w:cstheme="minorHAnsi"/>
                <w:sz w:val="17"/>
                <w:szCs w:val="17"/>
              </w:rPr>
              <w:t xml:space="preserve">RESIDUAL THREAT. Mechanism non-equivalence cannot be fully resolved without individual-level RCT data linking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trajectory to growth in the trial population. Both mitigating factors weaken the threat: (a)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is mechanistically downstream of enterocyte mass regardless of proximal cause, and (b) the near-zero pooled β is robust across multiple diverse cohort settings. Core conclusion (≤11% NIE) is not reversed by this threat.</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b/>
                <w:bCs/>
                <w:sz w:val="17"/>
                <w:szCs w:val="17"/>
              </w:rPr>
              <w:t xml:space="preserve">Baseline </w:t>
            </w:r>
            <w:proofErr w:type="spellStart"/>
            <w:r>
              <w:rPr>
                <w:rFonts w:asciiTheme="minorHAnsi" w:hAnsiTheme="minorHAnsi" w:cstheme="minorHAnsi"/>
                <w:b/>
                <w:bCs/>
                <w:sz w:val="17"/>
                <w:szCs w:val="17"/>
              </w:rPr>
              <w:t>citrulline</w:t>
            </w:r>
            <w:proofErr w:type="spellEnd"/>
            <w:r>
              <w:rPr>
                <w:rFonts w:asciiTheme="minorHAnsi" w:hAnsiTheme="minorHAnsi" w:cstheme="minorHAnsi"/>
                <w:b/>
                <w:bCs/>
                <w:sz w:val="17"/>
                <w:szCs w:val="17"/>
              </w:rPr>
              <w:t xml:space="preserve"> level</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~590 µ</w:t>
            </w:r>
            <w:proofErr w:type="spellStart"/>
            <w:r>
              <w:rPr>
                <w:rFonts w:asciiTheme="minorHAnsi" w:hAnsiTheme="minorHAnsi" w:cstheme="minorHAnsi"/>
                <w:sz w:val="17"/>
                <w:szCs w:val="17"/>
              </w:rPr>
              <w:t>mol</w:t>
            </w:r>
            <w:proofErr w:type="spellEnd"/>
            <w:r>
              <w:rPr>
                <w:rFonts w:asciiTheme="minorHAnsi" w:hAnsiTheme="minorHAnsi" w:cstheme="minorHAnsi"/>
                <w:sz w:val="17"/>
                <w:szCs w:val="17"/>
              </w:rPr>
              <w:t>/L pooled (MDCF-2 arm: ~517 µ</w:t>
            </w:r>
            <w:proofErr w:type="spellStart"/>
            <w:r>
              <w:rPr>
                <w:rFonts w:asciiTheme="minorHAnsi" w:hAnsiTheme="minorHAnsi" w:cstheme="minorHAnsi"/>
                <w:sz w:val="17"/>
                <w:szCs w:val="17"/>
              </w:rPr>
              <w:t>mol</w:t>
            </w:r>
            <w:proofErr w:type="spellEnd"/>
            <w:r>
              <w:rPr>
                <w:rFonts w:asciiTheme="minorHAnsi" w:hAnsiTheme="minorHAnsi" w:cstheme="minorHAnsi"/>
                <w:sz w:val="17"/>
                <w:szCs w:val="17"/>
              </w:rPr>
              <w:t>/L; RUSF arm: ~662 µ</w:t>
            </w:r>
            <w:proofErr w:type="spellStart"/>
            <w:r>
              <w:rPr>
                <w:rFonts w:asciiTheme="minorHAnsi" w:hAnsiTheme="minorHAnsi" w:cstheme="minorHAnsi"/>
                <w:sz w:val="17"/>
                <w:szCs w:val="17"/>
              </w:rPr>
              <w:t>mol</w:t>
            </w:r>
            <w:proofErr w:type="spellEnd"/>
            <w:r>
              <w:rPr>
                <w:rFonts w:asciiTheme="minorHAnsi" w:hAnsiTheme="minorHAnsi" w:cstheme="minorHAnsi"/>
                <w:sz w:val="17"/>
                <w:szCs w:val="17"/>
              </w:rPr>
              <w:t>/L; Mostafa 2024)</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SHINE Zimbabwe: median ~400–550 µ</w:t>
            </w:r>
            <w:proofErr w:type="spellStart"/>
            <w:r>
              <w:rPr>
                <w:rFonts w:asciiTheme="minorHAnsi" w:hAnsiTheme="minorHAnsi" w:cstheme="minorHAnsi"/>
                <w:sz w:val="17"/>
                <w:szCs w:val="17"/>
              </w:rPr>
              <w:t>mol</w:t>
            </w:r>
            <w:proofErr w:type="spellEnd"/>
            <w:r>
              <w:rPr>
                <w:rFonts w:asciiTheme="minorHAnsi" w:hAnsiTheme="minorHAnsi" w:cstheme="minorHAnsi"/>
                <w:sz w:val="17"/>
                <w:szCs w:val="17"/>
              </w:rPr>
              <w:t>/L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MAL-ED Peru: comparable range (</w:t>
            </w:r>
            <w:proofErr w:type="spellStart"/>
            <w:r>
              <w:rPr>
                <w:rFonts w:asciiTheme="minorHAnsi" w:hAnsiTheme="minorHAnsi" w:cstheme="minorHAnsi"/>
                <w:sz w:val="17"/>
                <w:szCs w:val="17"/>
              </w:rPr>
              <w:t>Kosek</w:t>
            </w:r>
            <w:proofErr w:type="spellEnd"/>
            <w:r>
              <w:rPr>
                <w:rFonts w:asciiTheme="minorHAnsi" w:hAnsiTheme="minorHAnsi" w:cstheme="minorHAnsi"/>
                <w:sz w:val="17"/>
                <w:szCs w:val="17"/>
              </w:rPr>
              <w:t xml:space="preserve"> 2016)</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MDCF-2 trial pooled baseline (~590 µ</w:t>
            </w:r>
            <w:proofErr w:type="spellStart"/>
            <w:r>
              <w:rPr>
                <w:rFonts w:asciiTheme="minorHAnsi" w:hAnsiTheme="minorHAnsi" w:cstheme="minorHAnsi"/>
                <w:sz w:val="17"/>
                <w:szCs w:val="17"/>
              </w:rPr>
              <w:t>mol</w:t>
            </w:r>
            <w:proofErr w:type="spellEnd"/>
            <w:r>
              <w:rPr>
                <w:rFonts w:asciiTheme="minorHAnsi" w:hAnsiTheme="minorHAnsi" w:cstheme="minorHAnsi"/>
                <w:sz w:val="17"/>
                <w:szCs w:val="17"/>
              </w:rPr>
              <w:t xml:space="preserve">/L) overlaps the lower tail of the SHINE and MAL-ED cohort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distributions. The MDCF-2 arm baseline (~517 µ</w:t>
            </w:r>
            <w:proofErr w:type="spellStart"/>
            <w:r>
              <w:rPr>
                <w:rFonts w:asciiTheme="minorHAnsi" w:hAnsiTheme="minorHAnsi" w:cstheme="minorHAnsi"/>
                <w:sz w:val="17"/>
                <w:szCs w:val="17"/>
              </w:rPr>
              <w:t>mol</w:t>
            </w:r>
            <w:proofErr w:type="spellEnd"/>
            <w:r>
              <w:rPr>
                <w:rFonts w:asciiTheme="minorHAnsi" w:hAnsiTheme="minorHAnsi" w:cstheme="minorHAnsi"/>
                <w:sz w:val="17"/>
                <w:szCs w:val="17"/>
              </w:rPr>
              <w:t>/L) falls within the SHINE range, indicating the trial population is not an outlier with respect to the key mediator. No systematic offset that would directionally bias the path b estimate from these cohorts.</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SUPPORTS transportability. Baseline </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 xml:space="preserve"> in MDCF-2 trial overlaps path b cohorts; no evidence of systematic outlier status.</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b/>
                <w:bCs/>
                <w:sz w:val="17"/>
                <w:szCs w:val="17"/>
              </w:rPr>
              <w:t>EED severity and stunting burden</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Bangladesh MAM: high-EED, severe stunting prevalent; moderate acute malnutrition (WLZ −2 to −3) at enrolment</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SHINE Zimbabwe (</w:t>
            </w:r>
            <w:r>
              <w:rPr>
                <w:rFonts w:asciiTheme="minorHAnsi" w:hAnsiTheme="minorHAnsi" w:cstheme="minorHAnsi"/>
                <w:i/>
                <w:iCs/>
                <w:sz w:val="17"/>
                <w:szCs w:val="17"/>
              </w:rPr>
              <w:t>n</w:t>
            </w:r>
            <w:r>
              <w:rPr>
                <w:rFonts w:asciiTheme="minorHAnsi" w:hAnsiTheme="minorHAnsi" w:cstheme="minorHAnsi"/>
                <w:sz w:val="17"/>
                <w:szCs w:val="17"/>
              </w:rPr>
              <w:t>=1,169): high-EED, high-stunting rural sub-Saharan Africa. Best analogue for MAM-level EED burden among all path b cohorts.</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The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SHINE cohort is the most comparable path b study to the MDCF-2 trial population in both EED burden and malnutrition severity. SHINE reports a null </w:t>
            </w:r>
            <w:proofErr w:type="spellStart"/>
            <w:r>
              <w:rPr>
                <w:rFonts w:asciiTheme="minorHAnsi" w:hAnsiTheme="minorHAnsi" w:cstheme="minorHAnsi"/>
                <w:sz w:val="17"/>
                <w:szCs w:val="17"/>
              </w:rPr>
              <w:t>citrulline→growth</w:t>
            </w:r>
            <w:proofErr w:type="spellEnd"/>
            <w:r>
              <w:rPr>
                <w:rFonts w:asciiTheme="minorHAnsi" w:hAnsiTheme="minorHAnsi" w:cstheme="minorHAnsi"/>
                <w:sz w:val="17"/>
                <w:szCs w:val="17"/>
              </w:rPr>
              <w:t xml:space="preserve"> association across all age intervals in fully adjusted models </w:t>
            </w:r>
            <w:r>
              <w:rPr>
                <w:rFonts w:asciiTheme="minorHAnsi" w:hAnsiTheme="minorHAnsi" w:cstheme="minorHAnsi"/>
                <w:sz w:val="17"/>
                <w:szCs w:val="17"/>
              </w:rPr>
              <w:lastRenderedPageBreak/>
              <w:t>— the clearest and most relevant data point for the trial population. The null result is not explained by SHINE being a 'low-EED' or 'low-stunting' cohort; it is a high-burden setting.</w:t>
            </w:r>
          </w:p>
        </w:tc>
        <w:tc>
          <w:tcPr>
            <w:tcW w:w="0" w:type="auto"/>
            <w:tcBorders>
              <w:top w:val="single" w:sz="1" w:space="0" w:color="AAAAAA"/>
              <w:left w:val="single" w:sz="1" w:space="0" w:color="AAAAAA"/>
              <w:bottom w:val="single" w:sz="1" w:space="0" w:color="AAAAAA"/>
              <w:right w:val="single" w:sz="1" w:space="0" w:color="AAAAAA"/>
            </w:tcBorders>
            <w:shd w:val="clear" w:color="auto" w:fill="F2F2F2"/>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lastRenderedPageBreak/>
              <w:t>SUPPORTS null result. Most comparable cohort shows clearest null path b in adjusted models.</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b/>
                <w:bCs/>
                <w:sz w:val="17"/>
                <w:szCs w:val="17"/>
              </w:rPr>
              <w:t>Modification of path b by baseline malnutrition status (WLZ, LAZ)</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All children have MAM (WLZ −2 to −3) at enrolment; severe stunting prevalent</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No published study reports strong positive modification of </w:t>
            </w:r>
            <w:proofErr w:type="spellStart"/>
            <w:r>
              <w:rPr>
                <w:rFonts w:asciiTheme="minorHAnsi" w:hAnsiTheme="minorHAnsi" w:cstheme="minorHAnsi"/>
                <w:sz w:val="17"/>
                <w:szCs w:val="17"/>
              </w:rPr>
              <w:t>citrulline→growth</w:t>
            </w:r>
            <w:proofErr w:type="spellEnd"/>
            <w:r>
              <w:rPr>
                <w:rFonts w:asciiTheme="minorHAnsi" w:hAnsiTheme="minorHAnsi" w:cstheme="minorHAnsi"/>
                <w:sz w:val="17"/>
                <w:szCs w:val="17"/>
              </w:rPr>
              <w:t xml:space="preserve"> by WLZ or LAZ. Counter-examples sought but not identified (Harper 2018 systematic review PMID</w:t>
            </w:r>
            <w:proofErr w:type="gramStart"/>
            <w:r>
              <w:rPr>
                <w:rFonts w:asciiTheme="minorHAnsi" w:hAnsiTheme="minorHAnsi" w:cstheme="minorHAnsi"/>
                <w:sz w:val="17"/>
                <w:szCs w:val="17"/>
              </w:rPr>
              <w:t>:29300745</w:t>
            </w:r>
            <w:proofErr w:type="gramEnd"/>
            <w:r>
              <w:rPr>
                <w:rFonts w:asciiTheme="minorHAnsi" w:hAnsiTheme="minorHAnsi" w:cstheme="minorHAnsi"/>
                <w:sz w:val="17"/>
                <w:szCs w:val="17"/>
              </w:rPr>
              <w:t xml:space="preserve">; </w:t>
            </w:r>
            <w:proofErr w:type="spellStart"/>
            <w:r>
              <w:rPr>
                <w:rFonts w:asciiTheme="minorHAnsi" w:hAnsiTheme="minorHAnsi" w:cstheme="minorHAnsi"/>
                <w:sz w:val="17"/>
                <w:szCs w:val="17"/>
              </w:rPr>
              <w:t>Guerrant</w:t>
            </w:r>
            <w:proofErr w:type="spellEnd"/>
            <w:r>
              <w:rPr>
                <w:rFonts w:asciiTheme="minorHAnsi" w:hAnsiTheme="minorHAnsi" w:cstheme="minorHAnsi"/>
                <w:sz w:val="17"/>
                <w:szCs w:val="17"/>
              </w:rPr>
              <w:t xml:space="preserve"> 2016 review).</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A systematic search of the EED biomarker literature (including Harper et al. 2018 systematic review;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w:t>
            </w:r>
            <w:proofErr w:type="spellStart"/>
            <w:r>
              <w:rPr>
                <w:rFonts w:asciiTheme="minorHAnsi" w:hAnsiTheme="minorHAnsi" w:cstheme="minorHAnsi"/>
                <w:sz w:val="17"/>
                <w:szCs w:val="17"/>
              </w:rPr>
              <w:t>Colston</w:t>
            </w:r>
            <w:proofErr w:type="spellEnd"/>
            <w:r>
              <w:rPr>
                <w:rFonts w:asciiTheme="minorHAnsi" w:hAnsiTheme="minorHAnsi" w:cstheme="minorHAnsi"/>
                <w:sz w:val="17"/>
                <w:szCs w:val="17"/>
              </w:rPr>
              <w:t xml:space="preserve"> 2019; </w:t>
            </w:r>
            <w:proofErr w:type="spellStart"/>
            <w:r>
              <w:rPr>
                <w:rFonts w:asciiTheme="minorHAnsi" w:hAnsiTheme="minorHAnsi" w:cstheme="minorHAnsi"/>
                <w:sz w:val="17"/>
                <w:szCs w:val="17"/>
              </w:rPr>
              <w:t>Guerrant</w:t>
            </w:r>
            <w:proofErr w:type="spellEnd"/>
            <w:r>
              <w:rPr>
                <w:rFonts w:asciiTheme="minorHAnsi" w:hAnsiTheme="minorHAnsi" w:cstheme="minorHAnsi"/>
                <w:sz w:val="17"/>
                <w:szCs w:val="17"/>
              </w:rPr>
              <w:t xml:space="preserve"> 2016 systematic review) identified no study reporting that lower baseline WLZ or LAZ strengthens the </w:t>
            </w:r>
            <w:proofErr w:type="spellStart"/>
            <w:r>
              <w:rPr>
                <w:rFonts w:asciiTheme="minorHAnsi" w:hAnsiTheme="minorHAnsi" w:cstheme="minorHAnsi"/>
                <w:sz w:val="17"/>
                <w:szCs w:val="17"/>
              </w:rPr>
              <w:t>citrulline→growth</w:t>
            </w:r>
            <w:proofErr w:type="spellEnd"/>
            <w:r>
              <w:rPr>
                <w:rFonts w:asciiTheme="minorHAnsi" w:hAnsiTheme="minorHAnsi" w:cstheme="minorHAnsi"/>
                <w:sz w:val="17"/>
                <w:szCs w:val="17"/>
              </w:rPr>
              <w:t xml:space="preserve"> association. No counter-examples were found. For such modification to reverse the main conclusion, the interaction would need to push path b above β=0.025 (the existing ceiling) — approximately eight times the primary single-study estimate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alone: β=0.003) — for which no empirical support exists.</w:t>
            </w:r>
          </w:p>
        </w:tc>
        <w:tc>
          <w:tcPr>
            <w:tcW w:w="0" w:type="auto"/>
            <w:tcBorders>
              <w:top w:val="single" w:sz="1" w:space="0" w:color="AAAAAA"/>
              <w:left w:val="single" w:sz="1" w:space="0" w:color="AAAAAA"/>
              <w:bottom w:val="single" w:sz="1" w:space="0" w:color="AAAAAA"/>
              <w:right w:val="single" w:sz="1" w:space="0" w:color="AAAAAA"/>
            </w:tcBorders>
            <w:shd w:val="clear" w:color="auto" w:fill="FFF2CC"/>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No counter-examples found. Absence of published positive WLZ-modification evidence reduces this threat to transportability.</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b/>
                <w:bCs/>
                <w:sz w:val="17"/>
                <w:szCs w:val="17"/>
              </w:rPr>
              <w:t>Age of children and follow-up window</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12-week intervention; enrolment age ~12–18 months</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1–18 </w:t>
            </w:r>
            <w:proofErr w:type="spellStart"/>
            <w:r>
              <w:rPr>
                <w:rFonts w:asciiTheme="minorHAnsi" w:hAnsiTheme="minorHAnsi" w:cstheme="minorHAnsi"/>
                <w:sz w:val="17"/>
                <w:szCs w:val="17"/>
              </w:rPr>
              <w:t>mo</w:t>
            </w:r>
            <w:proofErr w:type="spellEnd"/>
            <w:r>
              <w:rPr>
                <w:rFonts w:asciiTheme="minorHAnsi" w:hAnsiTheme="minorHAnsi" w:cstheme="minorHAnsi"/>
                <w:sz w:val="17"/>
                <w:szCs w:val="17"/>
              </w:rPr>
              <w:t xml:space="preserve"> (overlapping). </w:t>
            </w:r>
            <w:proofErr w:type="spellStart"/>
            <w:r>
              <w:rPr>
                <w:rFonts w:asciiTheme="minorHAnsi" w:hAnsiTheme="minorHAnsi" w:cstheme="minorHAnsi"/>
                <w:sz w:val="17"/>
                <w:szCs w:val="17"/>
              </w:rPr>
              <w:t>Kosek</w:t>
            </w:r>
            <w:proofErr w:type="spellEnd"/>
            <w:r>
              <w:rPr>
                <w:rFonts w:asciiTheme="minorHAnsi" w:hAnsiTheme="minorHAnsi" w:cstheme="minorHAnsi"/>
                <w:sz w:val="17"/>
                <w:szCs w:val="17"/>
              </w:rPr>
              <w:t xml:space="preserve"> 2016: 3–24 mo. </w:t>
            </w:r>
            <w:proofErr w:type="spellStart"/>
            <w:r>
              <w:rPr>
                <w:rFonts w:asciiTheme="minorHAnsi" w:hAnsiTheme="minorHAnsi" w:cstheme="minorHAnsi"/>
                <w:sz w:val="17"/>
                <w:szCs w:val="17"/>
              </w:rPr>
              <w:t>Colston</w:t>
            </w:r>
            <w:proofErr w:type="spellEnd"/>
            <w:r>
              <w:rPr>
                <w:rFonts w:asciiTheme="minorHAnsi" w:hAnsiTheme="minorHAnsi" w:cstheme="minorHAnsi"/>
                <w:sz w:val="17"/>
                <w:szCs w:val="17"/>
              </w:rPr>
              <w:t xml:space="preserve"> 2019: 7–24 mo.</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All path b cohorts include the 12–18 month window central to the MDCF-2 trial. The </w:t>
            </w:r>
            <w:proofErr w:type="spellStart"/>
            <w:r>
              <w:rPr>
                <w:rFonts w:asciiTheme="minorHAnsi" w:hAnsiTheme="minorHAnsi" w:cstheme="minorHAnsi"/>
                <w:sz w:val="17"/>
                <w:szCs w:val="17"/>
              </w:rPr>
              <w:t>Kosek</w:t>
            </w:r>
            <w:proofErr w:type="spellEnd"/>
            <w:r>
              <w:rPr>
                <w:rFonts w:asciiTheme="minorHAnsi" w:hAnsiTheme="minorHAnsi" w:cstheme="minorHAnsi"/>
                <w:sz w:val="17"/>
                <w:szCs w:val="17"/>
              </w:rPr>
              <w:t xml:space="preserve"> 2016 </w:t>
            </w:r>
            <w:proofErr w:type="spellStart"/>
            <w:r>
              <w:rPr>
                <w:rFonts w:asciiTheme="minorHAnsi" w:hAnsiTheme="minorHAnsi" w:cstheme="minorHAnsi"/>
                <w:sz w:val="17"/>
                <w:szCs w:val="17"/>
              </w:rPr>
              <w:t>citrulline→growth</w:t>
            </w:r>
            <w:proofErr w:type="spellEnd"/>
            <w:r>
              <w:rPr>
                <w:rFonts w:asciiTheme="minorHAnsi" w:hAnsiTheme="minorHAnsi" w:cstheme="minorHAnsi"/>
                <w:sz w:val="17"/>
                <w:szCs w:val="17"/>
              </w:rPr>
              <w:t xml:space="preserve"> association was significant only at 3 months of age, not at 12–18 months. </w:t>
            </w:r>
            <w:proofErr w:type="spellStart"/>
            <w:r>
              <w:rPr>
                <w:rFonts w:asciiTheme="minorHAnsi" w:hAnsiTheme="minorHAnsi" w:cstheme="minorHAnsi"/>
                <w:sz w:val="17"/>
                <w:szCs w:val="17"/>
              </w:rPr>
              <w:t>Colston</w:t>
            </w:r>
            <w:proofErr w:type="spellEnd"/>
            <w:r>
              <w:rPr>
                <w:rFonts w:asciiTheme="minorHAnsi" w:hAnsiTheme="minorHAnsi" w:cstheme="minorHAnsi"/>
                <w:sz w:val="17"/>
                <w:szCs w:val="17"/>
              </w:rPr>
              <w:t xml:space="preserve"> 2019 and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2021 both cover the relevant age range and show null or near-null </w:t>
            </w:r>
            <w:proofErr w:type="spellStart"/>
            <w:r>
              <w:rPr>
                <w:rFonts w:asciiTheme="minorHAnsi" w:hAnsiTheme="minorHAnsi" w:cstheme="minorHAnsi"/>
                <w:sz w:val="17"/>
                <w:szCs w:val="17"/>
              </w:rPr>
              <w:t>citrulline→LAZ</w:t>
            </w:r>
            <w:proofErr w:type="spellEnd"/>
            <w:r>
              <w:rPr>
                <w:rFonts w:asciiTheme="minorHAnsi" w:hAnsiTheme="minorHAnsi" w:cstheme="minorHAnsi"/>
                <w:sz w:val="17"/>
                <w:szCs w:val="17"/>
              </w:rPr>
              <w:t xml:space="preserve"> associations at the ages corresponding to the trial population.</w:t>
            </w:r>
          </w:p>
        </w:tc>
        <w:tc>
          <w:tcPr>
            <w:tcW w:w="0" w:type="auto"/>
            <w:tcBorders>
              <w:top w:val="single" w:sz="1" w:space="0" w:color="AAAAAA"/>
              <w:left w:val="single" w:sz="1" w:space="0" w:color="AAAAAA"/>
              <w:bottom w:val="single" w:sz="1" w:space="0" w:color="AAAAAA"/>
              <w:right w:val="single" w:sz="1" w:space="0" w:color="AAAAAA"/>
            </w:tcBorders>
            <w:shd w:val="clear" w:color="auto" w:fill="FFFFFF"/>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Age structure provides no evidence of a positive </w:t>
            </w:r>
            <w:proofErr w:type="spellStart"/>
            <w:r>
              <w:rPr>
                <w:rFonts w:asciiTheme="minorHAnsi" w:hAnsiTheme="minorHAnsi" w:cstheme="minorHAnsi"/>
                <w:sz w:val="17"/>
                <w:szCs w:val="17"/>
              </w:rPr>
              <w:t>citrulline→growth</w:t>
            </w:r>
            <w:proofErr w:type="spellEnd"/>
            <w:r>
              <w:rPr>
                <w:rFonts w:asciiTheme="minorHAnsi" w:hAnsiTheme="minorHAnsi" w:cstheme="minorHAnsi"/>
                <w:sz w:val="17"/>
                <w:szCs w:val="17"/>
              </w:rPr>
              <w:t xml:space="preserve"> effect in the 12–18 month window relevant to the MDCF-2 trial.</w:t>
            </w:r>
          </w:p>
        </w:tc>
      </w:tr>
      <w:tr w:rsidR="00040C38" w:rsidRPr="00D97E5C" w:rsidTr="00D36294">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b/>
                <w:bCs/>
                <w:sz w:val="17"/>
                <w:szCs w:val="17"/>
              </w:rPr>
              <w:t>Weighted transportability adjustment by baseline WLZ (sensitivity analysis)</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MDCF-2 arm WLZ ≈ −2.0 to −2.5 (MAM range)</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Campbell 2017 Bangladesh (β=0, closest WLZ match) = floor. Sensitivity ceiling β=0.025 = ~8× primary single-study reference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alone: β=0.003); ~11× primary pooled estimate (k=2 average: β=0.0023).</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 xml:space="preserve">If WLZ-modification doubled the </w:t>
            </w:r>
            <w:proofErr w:type="spellStart"/>
            <w:r>
              <w:rPr>
                <w:rFonts w:asciiTheme="minorHAnsi" w:hAnsiTheme="minorHAnsi" w:cstheme="minorHAnsi"/>
                <w:sz w:val="17"/>
                <w:szCs w:val="17"/>
              </w:rPr>
              <w:t>citrulline→growth</w:t>
            </w:r>
            <w:proofErr w:type="spellEnd"/>
            <w:r>
              <w:rPr>
                <w:rFonts w:asciiTheme="minorHAnsi" w:hAnsiTheme="minorHAnsi" w:cstheme="minorHAnsi"/>
                <w:sz w:val="17"/>
                <w:szCs w:val="17"/>
              </w:rPr>
              <w:t xml:space="preserve"> effect in MAM vs non-MAM children, path b ≈ 2 × 0.003 = 0.006 ΔLAZ/SD, giving NIE ≤ ~4% of total effect — well below 20%. The β=0.025 ceiling already assumes ~8× the primary single-study estimate (</w:t>
            </w:r>
            <w:proofErr w:type="spellStart"/>
            <w:r>
              <w:rPr>
                <w:rFonts w:asciiTheme="minorHAnsi" w:hAnsiTheme="minorHAnsi" w:cstheme="minorHAnsi"/>
                <w:sz w:val="17"/>
                <w:szCs w:val="17"/>
              </w:rPr>
              <w:t>Mutasa</w:t>
            </w:r>
            <w:proofErr w:type="spellEnd"/>
            <w:r>
              <w:rPr>
                <w:rFonts w:asciiTheme="minorHAnsi" w:hAnsiTheme="minorHAnsi" w:cstheme="minorHAnsi"/>
                <w:sz w:val="17"/>
                <w:szCs w:val="17"/>
              </w:rPr>
              <w:t xml:space="preserve"> alone: β=0.003); even at the ceiling the NIE = 10.8%. The WLZ-weighted NIE range is therefore 0% (Campbell floor) to 10.8% (ceiling), identical to the main synthesis range. The core conclusion — ≥89% of growth benefit is non-</w:t>
            </w:r>
            <w:proofErr w:type="spellStart"/>
            <w:r>
              <w:rPr>
                <w:rFonts w:asciiTheme="minorHAnsi" w:hAnsiTheme="minorHAnsi" w:cstheme="minorHAnsi"/>
                <w:sz w:val="17"/>
                <w:szCs w:val="17"/>
              </w:rPr>
              <w:t>citrulline</w:t>
            </w:r>
            <w:proofErr w:type="spellEnd"/>
            <w:r>
              <w:rPr>
                <w:rFonts w:asciiTheme="minorHAnsi" w:hAnsiTheme="minorHAnsi" w:cstheme="minorHAnsi"/>
                <w:sz w:val="17"/>
                <w:szCs w:val="17"/>
              </w:rPr>
              <w:t>-mediated — is robust to plausible WLZ-weighted transportability adjustments.</w:t>
            </w:r>
          </w:p>
        </w:tc>
        <w:tc>
          <w:tcPr>
            <w:tcW w:w="0" w:type="auto"/>
            <w:tcBorders>
              <w:top w:val="single" w:sz="1" w:space="0" w:color="AAAAAA"/>
              <w:left w:val="single" w:sz="1" w:space="0" w:color="AAAAAA"/>
              <w:bottom w:val="single" w:sz="1" w:space="0" w:color="AAAAAA"/>
              <w:right w:val="single" w:sz="1" w:space="0" w:color="AAAAAA"/>
            </w:tcBorders>
            <w:shd w:val="clear" w:color="auto" w:fill="D6E4F0"/>
            <w:tcMar>
              <w:top w:w="70" w:type="dxa"/>
              <w:left w:w="120" w:type="dxa"/>
              <w:bottom w:w="70" w:type="dxa"/>
              <w:right w:w="120" w:type="dxa"/>
            </w:tcMar>
          </w:tcPr>
          <w:p w:rsidR="00040C38" w:rsidRPr="00D97E5C" w:rsidRDefault="00D36294">
            <w:pPr>
              <w:rPr>
                <w:rFonts w:asciiTheme="minorHAnsi" w:hAnsiTheme="minorHAnsi" w:cstheme="minorHAnsi"/>
              </w:rPr>
            </w:pPr>
            <w:r>
              <w:rPr>
                <w:rFonts w:asciiTheme="minorHAnsi" w:hAnsiTheme="minorHAnsi" w:cstheme="minorHAnsi"/>
                <w:sz w:val="17"/>
                <w:szCs w:val="17"/>
              </w:rPr>
              <w:t>NIE range 0%–10.8% ROBUST to WLZ-weighted transportability adjustment.</w:t>
            </w:r>
          </w:p>
        </w:tc>
      </w:tr>
    </w:tbl>
    <w:p w:rsidR="00040C38" w:rsidRPr="00D97E5C" w:rsidRDefault="00040C38">
      <w:pPr>
        <w:spacing w:before="80"/>
        <w:rPr>
          <w:rFonts w:asciiTheme="minorHAnsi" w:hAnsiTheme="minorHAnsi" w:cstheme="minorHAnsi"/>
        </w:rPr>
      </w:pPr>
    </w:p>
    <w:p w:rsidR="00002543" w:rsidRDefault="00002543">
      <w:pPr>
        <w:pStyle w:val="Heading2"/>
        <w:spacing w:before="260" w:after="100"/>
        <w:rPr>
          <w:rFonts w:asciiTheme="minorHAnsi" w:hAnsiTheme="minorHAnsi" w:cstheme="minorHAnsi"/>
          <w:b/>
          <w:bCs/>
          <w:sz w:val="22"/>
          <w:szCs w:val="22"/>
        </w:rPr>
      </w:pPr>
    </w:p>
    <w:p w:rsidR="00040C38" w:rsidRPr="00D97E5C" w:rsidRDefault="00D36294">
      <w:pPr>
        <w:pStyle w:val="Heading2"/>
        <w:spacing w:before="260" w:after="100"/>
        <w:rPr>
          <w:rFonts w:asciiTheme="minorHAnsi" w:hAnsiTheme="minorHAnsi" w:cstheme="minorHAnsi"/>
        </w:rPr>
      </w:pPr>
      <w:r>
        <w:rPr>
          <w:rFonts w:asciiTheme="minorHAnsi" w:hAnsiTheme="minorHAnsi" w:cstheme="minorHAnsi"/>
          <w:b/>
          <w:bCs/>
          <w:sz w:val="22"/>
          <w:szCs w:val="22"/>
        </w:rPr>
        <w:lastRenderedPageBreak/>
        <w:t>S3.3 Summary of Transportability Evidence</w:t>
      </w:r>
    </w:p>
    <w:p w:rsidR="00040C38" w:rsidRPr="00D97E5C" w:rsidRDefault="00D36294">
      <w:pPr>
        <w:spacing w:before="80" w:after="80"/>
        <w:rPr>
          <w:rFonts w:asciiTheme="minorHAnsi" w:hAnsiTheme="minorHAnsi" w:cstheme="minorHAnsi"/>
        </w:rPr>
      </w:pPr>
      <w:r>
        <w:rPr>
          <w:rFonts w:asciiTheme="minorHAnsi" w:hAnsiTheme="minorHAnsi" w:cstheme="minorHAnsi"/>
        </w:rPr>
        <w:t xml:space="preserve">The transportability of path b estimates to the MDCF-2 Bangladesh MAM trial population is supported by three lines of evidence. First, baseline </w:t>
      </w:r>
      <w:proofErr w:type="spellStart"/>
      <w:r>
        <w:rPr>
          <w:rFonts w:asciiTheme="minorHAnsi" w:hAnsiTheme="minorHAnsi" w:cstheme="minorHAnsi"/>
        </w:rPr>
        <w:t>citrulline</w:t>
      </w:r>
      <w:proofErr w:type="spellEnd"/>
      <w:r>
        <w:rPr>
          <w:rFonts w:asciiTheme="minorHAnsi" w:hAnsiTheme="minorHAnsi" w:cstheme="minorHAnsi"/>
        </w:rPr>
        <w:t xml:space="preserve"> in the MDCF-2 trial (~590 µ</w:t>
      </w:r>
      <w:proofErr w:type="spellStart"/>
      <w:r>
        <w:rPr>
          <w:rFonts w:asciiTheme="minorHAnsi" w:hAnsiTheme="minorHAnsi" w:cstheme="minorHAnsi"/>
        </w:rPr>
        <w:t>mol</w:t>
      </w:r>
      <w:proofErr w:type="spellEnd"/>
      <w:r>
        <w:rPr>
          <w:rFonts w:asciiTheme="minorHAnsi" w:hAnsiTheme="minorHAnsi" w:cstheme="minorHAnsi"/>
        </w:rPr>
        <w:t>/L pooled; ~517 µ</w:t>
      </w:r>
      <w:proofErr w:type="spellStart"/>
      <w:r>
        <w:rPr>
          <w:rFonts w:asciiTheme="minorHAnsi" w:hAnsiTheme="minorHAnsi" w:cstheme="minorHAnsi"/>
        </w:rPr>
        <w:t>mol</w:t>
      </w:r>
      <w:proofErr w:type="spellEnd"/>
      <w:r>
        <w:rPr>
          <w:rFonts w:asciiTheme="minorHAnsi" w:hAnsiTheme="minorHAnsi" w:cstheme="minorHAnsi"/>
        </w:rPr>
        <w:t xml:space="preserve">/L in the MDCF-2 arm) overlaps the lower tail of the general LMIC cohort distributions used to estimate path b, indicating that the trial population is not a systematic outlier with respect to the key mediator. Second, the </w:t>
      </w:r>
      <w:proofErr w:type="spellStart"/>
      <w:r>
        <w:rPr>
          <w:rFonts w:asciiTheme="minorHAnsi" w:hAnsiTheme="minorHAnsi" w:cstheme="minorHAnsi"/>
        </w:rPr>
        <w:t>Mutasa</w:t>
      </w:r>
      <w:proofErr w:type="spellEnd"/>
      <w:r>
        <w:rPr>
          <w:rFonts w:asciiTheme="minorHAnsi" w:hAnsiTheme="minorHAnsi" w:cstheme="minorHAnsi"/>
        </w:rPr>
        <w:t xml:space="preserve"> 2021 SHINE cohort (Zimbabwe; </w:t>
      </w:r>
      <w:r>
        <w:rPr>
          <w:rFonts w:asciiTheme="minorHAnsi" w:hAnsiTheme="minorHAnsi" w:cstheme="minorHAnsi"/>
          <w:i/>
          <w:iCs/>
        </w:rPr>
        <w:t>n</w:t>
      </w:r>
      <w:r>
        <w:rPr>
          <w:rFonts w:asciiTheme="minorHAnsi" w:hAnsiTheme="minorHAnsi" w:cstheme="minorHAnsi"/>
        </w:rPr>
        <w:t xml:space="preserve">=1,169; high-EED, high-stunting rural setting) is the most comparable path b study to the MDCF-2 trial population in terms of EED burden and malnutrition severity, and its </w:t>
      </w:r>
      <w:proofErr w:type="spellStart"/>
      <w:r>
        <w:rPr>
          <w:rFonts w:asciiTheme="minorHAnsi" w:hAnsiTheme="minorHAnsi" w:cstheme="minorHAnsi"/>
        </w:rPr>
        <w:t>citrulline→growth</w:t>
      </w:r>
      <w:proofErr w:type="spellEnd"/>
      <w:r>
        <w:rPr>
          <w:rFonts w:asciiTheme="minorHAnsi" w:hAnsiTheme="minorHAnsi" w:cstheme="minorHAnsi"/>
        </w:rPr>
        <w:t xml:space="preserve"> association is null across all age intervals in fully adjusted models — the strongest available evidence that path b ≈ 0 in the most analogous population. Third, no published study reports strong positive modification of the </w:t>
      </w:r>
      <w:proofErr w:type="spellStart"/>
      <w:r>
        <w:rPr>
          <w:rFonts w:asciiTheme="minorHAnsi" w:hAnsiTheme="minorHAnsi" w:cstheme="minorHAnsi"/>
        </w:rPr>
        <w:t>citrulline→growth</w:t>
      </w:r>
      <w:proofErr w:type="spellEnd"/>
      <w:r>
        <w:rPr>
          <w:rFonts w:asciiTheme="minorHAnsi" w:hAnsiTheme="minorHAnsi" w:cstheme="minorHAnsi"/>
        </w:rPr>
        <w:t xml:space="preserve"> association by baseline malnutrition status (WLZ or LAZ); a systematic search of the EED biomarker literature (including Harper et al. 2018 systematic review, PMID</w:t>
      </w:r>
      <w:proofErr w:type="gramStart"/>
      <w:r>
        <w:rPr>
          <w:rFonts w:asciiTheme="minorHAnsi" w:hAnsiTheme="minorHAnsi" w:cstheme="minorHAnsi"/>
        </w:rPr>
        <w:t>:29300745</w:t>
      </w:r>
      <w:proofErr w:type="gramEnd"/>
      <w:r>
        <w:rPr>
          <w:rFonts w:asciiTheme="minorHAnsi" w:hAnsiTheme="minorHAnsi" w:cstheme="minorHAnsi"/>
        </w:rPr>
        <w:t xml:space="preserve">) identified no counter-examples. The </w:t>
      </w:r>
      <w:proofErr w:type="spellStart"/>
      <w:r>
        <w:rPr>
          <w:rFonts w:asciiTheme="minorHAnsi" w:hAnsiTheme="minorHAnsi" w:cstheme="minorHAnsi"/>
        </w:rPr>
        <w:t>Kosek</w:t>
      </w:r>
      <w:proofErr w:type="spellEnd"/>
      <w:r>
        <w:rPr>
          <w:rFonts w:asciiTheme="minorHAnsi" w:hAnsiTheme="minorHAnsi" w:cstheme="minorHAnsi"/>
        </w:rPr>
        <w:t xml:space="preserve"> 2016 early-life </w:t>
      </w:r>
      <w:proofErr w:type="spellStart"/>
      <w:r>
        <w:rPr>
          <w:rFonts w:asciiTheme="minorHAnsi" w:hAnsiTheme="minorHAnsi" w:cstheme="minorHAnsi"/>
        </w:rPr>
        <w:t>citrulline→growth</w:t>
      </w:r>
      <w:proofErr w:type="spellEnd"/>
      <w:r>
        <w:rPr>
          <w:rFonts w:asciiTheme="minorHAnsi" w:hAnsiTheme="minorHAnsi" w:cstheme="minorHAnsi"/>
        </w:rPr>
        <w:t xml:space="preserve"> association was present only at 3 months of age and absent at the 12–18 month window relevant to the MDCF-2 trial, consistent with a null path b at the trial age range. Taken together with the three formal statistical tests reported in the main manuscript—TOST equivalence (p=0.0002), NDE consistency (p=0.73), and proportionality decay (×5.2 implausibility)—the transportability evidence and the analytical constraints converge on the same conclusion: the </w:t>
      </w:r>
      <w:proofErr w:type="spellStart"/>
      <w:r>
        <w:rPr>
          <w:rFonts w:asciiTheme="minorHAnsi" w:hAnsiTheme="minorHAnsi" w:cstheme="minorHAnsi"/>
        </w:rPr>
        <w:t>citrulline</w:t>
      </w:r>
      <w:proofErr w:type="spellEnd"/>
      <w:r>
        <w:rPr>
          <w:rFonts w:asciiTheme="minorHAnsi" w:hAnsiTheme="minorHAnsi" w:cstheme="minorHAnsi"/>
        </w:rPr>
        <w:t>-indexed pathway contribution is bounded at ≤11% under all plausible assumptions, and the data are fully consistent with a dominant non-</w:t>
      </w:r>
      <w:proofErr w:type="spellStart"/>
      <w:r>
        <w:rPr>
          <w:rFonts w:asciiTheme="minorHAnsi" w:hAnsiTheme="minorHAnsi" w:cstheme="minorHAnsi"/>
        </w:rPr>
        <w:t>citrulline</w:t>
      </w:r>
      <w:proofErr w:type="spellEnd"/>
      <w:r>
        <w:rPr>
          <w:rFonts w:asciiTheme="minorHAnsi" w:hAnsiTheme="minorHAnsi" w:cstheme="minorHAnsi"/>
        </w:rPr>
        <w:t xml:space="preserve"> mechanism.</w:t>
      </w:r>
    </w:p>
    <w:p w:rsidR="00040C38" w:rsidRPr="00D97E5C" w:rsidRDefault="00040C38">
      <w:pPr>
        <w:spacing w:before="80"/>
        <w:rPr>
          <w:rFonts w:asciiTheme="minorHAnsi" w:hAnsiTheme="minorHAnsi" w:cstheme="minorHAnsi"/>
        </w:rPr>
      </w:pPr>
    </w:p>
    <w:p w:rsidR="00040C38" w:rsidRPr="00D97E5C" w:rsidRDefault="00040C38">
      <w:pPr>
        <w:spacing w:before="80"/>
        <w:rPr>
          <w:rFonts w:asciiTheme="minorHAnsi" w:hAnsiTheme="minorHAnsi" w:cstheme="minorHAnsi"/>
        </w:rPr>
      </w:pPr>
    </w:p>
    <w:p w:rsidR="00040C38" w:rsidRPr="00D97E5C" w:rsidRDefault="00D36294">
      <w:pPr>
        <w:pStyle w:val="Heading1"/>
        <w:spacing w:before="360" w:after="140"/>
        <w:rPr>
          <w:rFonts w:asciiTheme="minorHAnsi" w:hAnsiTheme="minorHAnsi" w:cstheme="minorHAnsi"/>
        </w:rPr>
      </w:pPr>
      <w:r>
        <w:rPr>
          <w:rFonts w:asciiTheme="minorHAnsi" w:hAnsiTheme="minorHAnsi" w:cstheme="minorHAnsi"/>
          <w:b/>
          <w:bCs/>
          <w:color w:val="1F4E79"/>
          <w:sz w:val="28"/>
          <w:szCs w:val="28"/>
        </w:rPr>
        <w:t>References for Supplementary Tables</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Bergman EN. Energy contributions of volatile fatty acids from the gastrointestinal tract in various species. </w:t>
      </w:r>
      <w:proofErr w:type="spellStart"/>
      <w:r>
        <w:rPr>
          <w:rFonts w:asciiTheme="minorHAnsi" w:hAnsiTheme="minorHAnsi" w:cstheme="minorHAnsi"/>
          <w:sz w:val="15"/>
          <w:szCs w:val="15"/>
        </w:rPr>
        <w:t>Physiol</w:t>
      </w:r>
      <w:proofErr w:type="spellEnd"/>
      <w:r>
        <w:rPr>
          <w:rFonts w:asciiTheme="minorHAnsi" w:hAnsiTheme="minorHAnsi" w:cstheme="minorHAnsi"/>
          <w:sz w:val="15"/>
          <w:szCs w:val="15"/>
        </w:rPr>
        <w:t xml:space="preserve"> Rev. 1990</w:t>
      </w:r>
      <w:proofErr w:type="gramStart"/>
      <w:r>
        <w:rPr>
          <w:rFonts w:asciiTheme="minorHAnsi" w:hAnsiTheme="minorHAnsi" w:cstheme="minorHAnsi"/>
          <w:sz w:val="15"/>
          <w:szCs w:val="15"/>
        </w:rPr>
        <w:t>;70</w:t>
      </w:r>
      <w:proofErr w:type="gramEnd"/>
      <w:r>
        <w:rPr>
          <w:rFonts w:asciiTheme="minorHAnsi" w:hAnsiTheme="minorHAnsi" w:cstheme="minorHAnsi"/>
          <w:sz w:val="15"/>
          <w:szCs w:val="15"/>
        </w:rPr>
        <w:t>(2):567–590. doi:10.1152/physrev.1990.70.2.567. PMID</w:t>
      </w:r>
      <w:proofErr w:type="gramStart"/>
      <w:r>
        <w:rPr>
          <w:rFonts w:asciiTheme="minorHAnsi" w:hAnsiTheme="minorHAnsi" w:cstheme="minorHAnsi"/>
          <w:sz w:val="15"/>
          <w:szCs w:val="15"/>
        </w:rPr>
        <w:t>:2181501</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proofErr w:type="spellStart"/>
      <w:r>
        <w:rPr>
          <w:rFonts w:asciiTheme="minorHAnsi" w:hAnsiTheme="minorHAnsi" w:cstheme="minorHAnsi"/>
          <w:sz w:val="15"/>
          <w:szCs w:val="15"/>
        </w:rPr>
        <w:t>Berclaz</w:t>
      </w:r>
      <w:proofErr w:type="spellEnd"/>
      <w:r>
        <w:rPr>
          <w:rFonts w:asciiTheme="minorHAnsi" w:hAnsiTheme="minorHAnsi" w:cstheme="minorHAnsi"/>
          <w:sz w:val="15"/>
          <w:szCs w:val="15"/>
        </w:rPr>
        <w:t xml:space="preserve"> PY, </w:t>
      </w:r>
      <w:proofErr w:type="spellStart"/>
      <w:r>
        <w:rPr>
          <w:rFonts w:asciiTheme="minorHAnsi" w:hAnsiTheme="minorHAnsi" w:cstheme="minorHAnsi"/>
          <w:sz w:val="15"/>
          <w:szCs w:val="15"/>
        </w:rPr>
        <w:t>Benedek</w:t>
      </w:r>
      <w:proofErr w:type="spellEnd"/>
      <w:r>
        <w:rPr>
          <w:rFonts w:asciiTheme="minorHAnsi" w:hAnsiTheme="minorHAnsi" w:cstheme="minorHAnsi"/>
          <w:sz w:val="15"/>
          <w:szCs w:val="15"/>
        </w:rPr>
        <w:t xml:space="preserve"> C, </w:t>
      </w:r>
      <w:proofErr w:type="spellStart"/>
      <w:r>
        <w:rPr>
          <w:rFonts w:asciiTheme="minorHAnsi" w:hAnsiTheme="minorHAnsi" w:cstheme="minorHAnsi"/>
          <w:sz w:val="15"/>
          <w:szCs w:val="15"/>
        </w:rPr>
        <w:t>Jéquier</w:t>
      </w:r>
      <w:proofErr w:type="spellEnd"/>
      <w:r>
        <w:rPr>
          <w:rFonts w:asciiTheme="minorHAnsi" w:hAnsiTheme="minorHAnsi" w:cstheme="minorHAnsi"/>
          <w:sz w:val="15"/>
          <w:szCs w:val="15"/>
        </w:rPr>
        <w:t xml:space="preserve"> E, Schutz Y. Changes in protein turnover and resting energy expenditure after treatment of malaria in Gambian children. </w:t>
      </w:r>
      <w:proofErr w:type="spellStart"/>
      <w:r>
        <w:rPr>
          <w:rFonts w:asciiTheme="minorHAnsi" w:hAnsiTheme="minorHAnsi" w:cstheme="minorHAnsi"/>
          <w:sz w:val="15"/>
          <w:szCs w:val="15"/>
        </w:rPr>
        <w:t>Pediatr</w:t>
      </w:r>
      <w:proofErr w:type="spellEnd"/>
      <w:r>
        <w:rPr>
          <w:rFonts w:asciiTheme="minorHAnsi" w:hAnsiTheme="minorHAnsi" w:cstheme="minorHAnsi"/>
          <w:sz w:val="15"/>
          <w:szCs w:val="15"/>
        </w:rPr>
        <w:t xml:space="preserve"> Res. 1996</w:t>
      </w:r>
      <w:proofErr w:type="gramStart"/>
      <w:r>
        <w:rPr>
          <w:rFonts w:asciiTheme="minorHAnsi" w:hAnsiTheme="minorHAnsi" w:cstheme="minorHAnsi"/>
          <w:sz w:val="15"/>
          <w:szCs w:val="15"/>
        </w:rPr>
        <w:t>;39</w:t>
      </w:r>
      <w:proofErr w:type="gramEnd"/>
      <w:r>
        <w:rPr>
          <w:rFonts w:asciiTheme="minorHAnsi" w:hAnsiTheme="minorHAnsi" w:cstheme="minorHAnsi"/>
          <w:sz w:val="15"/>
          <w:szCs w:val="15"/>
        </w:rPr>
        <w:t xml:space="preserve">(3):401–409. </w:t>
      </w:r>
      <w:proofErr w:type="gramStart"/>
      <w:r>
        <w:rPr>
          <w:rFonts w:asciiTheme="minorHAnsi" w:hAnsiTheme="minorHAnsi" w:cstheme="minorHAnsi"/>
          <w:sz w:val="15"/>
          <w:szCs w:val="15"/>
        </w:rPr>
        <w:t>doi:</w:t>
      </w:r>
      <w:proofErr w:type="gramEnd"/>
      <w:r>
        <w:rPr>
          <w:rFonts w:asciiTheme="minorHAnsi" w:hAnsiTheme="minorHAnsi" w:cstheme="minorHAnsi"/>
          <w:sz w:val="15"/>
          <w:szCs w:val="15"/>
        </w:rPr>
        <w:t>10.1203/00006450-199603000-00005. PMID</w:t>
      </w:r>
      <w:proofErr w:type="gramStart"/>
      <w:r>
        <w:rPr>
          <w:rFonts w:asciiTheme="minorHAnsi" w:hAnsiTheme="minorHAnsi" w:cstheme="minorHAnsi"/>
          <w:sz w:val="15"/>
          <w:szCs w:val="15"/>
        </w:rPr>
        <w:t>:8929858</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Campbell RK, Schulze K, Shaikh S, et al. Biomarkers of environmental enteric dysfunction among children in rural Bangladesh. J </w:t>
      </w:r>
      <w:proofErr w:type="spellStart"/>
      <w:r>
        <w:rPr>
          <w:rFonts w:asciiTheme="minorHAnsi" w:hAnsiTheme="minorHAnsi" w:cstheme="minorHAnsi"/>
          <w:sz w:val="15"/>
          <w:szCs w:val="15"/>
        </w:rPr>
        <w:t>Pediatr</w:t>
      </w:r>
      <w:proofErr w:type="spellEnd"/>
      <w:r>
        <w:rPr>
          <w:rFonts w:asciiTheme="minorHAnsi" w:hAnsiTheme="minorHAnsi" w:cstheme="minorHAnsi"/>
          <w:sz w:val="15"/>
          <w:szCs w:val="15"/>
        </w:rPr>
        <w:t xml:space="preserve"> </w:t>
      </w:r>
      <w:proofErr w:type="spellStart"/>
      <w:r>
        <w:rPr>
          <w:rFonts w:asciiTheme="minorHAnsi" w:hAnsiTheme="minorHAnsi" w:cstheme="minorHAnsi"/>
          <w:sz w:val="15"/>
          <w:szCs w:val="15"/>
        </w:rPr>
        <w:t>Gastroenterol</w:t>
      </w:r>
      <w:proofErr w:type="spellEnd"/>
      <w:r>
        <w:rPr>
          <w:rFonts w:asciiTheme="minorHAnsi" w:hAnsiTheme="minorHAnsi" w:cstheme="minorHAnsi"/>
          <w:sz w:val="15"/>
          <w:szCs w:val="15"/>
        </w:rPr>
        <w:t xml:space="preserve"> </w:t>
      </w:r>
      <w:proofErr w:type="spellStart"/>
      <w:r>
        <w:rPr>
          <w:rFonts w:asciiTheme="minorHAnsi" w:hAnsiTheme="minorHAnsi" w:cstheme="minorHAnsi"/>
          <w:sz w:val="15"/>
          <w:szCs w:val="15"/>
        </w:rPr>
        <w:t>Nutr</w:t>
      </w:r>
      <w:proofErr w:type="spellEnd"/>
      <w:r>
        <w:rPr>
          <w:rFonts w:asciiTheme="minorHAnsi" w:hAnsiTheme="minorHAnsi" w:cstheme="minorHAnsi"/>
          <w:sz w:val="15"/>
          <w:szCs w:val="15"/>
        </w:rPr>
        <w:t>. 2017</w:t>
      </w:r>
      <w:proofErr w:type="gramStart"/>
      <w:r>
        <w:rPr>
          <w:rFonts w:asciiTheme="minorHAnsi" w:hAnsiTheme="minorHAnsi" w:cstheme="minorHAnsi"/>
          <w:sz w:val="15"/>
          <w:szCs w:val="15"/>
        </w:rPr>
        <w:t>;65</w:t>
      </w:r>
      <w:proofErr w:type="gramEnd"/>
      <w:r>
        <w:rPr>
          <w:rFonts w:asciiTheme="minorHAnsi" w:hAnsiTheme="minorHAnsi" w:cstheme="minorHAnsi"/>
          <w:sz w:val="15"/>
          <w:szCs w:val="15"/>
        </w:rPr>
        <w:t>(1):40–46. doi:10.1097/MPG.0000000000001557. PMID</w:t>
      </w:r>
      <w:proofErr w:type="gramStart"/>
      <w:r>
        <w:rPr>
          <w:rFonts w:asciiTheme="minorHAnsi" w:hAnsiTheme="minorHAnsi" w:cstheme="minorHAnsi"/>
          <w:sz w:val="15"/>
          <w:szCs w:val="15"/>
        </w:rPr>
        <w:t>:28644348</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Chen RY, Mostafa I, Hibberd MC, et al. A microbiota-directed food intervention for malnourished children. N </w:t>
      </w:r>
      <w:proofErr w:type="spellStart"/>
      <w:r>
        <w:rPr>
          <w:rFonts w:asciiTheme="minorHAnsi" w:hAnsiTheme="minorHAnsi" w:cstheme="minorHAnsi"/>
          <w:sz w:val="15"/>
          <w:szCs w:val="15"/>
        </w:rPr>
        <w:t>Engl</w:t>
      </w:r>
      <w:proofErr w:type="spellEnd"/>
      <w:r>
        <w:rPr>
          <w:rFonts w:asciiTheme="minorHAnsi" w:hAnsiTheme="minorHAnsi" w:cstheme="minorHAnsi"/>
          <w:sz w:val="15"/>
          <w:szCs w:val="15"/>
        </w:rPr>
        <w:t xml:space="preserve"> J Med. 2021</w:t>
      </w:r>
      <w:proofErr w:type="gramStart"/>
      <w:r>
        <w:rPr>
          <w:rFonts w:asciiTheme="minorHAnsi" w:hAnsiTheme="minorHAnsi" w:cstheme="minorHAnsi"/>
          <w:sz w:val="15"/>
          <w:szCs w:val="15"/>
        </w:rPr>
        <w:t>;384:1517</w:t>
      </w:r>
      <w:proofErr w:type="gramEnd"/>
      <w:r>
        <w:rPr>
          <w:rFonts w:asciiTheme="minorHAnsi" w:hAnsiTheme="minorHAnsi" w:cstheme="minorHAnsi"/>
          <w:sz w:val="15"/>
          <w:szCs w:val="15"/>
        </w:rPr>
        <w:t xml:space="preserve">–1528. </w:t>
      </w:r>
      <w:proofErr w:type="gramStart"/>
      <w:r>
        <w:rPr>
          <w:rFonts w:asciiTheme="minorHAnsi" w:hAnsiTheme="minorHAnsi" w:cstheme="minorHAnsi"/>
          <w:sz w:val="15"/>
          <w:szCs w:val="15"/>
        </w:rPr>
        <w:t>doi:</w:t>
      </w:r>
      <w:proofErr w:type="gramEnd"/>
      <w:r>
        <w:rPr>
          <w:rFonts w:asciiTheme="minorHAnsi" w:hAnsiTheme="minorHAnsi" w:cstheme="minorHAnsi"/>
          <w:sz w:val="15"/>
          <w:szCs w:val="15"/>
        </w:rPr>
        <w:t>10.1056/NEJMoa2023294. PMID</w:t>
      </w:r>
      <w:proofErr w:type="gramStart"/>
      <w:r>
        <w:rPr>
          <w:rFonts w:asciiTheme="minorHAnsi" w:hAnsiTheme="minorHAnsi" w:cstheme="minorHAnsi"/>
          <w:sz w:val="15"/>
          <w:szCs w:val="15"/>
        </w:rPr>
        <w:t>:33826820</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proofErr w:type="spellStart"/>
      <w:r>
        <w:rPr>
          <w:rFonts w:asciiTheme="minorHAnsi" w:hAnsiTheme="minorHAnsi" w:cstheme="minorHAnsi"/>
          <w:sz w:val="15"/>
          <w:szCs w:val="15"/>
        </w:rPr>
        <w:t>Colston</w:t>
      </w:r>
      <w:proofErr w:type="spellEnd"/>
      <w:r>
        <w:rPr>
          <w:rFonts w:asciiTheme="minorHAnsi" w:hAnsiTheme="minorHAnsi" w:cstheme="minorHAnsi"/>
          <w:sz w:val="15"/>
          <w:szCs w:val="15"/>
        </w:rPr>
        <w:t xml:space="preserve"> JM, </w:t>
      </w:r>
      <w:proofErr w:type="spellStart"/>
      <w:r>
        <w:rPr>
          <w:rFonts w:asciiTheme="minorHAnsi" w:hAnsiTheme="minorHAnsi" w:cstheme="minorHAnsi"/>
          <w:sz w:val="15"/>
          <w:szCs w:val="15"/>
        </w:rPr>
        <w:t>Peñataro</w:t>
      </w:r>
      <w:proofErr w:type="spellEnd"/>
      <w:r>
        <w:rPr>
          <w:rFonts w:asciiTheme="minorHAnsi" w:hAnsiTheme="minorHAnsi" w:cstheme="minorHAnsi"/>
          <w:sz w:val="15"/>
          <w:szCs w:val="15"/>
        </w:rPr>
        <w:t xml:space="preserve"> </w:t>
      </w:r>
      <w:proofErr w:type="spellStart"/>
      <w:r>
        <w:rPr>
          <w:rFonts w:asciiTheme="minorHAnsi" w:hAnsiTheme="minorHAnsi" w:cstheme="minorHAnsi"/>
          <w:sz w:val="15"/>
          <w:szCs w:val="15"/>
        </w:rPr>
        <w:t>Yori</w:t>
      </w:r>
      <w:proofErr w:type="spellEnd"/>
      <w:r>
        <w:rPr>
          <w:rFonts w:asciiTheme="minorHAnsi" w:hAnsiTheme="minorHAnsi" w:cstheme="minorHAnsi"/>
          <w:sz w:val="15"/>
          <w:szCs w:val="15"/>
        </w:rPr>
        <w:t xml:space="preserve"> P, Moulton LH, et al. Penalized regression models to select biomarkers of environmental enteric dysfunction associated with linear growth acquisition in a Peruvian birth cohort. PLOS </w:t>
      </w:r>
      <w:proofErr w:type="spellStart"/>
      <w:r>
        <w:rPr>
          <w:rFonts w:asciiTheme="minorHAnsi" w:hAnsiTheme="minorHAnsi" w:cstheme="minorHAnsi"/>
          <w:sz w:val="15"/>
          <w:szCs w:val="15"/>
        </w:rPr>
        <w:t>Negl</w:t>
      </w:r>
      <w:proofErr w:type="spellEnd"/>
      <w:r>
        <w:rPr>
          <w:rFonts w:asciiTheme="minorHAnsi" w:hAnsiTheme="minorHAnsi" w:cstheme="minorHAnsi"/>
          <w:sz w:val="15"/>
          <w:szCs w:val="15"/>
        </w:rPr>
        <w:t xml:space="preserve"> Trop Dis. 2019</w:t>
      </w:r>
      <w:proofErr w:type="gramStart"/>
      <w:r>
        <w:rPr>
          <w:rFonts w:asciiTheme="minorHAnsi" w:hAnsiTheme="minorHAnsi" w:cstheme="minorHAnsi"/>
          <w:sz w:val="15"/>
          <w:szCs w:val="15"/>
        </w:rPr>
        <w:t>;13</w:t>
      </w:r>
      <w:proofErr w:type="gramEnd"/>
      <w:r>
        <w:rPr>
          <w:rFonts w:asciiTheme="minorHAnsi" w:hAnsiTheme="minorHAnsi" w:cstheme="minorHAnsi"/>
          <w:sz w:val="15"/>
          <w:szCs w:val="15"/>
        </w:rPr>
        <w:t>(11):e0007851. doi:10.1371/journal.pntd.0007851. PMC</w:t>
      </w:r>
      <w:proofErr w:type="gramStart"/>
      <w:r>
        <w:rPr>
          <w:rFonts w:asciiTheme="minorHAnsi" w:hAnsiTheme="minorHAnsi" w:cstheme="minorHAnsi"/>
          <w:sz w:val="15"/>
          <w:szCs w:val="15"/>
        </w:rPr>
        <w:t>:6881068</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Harper KM, </w:t>
      </w:r>
      <w:proofErr w:type="spellStart"/>
      <w:r>
        <w:rPr>
          <w:rFonts w:asciiTheme="minorHAnsi" w:hAnsiTheme="minorHAnsi" w:cstheme="minorHAnsi"/>
          <w:sz w:val="15"/>
          <w:szCs w:val="15"/>
        </w:rPr>
        <w:t>Mutasa</w:t>
      </w:r>
      <w:proofErr w:type="spellEnd"/>
      <w:r>
        <w:rPr>
          <w:rFonts w:asciiTheme="minorHAnsi" w:hAnsiTheme="minorHAnsi" w:cstheme="minorHAnsi"/>
          <w:sz w:val="15"/>
          <w:szCs w:val="15"/>
        </w:rPr>
        <w:t xml:space="preserve"> M, Prendergast AJ, Humphrey J, </w:t>
      </w:r>
      <w:proofErr w:type="spellStart"/>
      <w:r>
        <w:rPr>
          <w:rFonts w:asciiTheme="minorHAnsi" w:hAnsiTheme="minorHAnsi" w:cstheme="minorHAnsi"/>
          <w:sz w:val="15"/>
          <w:szCs w:val="15"/>
        </w:rPr>
        <w:t>Manges</w:t>
      </w:r>
      <w:proofErr w:type="spellEnd"/>
      <w:r>
        <w:rPr>
          <w:rFonts w:asciiTheme="minorHAnsi" w:hAnsiTheme="minorHAnsi" w:cstheme="minorHAnsi"/>
          <w:sz w:val="15"/>
          <w:szCs w:val="15"/>
        </w:rPr>
        <w:t xml:space="preserve"> AR. Environmental enteric dysfunction pathways and child stunting: a systematic review. PLOS </w:t>
      </w:r>
      <w:proofErr w:type="spellStart"/>
      <w:r>
        <w:rPr>
          <w:rFonts w:asciiTheme="minorHAnsi" w:hAnsiTheme="minorHAnsi" w:cstheme="minorHAnsi"/>
          <w:sz w:val="15"/>
          <w:szCs w:val="15"/>
        </w:rPr>
        <w:t>Negl</w:t>
      </w:r>
      <w:proofErr w:type="spellEnd"/>
      <w:r>
        <w:rPr>
          <w:rFonts w:asciiTheme="minorHAnsi" w:hAnsiTheme="minorHAnsi" w:cstheme="minorHAnsi"/>
          <w:sz w:val="15"/>
          <w:szCs w:val="15"/>
        </w:rPr>
        <w:t xml:space="preserve"> Trop Dis. 2018</w:t>
      </w:r>
      <w:proofErr w:type="gramStart"/>
      <w:r>
        <w:rPr>
          <w:rFonts w:asciiTheme="minorHAnsi" w:hAnsiTheme="minorHAnsi" w:cstheme="minorHAnsi"/>
          <w:sz w:val="15"/>
          <w:szCs w:val="15"/>
        </w:rPr>
        <w:t>;12</w:t>
      </w:r>
      <w:proofErr w:type="gramEnd"/>
      <w:r>
        <w:rPr>
          <w:rFonts w:asciiTheme="minorHAnsi" w:hAnsiTheme="minorHAnsi" w:cstheme="minorHAnsi"/>
          <w:sz w:val="15"/>
          <w:szCs w:val="15"/>
        </w:rPr>
        <w:t>(1):e0006205. doi:10.1371/journal.pntd.0006205. PMID</w:t>
      </w:r>
      <w:proofErr w:type="gramStart"/>
      <w:r>
        <w:rPr>
          <w:rFonts w:asciiTheme="minorHAnsi" w:hAnsiTheme="minorHAnsi" w:cstheme="minorHAnsi"/>
          <w:sz w:val="15"/>
          <w:szCs w:val="15"/>
        </w:rPr>
        <w:t>:29300745</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Hibberd MC, Webber DM, Kennedy EA, et al. Bioactive </w:t>
      </w:r>
      <w:proofErr w:type="spellStart"/>
      <w:r>
        <w:rPr>
          <w:rFonts w:asciiTheme="minorHAnsi" w:hAnsiTheme="minorHAnsi" w:cstheme="minorHAnsi"/>
          <w:sz w:val="15"/>
          <w:szCs w:val="15"/>
        </w:rPr>
        <w:t>glycans</w:t>
      </w:r>
      <w:proofErr w:type="spellEnd"/>
      <w:r>
        <w:rPr>
          <w:rFonts w:asciiTheme="minorHAnsi" w:hAnsiTheme="minorHAnsi" w:cstheme="minorHAnsi"/>
          <w:sz w:val="15"/>
          <w:szCs w:val="15"/>
        </w:rPr>
        <w:t xml:space="preserve"> in a microbiome-directed food for children with malnutrition. Nature. 2024</w:t>
      </w:r>
      <w:proofErr w:type="gramStart"/>
      <w:r>
        <w:rPr>
          <w:rFonts w:asciiTheme="minorHAnsi" w:hAnsiTheme="minorHAnsi" w:cstheme="minorHAnsi"/>
          <w:sz w:val="15"/>
          <w:szCs w:val="15"/>
        </w:rPr>
        <w:t>;625:157</w:t>
      </w:r>
      <w:proofErr w:type="gramEnd"/>
      <w:r>
        <w:rPr>
          <w:rFonts w:asciiTheme="minorHAnsi" w:hAnsiTheme="minorHAnsi" w:cstheme="minorHAnsi"/>
          <w:sz w:val="15"/>
          <w:szCs w:val="15"/>
        </w:rPr>
        <w:t xml:space="preserve">–165. </w:t>
      </w:r>
      <w:proofErr w:type="gramStart"/>
      <w:r>
        <w:rPr>
          <w:rFonts w:asciiTheme="minorHAnsi" w:hAnsiTheme="minorHAnsi" w:cstheme="minorHAnsi"/>
          <w:sz w:val="15"/>
          <w:szCs w:val="15"/>
        </w:rPr>
        <w:t>doi:</w:t>
      </w:r>
      <w:proofErr w:type="gramEnd"/>
      <w:r>
        <w:rPr>
          <w:rFonts w:asciiTheme="minorHAnsi" w:hAnsiTheme="minorHAnsi" w:cstheme="minorHAnsi"/>
          <w:sz w:val="15"/>
          <w:szCs w:val="15"/>
        </w:rPr>
        <w:t>10.1038/s41586-023-06838-3.</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Chen RY, Ahmed T, Gordon JI. A microbiota-directed food intervention for malnourished children [Correspondence/Reply]. N </w:t>
      </w:r>
      <w:proofErr w:type="spellStart"/>
      <w:r>
        <w:rPr>
          <w:rFonts w:asciiTheme="minorHAnsi" w:hAnsiTheme="minorHAnsi" w:cstheme="minorHAnsi"/>
          <w:sz w:val="15"/>
          <w:szCs w:val="15"/>
        </w:rPr>
        <w:t>Engl</w:t>
      </w:r>
      <w:proofErr w:type="spellEnd"/>
      <w:r>
        <w:rPr>
          <w:rFonts w:asciiTheme="minorHAnsi" w:hAnsiTheme="minorHAnsi" w:cstheme="minorHAnsi"/>
          <w:sz w:val="15"/>
          <w:szCs w:val="15"/>
        </w:rPr>
        <w:t xml:space="preserve"> J Med. 2022</w:t>
      </w:r>
      <w:proofErr w:type="gramStart"/>
      <w:r>
        <w:rPr>
          <w:rFonts w:asciiTheme="minorHAnsi" w:hAnsiTheme="minorHAnsi" w:cstheme="minorHAnsi"/>
          <w:sz w:val="15"/>
          <w:szCs w:val="15"/>
        </w:rPr>
        <w:t>;386</w:t>
      </w:r>
      <w:proofErr w:type="gramEnd"/>
      <w:r>
        <w:rPr>
          <w:rFonts w:asciiTheme="minorHAnsi" w:hAnsiTheme="minorHAnsi" w:cstheme="minorHAnsi"/>
          <w:sz w:val="15"/>
          <w:szCs w:val="15"/>
        </w:rPr>
        <w:t xml:space="preserve">(15):1484. </w:t>
      </w:r>
      <w:proofErr w:type="gramStart"/>
      <w:r>
        <w:rPr>
          <w:rFonts w:asciiTheme="minorHAnsi" w:hAnsiTheme="minorHAnsi" w:cstheme="minorHAnsi"/>
          <w:sz w:val="15"/>
          <w:szCs w:val="15"/>
        </w:rPr>
        <w:t>doi:</w:t>
      </w:r>
      <w:proofErr w:type="gramEnd"/>
      <w:r>
        <w:rPr>
          <w:rFonts w:asciiTheme="minorHAnsi" w:hAnsiTheme="minorHAnsi" w:cstheme="minorHAnsi"/>
          <w:sz w:val="15"/>
          <w:szCs w:val="15"/>
        </w:rPr>
        <w:t>10.1056/NEJMc2110544. PMID</w:t>
      </w:r>
      <w:proofErr w:type="gramStart"/>
      <w:r>
        <w:rPr>
          <w:rFonts w:asciiTheme="minorHAnsi" w:hAnsiTheme="minorHAnsi" w:cstheme="minorHAnsi"/>
          <w:sz w:val="15"/>
          <w:szCs w:val="15"/>
        </w:rPr>
        <w:t>:35417649</w:t>
      </w:r>
      <w:proofErr w:type="gramEnd"/>
      <w:r>
        <w:rPr>
          <w:rFonts w:asciiTheme="minorHAnsi" w:hAnsiTheme="minorHAnsi" w:cstheme="minorHAnsi"/>
          <w:sz w:val="15"/>
          <w:szCs w:val="15"/>
        </w:rPr>
        <w:t>. [Correction to Chen et al. 2021; provides revised WLZ rate-of-change values used as the total-effect denominator throughout this analysis.]</w:t>
      </w:r>
    </w:p>
    <w:p w:rsidR="00040C38" w:rsidRPr="00D97E5C" w:rsidRDefault="00D36294">
      <w:pPr>
        <w:spacing w:before="50" w:after="40"/>
        <w:ind w:left="360" w:hanging="360"/>
        <w:rPr>
          <w:rFonts w:asciiTheme="minorHAnsi" w:hAnsiTheme="minorHAnsi" w:cstheme="minorHAnsi"/>
        </w:rPr>
      </w:pPr>
      <w:proofErr w:type="spellStart"/>
      <w:r>
        <w:rPr>
          <w:rFonts w:asciiTheme="minorHAnsi" w:hAnsiTheme="minorHAnsi" w:cstheme="minorHAnsi"/>
          <w:sz w:val="15"/>
          <w:szCs w:val="15"/>
        </w:rPr>
        <w:t>Kosek</w:t>
      </w:r>
      <w:proofErr w:type="spellEnd"/>
      <w:r>
        <w:rPr>
          <w:rFonts w:asciiTheme="minorHAnsi" w:hAnsiTheme="minorHAnsi" w:cstheme="minorHAnsi"/>
          <w:sz w:val="15"/>
          <w:szCs w:val="15"/>
        </w:rPr>
        <w:t xml:space="preserve"> MN, </w:t>
      </w:r>
      <w:proofErr w:type="spellStart"/>
      <w:r>
        <w:rPr>
          <w:rFonts w:asciiTheme="minorHAnsi" w:hAnsiTheme="minorHAnsi" w:cstheme="minorHAnsi"/>
          <w:sz w:val="15"/>
          <w:szCs w:val="15"/>
        </w:rPr>
        <w:t>Mduma</w:t>
      </w:r>
      <w:proofErr w:type="spellEnd"/>
      <w:r>
        <w:rPr>
          <w:rFonts w:asciiTheme="minorHAnsi" w:hAnsiTheme="minorHAnsi" w:cstheme="minorHAnsi"/>
          <w:sz w:val="15"/>
          <w:szCs w:val="15"/>
        </w:rPr>
        <w:t xml:space="preserve"> E, </w:t>
      </w:r>
      <w:proofErr w:type="spellStart"/>
      <w:r>
        <w:rPr>
          <w:rFonts w:asciiTheme="minorHAnsi" w:hAnsiTheme="minorHAnsi" w:cstheme="minorHAnsi"/>
          <w:sz w:val="15"/>
          <w:szCs w:val="15"/>
        </w:rPr>
        <w:t>Kosek</w:t>
      </w:r>
      <w:proofErr w:type="spellEnd"/>
      <w:r>
        <w:rPr>
          <w:rFonts w:asciiTheme="minorHAnsi" w:hAnsiTheme="minorHAnsi" w:cstheme="minorHAnsi"/>
          <w:sz w:val="15"/>
          <w:szCs w:val="15"/>
        </w:rPr>
        <w:t xml:space="preserve"> PS, et al. Plasma tryptophan and the kynurenine-tryptophan ratio are associated with the acquisition of </w:t>
      </w:r>
      <w:proofErr w:type="spellStart"/>
      <w:r>
        <w:rPr>
          <w:rFonts w:asciiTheme="minorHAnsi" w:hAnsiTheme="minorHAnsi" w:cstheme="minorHAnsi"/>
          <w:sz w:val="15"/>
          <w:szCs w:val="15"/>
        </w:rPr>
        <w:t>statural</w:t>
      </w:r>
      <w:proofErr w:type="spellEnd"/>
      <w:r>
        <w:rPr>
          <w:rFonts w:asciiTheme="minorHAnsi" w:hAnsiTheme="minorHAnsi" w:cstheme="minorHAnsi"/>
          <w:sz w:val="15"/>
          <w:szCs w:val="15"/>
        </w:rPr>
        <w:t xml:space="preserve"> growth deficits and oral vaccine underperformance in populations with environmental enteropathy. Am J Trop Med </w:t>
      </w:r>
      <w:proofErr w:type="spellStart"/>
      <w:proofErr w:type="gramStart"/>
      <w:r>
        <w:rPr>
          <w:rFonts w:asciiTheme="minorHAnsi" w:hAnsiTheme="minorHAnsi" w:cstheme="minorHAnsi"/>
          <w:sz w:val="15"/>
          <w:szCs w:val="15"/>
        </w:rPr>
        <w:t>Hyg</w:t>
      </w:r>
      <w:proofErr w:type="spellEnd"/>
      <w:r>
        <w:rPr>
          <w:rFonts w:asciiTheme="minorHAnsi" w:hAnsiTheme="minorHAnsi" w:cstheme="minorHAnsi"/>
          <w:sz w:val="15"/>
          <w:szCs w:val="15"/>
        </w:rPr>
        <w:t>.</w:t>
      </w:r>
      <w:proofErr w:type="gramEnd"/>
      <w:r>
        <w:rPr>
          <w:rFonts w:asciiTheme="minorHAnsi" w:hAnsiTheme="minorHAnsi" w:cstheme="minorHAnsi"/>
          <w:sz w:val="15"/>
          <w:szCs w:val="15"/>
        </w:rPr>
        <w:t xml:space="preserve"> 2016</w:t>
      </w:r>
      <w:proofErr w:type="gramStart"/>
      <w:r>
        <w:rPr>
          <w:rFonts w:asciiTheme="minorHAnsi" w:hAnsiTheme="minorHAnsi" w:cstheme="minorHAnsi"/>
          <w:sz w:val="15"/>
          <w:szCs w:val="15"/>
        </w:rPr>
        <w:t>;95</w:t>
      </w:r>
      <w:proofErr w:type="gramEnd"/>
      <w:r>
        <w:rPr>
          <w:rFonts w:asciiTheme="minorHAnsi" w:hAnsiTheme="minorHAnsi" w:cstheme="minorHAnsi"/>
          <w:sz w:val="15"/>
          <w:szCs w:val="15"/>
        </w:rPr>
        <w:t>(4):928–937. doi:10.4269/ajtmh.16-0037. PMID</w:t>
      </w:r>
      <w:proofErr w:type="gramStart"/>
      <w:r>
        <w:rPr>
          <w:rFonts w:asciiTheme="minorHAnsi" w:hAnsiTheme="minorHAnsi" w:cstheme="minorHAnsi"/>
          <w:sz w:val="15"/>
          <w:szCs w:val="15"/>
        </w:rPr>
        <w:t>:27503512</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Mostafa I, Hibberd MC, Hartman SJ, et al. A microbiota-directed complementary food intervention in 12–18-month-old Bangladeshi children improves linear growth. </w:t>
      </w:r>
      <w:proofErr w:type="spellStart"/>
      <w:proofErr w:type="gramStart"/>
      <w:r>
        <w:rPr>
          <w:rFonts w:asciiTheme="minorHAnsi" w:hAnsiTheme="minorHAnsi" w:cstheme="minorHAnsi"/>
          <w:sz w:val="15"/>
          <w:szCs w:val="15"/>
        </w:rPr>
        <w:t>eBioMedicine</w:t>
      </w:r>
      <w:proofErr w:type="spellEnd"/>
      <w:proofErr w:type="gramEnd"/>
      <w:r>
        <w:rPr>
          <w:rFonts w:asciiTheme="minorHAnsi" w:hAnsiTheme="minorHAnsi" w:cstheme="minorHAnsi"/>
          <w:sz w:val="15"/>
          <w:szCs w:val="15"/>
        </w:rPr>
        <w:t>. 2024</w:t>
      </w:r>
      <w:proofErr w:type="gramStart"/>
      <w:r>
        <w:rPr>
          <w:rFonts w:asciiTheme="minorHAnsi" w:hAnsiTheme="minorHAnsi" w:cstheme="minorHAnsi"/>
          <w:sz w:val="15"/>
          <w:szCs w:val="15"/>
        </w:rPr>
        <w:t>;104:105166</w:t>
      </w:r>
      <w:proofErr w:type="gramEnd"/>
      <w:r>
        <w:rPr>
          <w:rFonts w:asciiTheme="minorHAnsi" w:hAnsiTheme="minorHAnsi" w:cstheme="minorHAnsi"/>
          <w:sz w:val="15"/>
          <w:szCs w:val="15"/>
        </w:rPr>
        <w:t>. doi:10.1016/j.ebiom.2024.105166.</w:t>
      </w:r>
    </w:p>
    <w:p w:rsidR="00040C38" w:rsidRPr="00D97E5C" w:rsidRDefault="00D36294">
      <w:pPr>
        <w:spacing w:before="50" w:after="40"/>
        <w:ind w:left="360" w:hanging="360"/>
        <w:rPr>
          <w:rFonts w:asciiTheme="minorHAnsi" w:hAnsiTheme="minorHAnsi" w:cstheme="minorHAnsi"/>
        </w:rPr>
      </w:pPr>
      <w:proofErr w:type="spellStart"/>
      <w:r>
        <w:rPr>
          <w:rFonts w:asciiTheme="minorHAnsi" w:hAnsiTheme="minorHAnsi" w:cstheme="minorHAnsi"/>
          <w:sz w:val="15"/>
          <w:szCs w:val="15"/>
        </w:rPr>
        <w:t>Mutasa</w:t>
      </w:r>
      <w:proofErr w:type="spellEnd"/>
      <w:r>
        <w:rPr>
          <w:rFonts w:asciiTheme="minorHAnsi" w:hAnsiTheme="minorHAnsi" w:cstheme="minorHAnsi"/>
          <w:sz w:val="15"/>
          <w:szCs w:val="15"/>
        </w:rPr>
        <w:t xml:space="preserve"> K, </w:t>
      </w:r>
      <w:proofErr w:type="spellStart"/>
      <w:r>
        <w:rPr>
          <w:rFonts w:asciiTheme="minorHAnsi" w:hAnsiTheme="minorHAnsi" w:cstheme="minorHAnsi"/>
          <w:sz w:val="15"/>
          <w:szCs w:val="15"/>
        </w:rPr>
        <w:t>Ntozini</w:t>
      </w:r>
      <w:proofErr w:type="spellEnd"/>
      <w:r>
        <w:rPr>
          <w:rFonts w:asciiTheme="minorHAnsi" w:hAnsiTheme="minorHAnsi" w:cstheme="minorHAnsi"/>
          <w:sz w:val="15"/>
          <w:szCs w:val="15"/>
        </w:rPr>
        <w:t xml:space="preserve"> R, </w:t>
      </w:r>
      <w:proofErr w:type="spellStart"/>
      <w:r>
        <w:rPr>
          <w:rFonts w:asciiTheme="minorHAnsi" w:hAnsiTheme="minorHAnsi" w:cstheme="minorHAnsi"/>
          <w:sz w:val="15"/>
          <w:szCs w:val="15"/>
        </w:rPr>
        <w:t>Mbuya</w:t>
      </w:r>
      <w:proofErr w:type="spellEnd"/>
      <w:r>
        <w:rPr>
          <w:rFonts w:asciiTheme="minorHAnsi" w:hAnsiTheme="minorHAnsi" w:cstheme="minorHAnsi"/>
          <w:sz w:val="15"/>
          <w:szCs w:val="15"/>
        </w:rPr>
        <w:t xml:space="preserve"> MNN, et al. Biomarkers of environmental enteric dysfunction are not consistently associated with linear growth velocity in rural Zimbabwean infants. Am J </w:t>
      </w:r>
      <w:proofErr w:type="spellStart"/>
      <w:r>
        <w:rPr>
          <w:rFonts w:asciiTheme="minorHAnsi" w:hAnsiTheme="minorHAnsi" w:cstheme="minorHAnsi"/>
          <w:sz w:val="15"/>
          <w:szCs w:val="15"/>
        </w:rPr>
        <w:t>Clin</w:t>
      </w:r>
      <w:proofErr w:type="spellEnd"/>
      <w:r>
        <w:rPr>
          <w:rFonts w:asciiTheme="minorHAnsi" w:hAnsiTheme="minorHAnsi" w:cstheme="minorHAnsi"/>
          <w:sz w:val="15"/>
          <w:szCs w:val="15"/>
        </w:rPr>
        <w:t xml:space="preserve"> </w:t>
      </w:r>
      <w:proofErr w:type="spellStart"/>
      <w:r>
        <w:rPr>
          <w:rFonts w:asciiTheme="minorHAnsi" w:hAnsiTheme="minorHAnsi" w:cstheme="minorHAnsi"/>
          <w:sz w:val="15"/>
          <w:szCs w:val="15"/>
        </w:rPr>
        <w:t>Nutr</w:t>
      </w:r>
      <w:proofErr w:type="spellEnd"/>
      <w:r>
        <w:rPr>
          <w:rFonts w:asciiTheme="minorHAnsi" w:hAnsiTheme="minorHAnsi" w:cstheme="minorHAnsi"/>
          <w:sz w:val="15"/>
          <w:szCs w:val="15"/>
        </w:rPr>
        <w:t>. 2021</w:t>
      </w:r>
      <w:proofErr w:type="gramStart"/>
      <w:r>
        <w:rPr>
          <w:rFonts w:asciiTheme="minorHAnsi" w:hAnsiTheme="minorHAnsi" w:cstheme="minorHAnsi"/>
          <w:sz w:val="15"/>
          <w:szCs w:val="15"/>
        </w:rPr>
        <w:t>;113</w:t>
      </w:r>
      <w:proofErr w:type="gramEnd"/>
      <w:r>
        <w:rPr>
          <w:rFonts w:asciiTheme="minorHAnsi" w:hAnsiTheme="minorHAnsi" w:cstheme="minorHAnsi"/>
          <w:sz w:val="15"/>
          <w:szCs w:val="15"/>
        </w:rPr>
        <w:t>(5):1185–1198. doi:10.1093/</w:t>
      </w:r>
      <w:proofErr w:type="spellStart"/>
      <w:r>
        <w:rPr>
          <w:rFonts w:asciiTheme="minorHAnsi" w:hAnsiTheme="minorHAnsi" w:cstheme="minorHAnsi"/>
          <w:sz w:val="15"/>
          <w:szCs w:val="15"/>
        </w:rPr>
        <w:t>ajcn</w:t>
      </w:r>
      <w:proofErr w:type="spellEnd"/>
      <w:r>
        <w:rPr>
          <w:rFonts w:asciiTheme="minorHAnsi" w:hAnsiTheme="minorHAnsi" w:cstheme="minorHAnsi"/>
          <w:sz w:val="15"/>
          <w:szCs w:val="15"/>
        </w:rPr>
        <w:t>/nqaa416. PMID</w:t>
      </w:r>
      <w:proofErr w:type="gramStart"/>
      <w:r>
        <w:rPr>
          <w:rFonts w:asciiTheme="minorHAnsi" w:hAnsiTheme="minorHAnsi" w:cstheme="minorHAnsi"/>
          <w:sz w:val="15"/>
          <w:szCs w:val="15"/>
        </w:rPr>
        <w:t>:33740052</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proofErr w:type="spellStart"/>
      <w:r>
        <w:rPr>
          <w:rFonts w:asciiTheme="minorHAnsi" w:hAnsiTheme="minorHAnsi" w:cstheme="minorHAnsi"/>
          <w:sz w:val="15"/>
          <w:szCs w:val="15"/>
        </w:rPr>
        <w:t>Stettler</w:t>
      </w:r>
      <w:proofErr w:type="spellEnd"/>
      <w:r>
        <w:rPr>
          <w:rFonts w:asciiTheme="minorHAnsi" w:hAnsiTheme="minorHAnsi" w:cstheme="minorHAnsi"/>
          <w:sz w:val="15"/>
          <w:szCs w:val="15"/>
        </w:rPr>
        <w:t xml:space="preserve"> N, Schutz Y, Whitehead R, </w:t>
      </w:r>
      <w:proofErr w:type="spellStart"/>
      <w:r>
        <w:rPr>
          <w:rFonts w:asciiTheme="minorHAnsi" w:hAnsiTheme="minorHAnsi" w:cstheme="minorHAnsi"/>
          <w:sz w:val="15"/>
          <w:szCs w:val="15"/>
        </w:rPr>
        <w:t>Jéquier</w:t>
      </w:r>
      <w:proofErr w:type="spellEnd"/>
      <w:r>
        <w:rPr>
          <w:rFonts w:asciiTheme="minorHAnsi" w:hAnsiTheme="minorHAnsi" w:cstheme="minorHAnsi"/>
          <w:sz w:val="15"/>
          <w:szCs w:val="15"/>
        </w:rPr>
        <w:t xml:space="preserve"> E. Effect of malaria and fever on energy metabolism in Gambian children. </w:t>
      </w:r>
      <w:proofErr w:type="spellStart"/>
      <w:r>
        <w:rPr>
          <w:rFonts w:asciiTheme="minorHAnsi" w:hAnsiTheme="minorHAnsi" w:cstheme="minorHAnsi"/>
          <w:sz w:val="15"/>
          <w:szCs w:val="15"/>
        </w:rPr>
        <w:t>Pediatr</w:t>
      </w:r>
      <w:proofErr w:type="spellEnd"/>
      <w:r>
        <w:rPr>
          <w:rFonts w:asciiTheme="minorHAnsi" w:hAnsiTheme="minorHAnsi" w:cstheme="minorHAnsi"/>
          <w:sz w:val="15"/>
          <w:szCs w:val="15"/>
        </w:rPr>
        <w:t xml:space="preserve"> Res. 1992</w:t>
      </w:r>
      <w:proofErr w:type="gramStart"/>
      <w:r>
        <w:rPr>
          <w:rFonts w:asciiTheme="minorHAnsi" w:hAnsiTheme="minorHAnsi" w:cstheme="minorHAnsi"/>
          <w:sz w:val="15"/>
          <w:szCs w:val="15"/>
        </w:rPr>
        <w:t>;31</w:t>
      </w:r>
      <w:proofErr w:type="gramEnd"/>
      <w:r>
        <w:rPr>
          <w:rFonts w:asciiTheme="minorHAnsi" w:hAnsiTheme="minorHAnsi" w:cstheme="minorHAnsi"/>
          <w:sz w:val="15"/>
          <w:szCs w:val="15"/>
        </w:rPr>
        <w:t xml:space="preserve">(2):102–106. </w:t>
      </w:r>
      <w:proofErr w:type="gramStart"/>
      <w:r>
        <w:rPr>
          <w:rFonts w:asciiTheme="minorHAnsi" w:hAnsiTheme="minorHAnsi" w:cstheme="minorHAnsi"/>
          <w:sz w:val="15"/>
          <w:szCs w:val="15"/>
        </w:rPr>
        <w:t>doi:</w:t>
      </w:r>
      <w:proofErr w:type="gramEnd"/>
      <w:r>
        <w:rPr>
          <w:rFonts w:asciiTheme="minorHAnsi" w:hAnsiTheme="minorHAnsi" w:cstheme="minorHAnsi"/>
          <w:sz w:val="15"/>
          <w:szCs w:val="15"/>
        </w:rPr>
        <w:t>10.1203/00006450-199202000-00002. PMID</w:t>
      </w:r>
      <w:proofErr w:type="gramStart"/>
      <w:r>
        <w:rPr>
          <w:rFonts w:asciiTheme="minorHAnsi" w:hAnsiTheme="minorHAnsi" w:cstheme="minorHAnsi"/>
          <w:sz w:val="15"/>
          <w:szCs w:val="15"/>
        </w:rPr>
        <w:t>:1542535</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Bern C, </w:t>
      </w:r>
      <w:proofErr w:type="spellStart"/>
      <w:r>
        <w:rPr>
          <w:rFonts w:asciiTheme="minorHAnsi" w:hAnsiTheme="minorHAnsi" w:cstheme="minorHAnsi"/>
          <w:sz w:val="15"/>
          <w:szCs w:val="15"/>
        </w:rPr>
        <w:t>Martines</w:t>
      </w:r>
      <w:proofErr w:type="spellEnd"/>
      <w:r>
        <w:rPr>
          <w:rFonts w:asciiTheme="minorHAnsi" w:hAnsiTheme="minorHAnsi" w:cstheme="minorHAnsi"/>
          <w:sz w:val="15"/>
          <w:szCs w:val="15"/>
        </w:rPr>
        <w:t xml:space="preserve"> J, de </w:t>
      </w:r>
      <w:proofErr w:type="spellStart"/>
      <w:r>
        <w:rPr>
          <w:rFonts w:asciiTheme="minorHAnsi" w:hAnsiTheme="minorHAnsi" w:cstheme="minorHAnsi"/>
          <w:sz w:val="15"/>
          <w:szCs w:val="15"/>
        </w:rPr>
        <w:t>Zoysa</w:t>
      </w:r>
      <w:proofErr w:type="spellEnd"/>
      <w:r>
        <w:rPr>
          <w:rFonts w:asciiTheme="minorHAnsi" w:hAnsiTheme="minorHAnsi" w:cstheme="minorHAnsi"/>
          <w:sz w:val="15"/>
          <w:szCs w:val="15"/>
        </w:rPr>
        <w:t xml:space="preserve"> I, Glass RI. The magnitude of the global problem of diarrhoeal disease: a ten-year update. Bull World Health Organ. 1992</w:t>
      </w:r>
      <w:proofErr w:type="gramStart"/>
      <w:r>
        <w:rPr>
          <w:rFonts w:asciiTheme="minorHAnsi" w:hAnsiTheme="minorHAnsi" w:cstheme="minorHAnsi"/>
          <w:sz w:val="15"/>
          <w:szCs w:val="15"/>
        </w:rPr>
        <w:t>;70</w:t>
      </w:r>
      <w:proofErr w:type="gramEnd"/>
      <w:r>
        <w:rPr>
          <w:rFonts w:asciiTheme="minorHAnsi" w:hAnsiTheme="minorHAnsi" w:cstheme="minorHAnsi"/>
          <w:sz w:val="15"/>
          <w:szCs w:val="15"/>
        </w:rPr>
        <w:t>(6):705–714. PMID</w:t>
      </w:r>
      <w:proofErr w:type="gramStart"/>
      <w:r>
        <w:rPr>
          <w:rFonts w:asciiTheme="minorHAnsi" w:hAnsiTheme="minorHAnsi" w:cstheme="minorHAnsi"/>
          <w:sz w:val="15"/>
          <w:szCs w:val="15"/>
        </w:rPr>
        <w:t>:1486780</w:t>
      </w:r>
      <w:proofErr w:type="gramEnd"/>
      <w:r>
        <w:rPr>
          <w:rFonts w:asciiTheme="minorHAnsi" w:hAnsiTheme="minorHAnsi" w:cstheme="minorHAnsi"/>
          <w:sz w:val="15"/>
          <w:szCs w:val="15"/>
        </w:rPr>
        <w:t>. [Used for diarrhoeal episode duration and burden in undernourished children; MAM-specific upper-bound energy-loss estimate.]</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Black RE, Brown KH, Becker S. Malnutrition is a determining factor in diarrhoeal duration, but not incidence, among young children in a longitudinal study in rural Bangladesh. Am J </w:t>
      </w:r>
      <w:proofErr w:type="spellStart"/>
      <w:r>
        <w:rPr>
          <w:rFonts w:asciiTheme="minorHAnsi" w:hAnsiTheme="minorHAnsi" w:cstheme="minorHAnsi"/>
          <w:sz w:val="15"/>
          <w:szCs w:val="15"/>
        </w:rPr>
        <w:t>Clin</w:t>
      </w:r>
      <w:proofErr w:type="spellEnd"/>
      <w:r>
        <w:rPr>
          <w:rFonts w:asciiTheme="minorHAnsi" w:hAnsiTheme="minorHAnsi" w:cstheme="minorHAnsi"/>
          <w:sz w:val="15"/>
          <w:szCs w:val="15"/>
        </w:rPr>
        <w:t xml:space="preserve"> </w:t>
      </w:r>
      <w:proofErr w:type="spellStart"/>
      <w:r>
        <w:rPr>
          <w:rFonts w:asciiTheme="minorHAnsi" w:hAnsiTheme="minorHAnsi" w:cstheme="minorHAnsi"/>
          <w:sz w:val="15"/>
          <w:szCs w:val="15"/>
        </w:rPr>
        <w:t>Nutr</w:t>
      </w:r>
      <w:proofErr w:type="spellEnd"/>
      <w:r>
        <w:rPr>
          <w:rFonts w:asciiTheme="minorHAnsi" w:hAnsiTheme="minorHAnsi" w:cstheme="minorHAnsi"/>
          <w:sz w:val="15"/>
          <w:szCs w:val="15"/>
        </w:rPr>
        <w:t>. 1984</w:t>
      </w:r>
      <w:proofErr w:type="gramStart"/>
      <w:r>
        <w:rPr>
          <w:rFonts w:asciiTheme="minorHAnsi" w:hAnsiTheme="minorHAnsi" w:cstheme="minorHAnsi"/>
          <w:sz w:val="15"/>
          <w:szCs w:val="15"/>
        </w:rPr>
        <w:t>;39</w:t>
      </w:r>
      <w:proofErr w:type="gramEnd"/>
      <w:r>
        <w:rPr>
          <w:rFonts w:asciiTheme="minorHAnsi" w:hAnsiTheme="minorHAnsi" w:cstheme="minorHAnsi"/>
          <w:sz w:val="15"/>
          <w:szCs w:val="15"/>
        </w:rPr>
        <w:t>(1):87–94. PMID</w:t>
      </w:r>
      <w:proofErr w:type="gramStart"/>
      <w:r>
        <w:rPr>
          <w:rFonts w:asciiTheme="minorHAnsi" w:hAnsiTheme="minorHAnsi" w:cstheme="minorHAnsi"/>
          <w:sz w:val="15"/>
          <w:szCs w:val="15"/>
        </w:rPr>
        <w:t>:6691479</w:t>
      </w:r>
      <w:proofErr w:type="gramEnd"/>
      <w:r>
        <w:rPr>
          <w:rFonts w:asciiTheme="minorHAnsi" w:hAnsiTheme="minorHAnsi" w:cstheme="minorHAnsi"/>
          <w:sz w:val="15"/>
          <w:szCs w:val="15"/>
        </w:rPr>
        <w:t>. [Used for prolonged and more severe diarrhoeal episodes in MAM children; MAM-specific upper-bound energy-loss estimate.]</w:t>
      </w:r>
    </w:p>
    <w:p w:rsidR="00040C38" w:rsidRPr="00D97E5C" w:rsidRDefault="00D36294">
      <w:pPr>
        <w:spacing w:before="50" w:after="40"/>
        <w:ind w:left="360" w:hanging="360"/>
        <w:rPr>
          <w:rFonts w:asciiTheme="minorHAnsi" w:hAnsiTheme="minorHAnsi" w:cstheme="minorHAnsi"/>
        </w:rPr>
      </w:pPr>
      <w:proofErr w:type="spellStart"/>
      <w:r>
        <w:rPr>
          <w:rFonts w:asciiTheme="minorHAnsi" w:hAnsiTheme="minorHAnsi" w:cstheme="minorHAnsi"/>
          <w:sz w:val="15"/>
          <w:szCs w:val="15"/>
        </w:rPr>
        <w:t>Molla</w:t>
      </w:r>
      <w:proofErr w:type="spellEnd"/>
      <w:r>
        <w:rPr>
          <w:rFonts w:asciiTheme="minorHAnsi" w:hAnsiTheme="minorHAnsi" w:cstheme="minorHAnsi"/>
          <w:sz w:val="15"/>
          <w:szCs w:val="15"/>
        </w:rPr>
        <w:t xml:space="preserve"> A, </w:t>
      </w:r>
      <w:proofErr w:type="spellStart"/>
      <w:r>
        <w:rPr>
          <w:rFonts w:asciiTheme="minorHAnsi" w:hAnsiTheme="minorHAnsi" w:cstheme="minorHAnsi"/>
          <w:sz w:val="15"/>
          <w:szCs w:val="15"/>
        </w:rPr>
        <w:t>Molla</w:t>
      </w:r>
      <w:proofErr w:type="spellEnd"/>
      <w:r>
        <w:rPr>
          <w:rFonts w:asciiTheme="minorHAnsi" w:hAnsiTheme="minorHAnsi" w:cstheme="minorHAnsi"/>
          <w:sz w:val="15"/>
          <w:szCs w:val="15"/>
        </w:rPr>
        <w:t xml:space="preserve"> AM, </w:t>
      </w:r>
      <w:proofErr w:type="spellStart"/>
      <w:r>
        <w:rPr>
          <w:rFonts w:asciiTheme="minorHAnsi" w:hAnsiTheme="minorHAnsi" w:cstheme="minorHAnsi"/>
          <w:sz w:val="15"/>
          <w:szCs w:val="15"/>
        </w:rPr>
        <w:t>Sarker</w:t>
      </w:r>
      <w:proofErr w:type="spellEnd"/>
      <w:r>
        <w:rPr>
          <w:rFonts w:asciiTheme="minorHAnsi" w:hAnsiTheme="minorHAnsi" w:cstheme="minorHAnsi"/>
          <w:sz w:val="15"/>
          <w:szCs w:val="15"/>
        </w:rPr>
        <w:t xml:space="preserve"> SA, </w:t>
      </w:r>
      <w:proofErr w:type="spellStart"/>
      <w:r>
        <w:rPr>
          <w:rFonts w:asciiTheme="minorHAnsi" w:hAnsiTheme="minorHAnsi" w:cstheme="minorHAnsi"/>
          <w:sz w:val="15"/>
          <w:szCs w:val="15"/>
        </w:rPr>
        <w:t>Khatun</w:t>
      </w:r>
      <w:proofErr w:type="spellEnd"/>
      <w:r>
        <w:rPr>
          <w:rFonts w:asciiTheme="minorHAnsi" w:hAnsiTheme="minorHAnsi" w:cstheme="minorHAnsi"/>
          <w:sz w:val="15"/>
          <w:szCs w:val="15"/>
        </w:rPr>
        <w:t xml:space="preserve"> M. Whole-gut transit time and its relationship to absorption of macronutrients during diarrhoea and after recovery. </w:t>
      </w:r>
      <w:proofErr w:type="spellStart"/>
      <w:r>
        <w:rPr>
          <w:rFonts w:asciiTheme="minorHAnsi" w:hAnsiTheme="minorHAnsi" w:cstheme="minorHAnsi"/>
          <w:sz w:val="15"/>
          <w:szCs w:val="15"/>
        </w:rPr>
        <w:t>Scand</w:t>
      </w:r>
      <w:proofErr w:type="spellEnd"/>
      <w:r>
        <w:rPr>
          <w:rFonts w:asciiTheme="minorHAnsi" w:hAnsiTheme="minorHAnsi" w:cstheme="minorHAnsi"/>
          <w:sz w:val="15"/>
          <w:szCs w:val="15"/>
        </w:rPr>
        <w:t xml:space="preserve"> J </w:t>
      </w:r>
      <w:proofErr w:type="spellStart"/>
      <w:r>
        <w:rPr>
          <w:rFonts w:asciiTheme="minorHAnsi" w:hAnsiTheme="minorHAnsi" w:cstheme="minorHAnsi"/>
          <w:sz w:val="15"/>
          <w:szCs w:val="15"/>
        </w:rPr>
        <w:t>Gastroenterol</w:t>
      </w:r>
      <w:proofErr w:type="spellEnd"/>
      <w:r>
        <w:rPr>
          <w:rFonts w:asciiTheme="minorHAnsi" w:hAnsiTheme="minorHAnsi" w:cstheme="minorHAnsi"/>
          <w:sz w:val="15"/>
          <w:szCs w:val="15"/>
        </w:rPr>
        <w:t>. 1983</w:t>
      </w:r>
      <w:proofErr w:type="gramStart"/>
      <w:r>
        <w:rPr>
          <w:rFonts w:asciiTheme="minorHAnsi" w:hAnsiTheme="minorHAnsi" w:cstheme="minorHAnsi"/>
          <w:sz w:val="15"/>
          <w:szCs w:val="15"/>
        </w:rPr>
        <w:t>;18</w:t>
      </w:r>
      <w:proofErr w:type="gramEnd"/>
      <w:r>
        <w:rPr>
          <w:rFonts w:asciiTheme="minorHAnsi" w:hAnsiTheme="minorHAnsi" w:cstheme="minorHAnsi"/>
          <w:sz w:val="15"/>
          <w:szCs w:val="15"/>
        </w:rPr>
        <w:t>(4):537–543. PMID</w:t>
      </w:r>
      <w:proofErr w:type="gramStart"/>
      <w:r>
        <w:rPr>
          <w:rFonts w:asciiTheme="minorHAnsi" w:hAnsiTheme="minorHAnsi" w:cstheme="minorHAnsi"/>
          <w:sz w:val="15"/>
          <w:szCs w:val="15"/>
        </w:rPr>
        <w:t>:6623271</w:t>
      </w:r>
      <w:proofErr w:type="gramEnd"/>
      <w:r>
        <w:rPr>
          <w:rFonts w:asciiTheme="minorHAnsi" w:hAnsiTheme="minorHAnsi" w:cstheme="minorHAnsi"/>
          <w:sz w:val="15"/>
          <w:szCs w:val="15"/>
        </w:rPr>
        <w:t>. [Used for community-typical caloric intake deficit (~30%) during acute diarrhoea in Bangladeshi children; lower-bound energy-loss estimate.]</w:t>
      </w:r>
    </w:p>
    <w:p w:rsidR="00040C38" w:rsidRPr="00D97E5C" w:rsidRDefault="00D36294">
      <w:pPr>
        <w:spacing w:before="50" w:after="40"/>
        <w:ind w:left="360" w:hanging="360"/>
        <w:rPr>
          <w:rFonts w:asciiTheme="minorHAnsi" w:hAnsiTheme="minorHAnsi" w:cstheme="minorHAnsi"/>
        </w:rPr>
      </w:pPr>
      <w:proofErr w:type="spellStart"/>
      <w:r>
        <w:rPr>
          <w:rFonts w:asciiTheme="minorHAnsi" w:hAnsiTheme="minorHAnsi" w:cstheme="minorHAnsi"/>
          <w:sz w:val="15"/>
          <w:szCs w:val="15"/>
        </w:rPr>
        <w:t>Molla</w:t>
      </w:r>
      <w:proofErr w:type="spellEnd"/>
      <w:r>
        <w:rPr>
          <w:rFonts w:asciiTheme="minorHAnsi" w:hAnsiTheme="minorHAnsi" w:cstheme="minorHAnsi"/>
          <w:sz w:val="15"/>
          <w:szCs w:val="15"/>
        </w:rPr>
        <w:t xml:space="preserve"> AM, </w:t>
      </w:r>
      <w:proofErr w:type="spellStart"/>
      <w:r>
        <w:rPr>
          <w:rFonts w:asciiTheme="minorHAnsi" w:hAnsiTheme="minorHAnsi" w:cstheme="minorHAnsi"/>
          <w:sz w:val="15"/>
          <w:szCs w:val="15"/>
        </w:rPr>
        <w:t>Molla</w:t>
      </w:r>
      <w:proofErr w:type="spellEnd"/>
      <w:r>
        <w:rPr>
          <w:rFonts w:asciiTheme="minorHAnsi" w:hAnsiTheme="minorHAnsi" w:cstheme="minorHAnsi"/>
          <w:sz w:val="15"/>
          <w:szCs w:val="15"/>
        </w:rPr>
        <w:t xml:space="preserve"> A, Rahim A, </w:t>
      </w:r>
      <w:proofErr w:type="spellStart"/>
      <w:r>
        <w:rPr>
          <w:rFonts w:asciiTheme="minorHAnsi" w:hAnsiTheme="minorHAnsi" w:cstheme="minorHAnsi"/>
          <w:sz w:val="15"/>
          <w:szCs w:val="15"/>
        </w:rPr>
        <w:t>Sarker</w:t>
      </w:r>
      <w:proofErr w:type="spellEnd"/>
      <w:r>
        <w:rPr>
          <w:rFonts w:asciiTheme="minorHAnsi" w:hAnsiTheme="minorHAnsi" w:cstheme="minorHAnsi"/>
          <w:sz w:val="15"/>
          <w:szCs w:val="15"/>
        </w:rPr>
        <w:t xml:space="preserve"> SA, </w:t>
      </w:r>
      <w:proofErr w:type="spellStart"/>
      <w:r>
        <w:rPr>
          <w:rFonts w:asciiTheme="minorHAnsi" w:hAnsiTheme="minorHAnsi" w:cstheme="minorHAnsi"/>
          <w:sz w:val="15"/>
          <w:szCs w:val="15"/>
        </w:rPr>
        <w:t>Mozaffar</w:t>
      </w:r>
      <w:proofErr w:type="spellEnd"/>
      <w:r>
        <w:rPr>
          <w:rFonts w:asciiTheme="minorHAnsi" w:hAnsiTheme="minorHAnsi" w:cstheme="minorHAnsi"/>
          <w:sz w:val="15"/>
          <w:szCs w:val="15"/>
        </w:rPr>
        <w:t xml:space="preserve"> Z, </w:t>
      </w:r>
      <w:proofErr w:type="spellStart"/>
      <w:r>
        <w:rPr>
          <w:rFonts w:asciiTheme="minorHAnsi" w:hAnsiTheme="minorHAnsi" w:cstheme="minorHAnsi"/>
          <w:sz w:val="15"/>
          <w:szCs w:val="15"/>
        </w:rPr>
        <w:t>Rahaman</w:t>
      </w:r>
      <w:proofErr w:type="spellEnd"/>
      <w:r>
        <w:rPr>
          <w:rFonts w:asciiTheme="minorHAnsi" w:hAnsiTheme="minorHAnsi" w:cstheme="minorHAnsi"/>
          <w:sz w:val="15"/>
          <w:szCs w:val="15"/>
        </w:rPr>
        <w:t xml:space="preserve"> M. Intake and absorption of nutrients in children with cholera and rotavirus infection during acute </w:t>
      </w:r>
      <w:proofErr w:type="spellStart"/>
      <w:r>
        <w:rPr>
          <w:rFonts w:asciiTheme="minorHAnsi" w:hAnsiTheme="minorHAnsi" w:cstheme="minorHAnsi"/>
          <w:sz w:val="15"/>
          <w:szCs w:val="15"/>
        </w:rPr>
        <w:t>diarrhea</w:t>
      </w:r>
      <w:proofErr w:type="spellEnd"/>
      <w:r>
        <w:rPr>
          <w:rFonts w:asciiTheme="minorHAnsi" w:hAnsiTheme="minorHAnsi" w:cstheme="minorHAnsi"/>
          <w:sz w:val="15"/>
          <w:szCs w:val="15"/>
        </w:rPr>
        <w:t xml:space="preserve"> and after recovery. </w:t>
      </w:r>
      <w:proofErr w:type="spellStart"/>
      <w:r>
        <w:rPr>
          <w:rFonts w:asciiTheme="minorHAnsi" w:hAnsiTheme="minorHAnsi" w:cstheme="minorHAnsi"/>
          <w:sz w:val="15"/>
          <w:szCs w:val="15"/>
        </w:rPr>
        <w:t>Nutr</w:t>
      </w:r>
      <w:proofErr w:type="spellEnd"/>
      <w:r>
        <w:rPr>
          <w:rFonts w:asciiTheme="minorHAnsi" w:hAnsiTheme="minorHAnsi" w:cstheme="minorHAnsi"/>
          <w:sz w:val="15"/>
          <w:szCs w:val="15"/>
        </w:rPr>
        <w:t xml:space="preserve"> Res. 1982</w:t>
      </w:r>
      <w:proofErr w:type="gramStart"/>
      <w:r>
        <w:rPr>
          <w:rFonts w:asciiTheme="minorHAnsi" w:hAnsiTheme="minorHAnsi" w:cstheme="minorHAnsi"/>
          <w:sz w:val="15"/>
          <w:szCs w:val="15"/>
        </w:rPr>
        <w:t>;2</w:t>
      </w:r>
      <w:proofErr w:type="gramEnd"/>
      <w:r>
        <w:rPr>
          <w:rFonts w:asciiTheme="minorHAnsi" w:hAnsiTheme="minorHAnsi" w:cstheme="minorHAnsi"/>
          <w:sz w:val="15"/>
          <w:szCs w:val="15"/>
        </w:rPr>
        <w:t xml:space="preserve">(3):233–242. </w:t>
      </w:r>
      <w:proofErr w:type="gramStart"/>
      <w:r>
        <w:rPr>
          <w:rFonts w:asciiTheme="minorHAnsi" w:hAnsiTheme="minorHAnsi" w:cstheme="minorHAnsi"/>
          <w:sz w:val="15"/>
          <w:szCs w:val="15"/>
        </w:rPr>
        <w:t>doi:</w:t>
      </w:r>
      <w:proofErr w:type="gramEnd"/>
      <w:r>
        <w:rPr>
          <w:rFonts w:asciiTheme="minorHAnsi" w:hAnsiTheme="minorHAnsi" w:cstheme="minorHAnsi"/>
          <w:sz w:val="15"/>
          <w:szCs w:val="15"/>
        </w:rPr>
        <w:t>10.1016/S0271-5317(82)80026-0. [Used for intake and absorption deficit during acute diarrhoea; community-typical lower-bound energy-loss estimate.]</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Topping DL, Clifton PM. Short-chain fatty acids and human colonic function: roles of resistant starch and non-starch polysaccharides. </w:t>
      </w:r>
      <w:proofErr w:type="spellStart"/>
      <w:r>
        <w:rPr>
          <w:rFonts w:asciiTheme="minorHAnsi" w:hAnsiTheme="minorHAnsi" w:cstheme="minorHAnsi"/>
          <w:sz w:val="15"/>
          <w:szCs w:val="15"/>
        </w:rPr>
        <w:t>Physiol</w:t>
      </w:r>
      <w:proofErr w:type="spellEnd"/>
      <w:r>
        <w:rPr>
          <w:rFonts w:asciiTheme="minorHAnsi" w:hAnsiTheme="minorHAnsi" w:cstheme="minorHAnsi"/>
          <w:sz w:val="15"/>
          <w:szCs w:val="15"/>
        </w:rPr>
        <w:t xml:space="preserve"> Rev. 2001</w:t>
      </w:r>
      <w:proofErr w:type="gramStart"/>
      <w:r>
        <w:rPr>
          <w:rFonts w:asciiTheme="minorHAnsi" w:hAnsiTheme="minorHAnsi" w:cstheme="minorHAnsi"/>
          <w:sz w:val="15"/>
          <w:szCs w:val="15"/>
        </w:rPr>
        <w:t>;81</w:t>
      </w:r>
      <w:proofErr w:type="gramEnd"/>
      <w:r>
        <w:rPr>
          <w:rFonts w:asciiTheme="minorHAnsi" w:hAnsiTheme="minorHAnsi" w:cstheme="minorHAnsi"/>
          <w:sz w:val="15"/>
          <w:szCs w:val="15"/>
        </w:rPr>
        <w:t>(3):1031–1064. doi:10.1152/physrev.2001.81.3.1031. PMID</w:t>
      </w:r>
      <w:proofErr w:type="gramStart"/>
      <w:r>
        <w:rPr>
          <w:rFonts w:asciiTheme="minorHAnsi" w:hAnsiTheme="minorHAnsi" w:cstheme="minorHAnsi"/>
          <w:sz w:val="15"/>
          <w:szCs w:val="15"/>
        </w:rPr>
        <w:t>:11427691</w:t>
      </w:r>
      <w:proofErr w:type="gramEnd"/>
      <w:r>
        <w:rPr>
          <w:rFonts w:asciiTheme="minorHAnsi" w:hAnsiTheme="minorHAnsi" w:cstheme="minorHAnsi"/>
          <w:sz w:val="15"/>
          <w:szCs w:val="15"/>
        </w:rPr>
        <w:t>.</w:t>
      </w:r>
    </w:p>
    <w:p w:rsidR="00040C38" w:rsidRPr="00D97E5C" w:rsidRDefault="00D36294">
      <w:pPr>
        <w:spacing w:before="50" w:after="40"/>
        <w:ind w:left="360" w:hanging="360"/>
        <w:rPr>
          <w:rFonts w:asciiTheme="minorHAnsi" w:hAnsiTheme="minorHAnsi" w:cstheme="minorHAnsi"/>
        </w:rPr>
      </w:pPr>
      <w:r>
        <w:rPr>
          <w:rFonts w:asciiTheme="minorHAnsi" w:hAnsiTheme="minorHAnsi" w:cstheme="minorHAnsi"/>
          <w:sz w:val="15"/>
          <w:szCs w:val="15"/>
        </w:rPr>
        <w:t xml:space="preserve">USDA </w:t>
      </w:r>
      <w:proofErr w:type="spellStart"/>
      <w:r>
        <w:rPr>
          <w:rFonts w:asciiTheme="minorHAnsi" w:hAnsiTheme="minorHAnsi" w:cstheme="minorHAnsi"/>
          <w:sz w:val="15"/>
          <w:szCs w:val="15"/>
        </w:rPr>
        <w:t>FoodData</w:t>
      </w:r>
      <w:proofErr w:type="spellEnd"/>
      <w:r>
        <w:rPr>
          <w:rFonts w:asciiTheme="minorHAnsi" w:hAnsiTheme="minorHAnsi" w:cstheme="minorHAnsi"/>
          <w:sz w:val="15"/>
          <w:szCs w:val="15"/>
        </w:rPr>
        <w:t xml:space="preserve"> Central. Available at: https://fdc.nal.usda.gov/ [accessed 2026]. FDC IDs: Chickpea flour #173756; Green banana flour #168167; Soy flour defatted #174253; Peanut flour #174263.</w:t>
      </w:r>
    </w:p>
    <w:sectPr w:rsidR="00040C38" w:rsidRPr="00D97E5C" w:rsidSect="00D97E5C">
      <w:headerReference w:type="default" r:id="rId7"/>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6E3" w:rsidRDefault="00A346E3" w:rsidP="00E47764">
      <w:r>
        <w:separator/>
      </w:r>
    </w:p>
  </w:endnote>
  <w:endnote w:type="continuationSeparator" w:id="0">
    <w:p w:rsidR="00A346E3" w:rsidRDefault="00A346E3" w:rsidP="00E47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6E3" w:rsidRDefault="00A346E3" w:rsidP="00E47764">
      <w:r>
        <w:separator/>
      </w:r>
    </w:p>
  </w:footnote>
  <w:footnote w:type="continuationSeparator" w:id="0">
    <w:p w:rsidR="00A346E3" w:rsidRDefault="00A346E3" w:rsidP="00E477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44341"/>
      <w:docPartObj>
        <w:docPartGallery w:val="Page Numbers (Margins)"/>
        <w:docPartUnique/>
      </w:docPartObj>
    </w:sdtPr>
    <w:sdtEndPr/>
    <w:sdtContent>
      <w:p w:rsidR="00E47764" w:rsidRDefault="00E47764">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764" w:rsidRDefault="00E4776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394A2F" w:rsidRPr="00394A2F">
                                <w:rPr>
                                  <w:rFonts w:asciiTheme="majorHAnsi" w:eastAsiaTheme="majorEastAsia" w:hAnsiTheme="majorHAnsi" w:cstheme="majorBidi"/>
                                  <w:noProof/>
                                  <w:sz w:val="44"/>
                                  <w:szCs w:val="44"/>
                                </w:rPr>
                                <w:t>9</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E47764" w:rsidRDefault="00E4776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394A2F" w:rsidRPr="00394A2F">
                          <w:rPr>
                            <w:rFonts w:asciiTheme="majorHAnsi" w:eastAsiaTheme="majorEastAsia" w:hAnsiTheme="majorHAnsi" w:cstheme="majorBidi"/>
                            <w:noProof/>
                            <w:sz w:val="44"/>
                            <w:szCs w:val="44"/>
                          </w:rPr>
                          <w:t>9</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F4C59"/>
    <w:multiLevelType w:val="hybridMultilevel"/>
    <w:tmpl w:val="88245A92"/>
    <w:lvl w:ilvl="0" w:tplc="12FA779C">
      <w:start w:val="1"/>
      <w:numFmt w:val="bullet"/>
      <w:lvlText w:val="●"/>
      <w:lvlJc w:val="left"/>
      <w:pPr>
        <w:ind w:left="720" w:hanging="360"/>
      </w:pPr>
    </w:lvl>
    <w:lvl w:ilvl="1" w:tplc="0D4C8528">
      <w:start w:val="1"/>
      <w:numFmt w:val="bullet"/>
      <w:lvlText w:val="○"/>
      <w:lvlJc w:val="left"/>
      <w:pPr>
        <w:ind w:left="1440" w:hanging="360"/>
      </w:pPr>
    </w:lvl>
    <w:lvl w:ilvl="2" w:tplc="C8589332">
      <w:start w:val="1"/>
      <w:numFmt w:val="bullet"/>
      <w:lvlText w:val="■"/>
      <w:lvlJc w:val="left"/>
      <w:pPr>
        <w:ind w:left="2160" w:hanging="360"/>
      </w:pPr>
    </w:lvl>
    <w:lvl w:ilvl="3" w:tplc="5C04A0E4">
      <w:start w:val="1"/>
      <w:numFmt w:val="bullet"/>
      <w:lvlText w:val="●"/>
      <w:lvlJc w:val="left"/>
      <w:pPr>
        <w:ind w:left="2880" w:hanging="360"/>
      </w:pPr>
    </w:lvl>
    <w:lvl w:ilvl="4" w:tplc="F69A3E10">
      <w:start w:val="1"/>
      <w:numFmt w:val="bullet"/>
      <w:lvlText w:val="○"/>
      <w:lvlJc w:val="left"/>
      <w:pPr>
        <w:ind w:left="3600" w:hanging="360"/>
      </w:pPr>
    </w:lvl>
    <w:lvl w:ilvl="5" w:tplc="38ACADE8">
      <w:start w:val="1"/>
      <w:numFmt w:val="bullet"/>
      <w:lvlText w:val="■"/>
      <w:lvlJc w:val="left"/>
      <w:pPr>
        <w:ind w:left="4320" w:hanging="360"/>
      </w:pPr>
    </w:lvl>
    <w:lvl w:ilvl="6" w:tplc="35845060">
      <w:start w:val="1"/>
      <w:numFmt w:val="bullet"/>
      <w:lvlText w:val="●"/>
      <w:lvlJc w:val="left"/>
      <w:pPr>
        <w:ind w:left="5040" w:hanging="360"/>
      </w:pPr>
    </w:lvl>
    <w:lvl w:ilvl="7" w:tplc="0890F03C">
      <w:start w:val="1"/>
      <w:numFmt w:val="bullet"/>
      <w:lvlText w:val="●"/>
      <w:lvlJc w:val="left"/>
      <w:pPr>
        <w:ind w:left="5760" w:hanging="360"/>
      </w:pPr>
    </w:lvl>
    <w:lvl w:ilvl="8" w:tplc="E3F601D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C38"/>
    <w:rsid w:val="00002543"/>
    <w:rsid w:val="00040C38"/>
    <w:rsid w:val="00086B34"/>
    <w:rsid w:val="0013201A"/>
    <w:rsid w:val="00185A20"/>
    <w:rsid w:val="00226161"/>
    <w:rsid w:val="002A3316"/>
    <w:rsid w:val="002E7821"/>
    <w:rsid w:val="00394A2F"/>
    <w:rsid w:val="003E2F9C"/>
    <w:rsid w:val="00482922"/>
    <w:rsid w:val="006719B1"/>
    <w:rsid w:val="006C24F9"/>
    <w:rsid w:val="007C1E10"/>
    <w:rsid w:val="008B55DA"/>
    <w:rsid w:val="00A346E3"/>
    <w:rsid w:val="00B37D2A"/>
    <w:rsid w:val="00C52746"/>
    <w:rsid w:val="00CB50A8"/>
    <w:rsid w:val="00D17E3E"/>
    <w:rsid w:val="00D36294"/>
    <w:rsid w:val="00D97E5C"/>
    <w:rsid w:val="00E47764"/>
    <w:rsid w:val="00F074A5"/>
    <w:rsid w:val="00F21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ABD904-37DC-487A-8681-C38D45BE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18"/>
        <w:szCs w:val="18"/>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47764"/>
    <w:pPr>
      <w:tabs>
        <w:tab w:val="center" w:pos="4513"/>
        <w:tab w:val="right" w:pos="9026"/>
      </w:tabs>
    </w:pPr>
  </w:style>
  <w:style w:type="character" w:customStyle="1" w:styleId="HeaderChar">
    <w:name w:val="Header Char"/>
    <w:basedOn w:val="DefaultParagraphFont"/>
    <w:link w:val="Header"/>
    <w:uiPriority w:val="99"/>
    <w:rsid w:val="00E47764"/>
  </w:style>
  <w:style w:type="paragraph" w:styleId="Footer">
    <w:name w:val="footer"/>
    <w:basedOn w:val="Normal"/>
    <w:link w:val="FooterChar"/>
    <w:uiPriority w:val="99"/>
    <w:unhideWhenUsed/>
    <w:rsid w:val="00E47764"/>
    <w:pPr>
      <w:tabs>
        <w:tab w:val="center" w:pos="4513"/>
        <w:tab w:val="right" w:pos="9026"/>
      </w:tabs>
    </w:pPr>
  </w:style>
  <w:style w:type="character" w:customStyle="1" w:styleId="FooterChar">
    <w:name w:val="Footer Char"/>
    <w:basedOn w:val="DefaultParagraphFont"/>
    <w:link w:val="Footer"/>
    <w:uiPriority w:val="99"/>
    <w:rsid w:val="00E4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4938</Words>
  <Characters>28151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MRCG</Company>
  <LinksUpToDate>false</LinksUpToDate>
  <CharactersWithSpaces>33023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Ofordile Ogochukwu</cp:lastModifiedBy>
  <cp:revision>4</cp:revision>
  <dcterms:created xsi:type="dcterms:W3CDTF">2026-03-26T03:20:00Z</dcterms:created>
  <dcterms:modified xsi:type="dcterms:W3CDTF">2026-06-20T07:41:00Z</dcterms:modified>
</cp:coreProperties>
</file>