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33B" w:rsidRDefault="00000000">
      <w:pPr>
        <w:widowControl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 w:hint="eastAsia"/>
          <w:b/>
          <w:bCs/>
          <w:sz w:val="40"/>
          <w:szCs w:val="40"/>
        </w:rPr>
        <w:t>Supplementary materials</w:t>
      </w:r>
    </w:p>
    <w:p w:rsidR="00B1533B" w:rsidRDefault="00B1533B"/>
    <w:tbl>
      <w:tblPr>
        <w:tblStyle w:val="ab"/>
        <w:tblW w:w="89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  <w:gridCol w:w="993"/>
      </w:tblGrid>
      <w:tr w:rsidR="00B1533B">
        <w:trPr>
          <w:trHeight w:val="280"/>
          <w:jc w:val="center"/>
        </w:trPr>
        <w:tc>
          <w:tcPr>
            <w:tcW w:w="8931" w:type="dxa"/>
            <w:gridSpan w:val="5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Table S1.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Distribution of vasoactive drug types and dosages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 used intraoperatively and postoperatively.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 (n=2242)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Non-AKI (n=1491)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AKI (n=751)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 value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Intraoperative medications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Type</w:t>
            </w: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Dopamine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 (3.3)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(2.7)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(4.7)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Dobutamine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557 (24.8)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316 (21.2)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241 (32.1)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Epinephrine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368 (16.4)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 (14.1)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158 (21.0)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Levosimendan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 (4.6)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 (4.4)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 (5.1)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0.522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Milrinone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699 (31.2)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446 (29.9)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 (33.7)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0.076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Vasopressin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 (0.8)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(0.4)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 (1.7)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Norepinephrine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 (33.2)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394 (26.4)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350 (46.6)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Dosage</w:t>
            </w: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Dopamine,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μ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g/kg/min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0.016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Dobutamine,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μ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g/kg/min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4.00]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Epinephrine,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μ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g/kg/min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Levosimendan,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μ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g/kg/min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0.439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Milrinone,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μ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g/kg/min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0.40]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0.40]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0.40]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Vasopressin,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units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/kg/min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Norepinephrine,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μ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g/kg/min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0.10]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0.04]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0.10]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Post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operative medications</w:t>
            </w: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Type</w:t>
            </w: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Dopamine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437 (19.5)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379 (25.4)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 (7.7)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Dobutamine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1124 (50.1)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690 (46.3)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434 (57.8)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Epinephrine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415 (18.5)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 (16.0)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 (23.4)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Levosimendan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 (0.8)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(0.1)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(2.0)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Milrinone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184 (8.2)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 (5.7)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 (13.2)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Vasopressin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(0.1)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(0.1)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(0.1)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.000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Norepinephrine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543 (24.2)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246 (16.5)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297 (39.5)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Dosage</w:t>
            </w: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Dopamine,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μ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g/kg/min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1.00]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Dobutamine,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μ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g/kg/min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 [0.00, 3.00]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2.00]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2.00 [0.00, 4.00]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Epinephrine,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μ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g/kg/min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Levosimendan,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μ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g/kg/min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Milrinone,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μ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g/kg/min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Vasopressin,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units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/kg/min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99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</w:tr>
      <w:tr w:rsidR="00B1533B">
        <w:trPr>
          <w:trHeight w:val="280"/>
          <w:jc w:val="center"/>
        </w:trPr>
        <w:tc>
          <w:tcPr>
            <w:tcW w:w="2835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Norepinephrine,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μ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g/kg/min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0.00]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[0.00, 0.06]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8931" w:type="dxa"/>
            <w:gridSpan w:val="5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AKI, acute kidney injury.</w:t>
            </w:r>
          </w:p>
        </w:tc>
      </w:tr>
    </w:tbl>
    <w:p w:rsidR="00B1533B" w:rsidRDefault="00B1533B"/>
    <w:p w:rsidR="00B1533B" w:rsidRDefault="00000000">
      <w:pPr>
        <w:widowControl/>
      </w:pPr>
      <w:r>
        <w:rPr>
          <w:rFonts w:hint="eastAsia"/>
        </w:rPr>
        <w:br w:type="page"/>
      </w:r>
    </w:p>
    <w:p w:rsidR="00B1533B" w:rsidRDefault="00B1533B"/>
    <w:tbl>
      <w:tblPr>
        <w:tblStyle w:val="ab"/>
        <w:tblW w:w="11505" w:type="dxa"/>
        <w:tblInd w:w="-1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0"/>
        <w:gridCol w:w="1308"/>
        <w:gridCol w:w="730"/>
        <w:gridCol w:w="1352"/>
        <w:gridCol w:w="758"/>
        <w:gridCol w:w="1190"/>
        <w:gridCol w:w="825"/>
        <w:gridCol w:w="1304"/>
        <w:gridCol w:w="711"/>
        <w:gridCol w:w="1288"/>
        <w:gridCol w:w="669"/>
      </w:tblGrid>
      <w:tr w:rsidR="00B1533B">
        <w:trPr>
          <w:trHeight w:val="280"/>
        </w:trPr>
        <w:tc>
          <w:tcPr>
            <w:tcW w:w="11505" w:type="dxa"/>
            <w:gridSpan w:val="11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Table S2. F</w:t>
            </w: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inal confounders identified through multivariable analysis for the mediation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analyses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.</w:t>
            </w:r>
          </w:p>
        </w:tc>
      </w:tr>
      <w:tr w:rsidR="00B1533B">
        <w:trPr>
          <w:trHeight w:val="280"/>
        </w:trPr>
        <w:tc>
          <w:tcPr>
            <w:tcW w:w="1370" w:type="dxa"/>
            <w:vMerge w:val="restart"/>
            <w:tcBorders>
              <w:top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038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4"/>
                <w:szCs w:val="14"/>
              </w:rPr>
              <w:t>PASP</w:t>
            </w:r>
          </w:p>
        </w:tc>
        <w:tc>
          <w:tcPr>
            <w:tcW w:w="2110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MAP_</w:t>
            </w:r>
            <w:r>
              <w:rPr>
                <w:rFonts w:ascii="Times New Roman" w:hAnsi="Times New Roman" w:cs="Times New Roman" w:hint="eastAsia"/>
                <w:b/>
                <w:bCs/>
                <w:sz w:val="14"/>
                <w:szCs w:val="14"/>
              </w:rPr>
              <w:t>TIME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_65</w:t>
            </w:r>
          </w:p>
        </w:tc>
        <w:tc>
          <w:tcPr>
            <w:tcW w:w="2015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MAP_AUT_65</w:t>
            </w:r>
          </w:p>
        </w:tc>
        <w:tc>
          <w:tcPr>
            <w:tcW w:w="2015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Intraoperative VIS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4"/>
                <w:szCs w:val="14"/>
              </w:rPr>
              <w:t>Post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operative VIS</w:t>
            </w:r>
          </w:p>
        </w:tc>
      </w:tr>
      <w:tr w:rsidR="00B1533B">
        <w:trPr>
          <w:trHeight w:val="280"/>
        </w:trPr>
        <w:tc>
          <w:tcPr>
            <w:tcW w:w="1370" w:type="dxa"/>
            <w:vMerge/>
            <w:tcBorders>
              <w:bottom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08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  <w:t>O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4"/>
                <w:szCs w:val="14"/>
              </w:rPr>
              <w:t>R</w:t>
            </w:r>
            <w:r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  <w:t xml:space="preserve"> (95% CI)</w:t>
            </w:r>
          </w:p>
        </w:tc>
        <w:tc>
          <w:tcPr>
            <w:tcW w:w="73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  <w:t>P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4"/>
                <w:szCs w:val="14"/>
              </w:rPr>
              <w:t>-value</w:t>
            </w:r>
            <w:r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35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  <w:t>O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4"/>
                <w:szCs w:val="14"/>
              </w:rPr>
              <w:t>R</w:t>
            </w:r>
            <w:r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  <w:t xml:space="preserve"> (95% CI)</w:t>
            </w:r>
          </w:p>
        </w:tc>
        <w:tc>
          <w:tcPr>
            <w:tcW w:w="758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  <w:t>P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4"/>
                <w:szCs w:val="14"/>
              </w:rPr>
              <w:t>-value</w:t>
            </w:r>
          </w:p>
        </w:tc>
        <w:tc>
          <w:tcPr>
            <w:tcW w:w="11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  <w:t>OR (95% CI)</w:t>
            </w:r>
          </w:p>
        </w:tc>
        <w:tc>
          <w:tcPr>
            <w:tcW w:w="8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  <w:t>P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4"/>
                <w:szCs w:val="14"/>
              </w:rPr>
              <w:t>-value</w:t>
            </w:r>
          </w:p>
        </w:tc>
        <w:tc>
          <w:tcPr>
            <w:tcW w:w="130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  <w:t>OR (95% CI)</w:t>
            </w:r>
          </w:p>
        </w:tc>
        <w:tc>
          <w:tcPr>
            <w:tcW w:w="71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  <w:t>P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4"/>
                <w:szCs w:val="14"/>
              </w:rPr>
              <w:t>-value</w:t>
            </w:r>
          </w:p>
        </w:tc>
        <w:tc>
          <w:tcPr>
            <w:tcW w:w="1288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  <w:t>OR (95% CI)</w:t>
            </w:r>
          </w:p>
        </w:tc>
        <w:tc>
          <w:tcPr>
            <w:tcW w:w="66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4"/>
                <w:szCs w:val="14"/>
              </w:rPr>
              <w:t>P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4"/>
                <w:szCs w:val="14"/>
              </w:rPr>
              <w:t>-value</w:t>
            </w:r>
          </w:p>
        </w:tc>
      </w:tr>
      <w:tr w:rsidR="00B1533B">
        <w:trPr>
          <w:trHeight w:val="280"/>
        </w:trPr>
        <w:tc>
          <w:tcPr>
            <w:tcW w:w="1370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bookmarkStart w:id="0" w:name="_Hlk192188925"/>
            <w:r>
              <w:rPr>
                <w:rFonts w:ascii="Times New Roman" w:hAnsi="Times New Roman" w:cs="Times New Roman"/>
                <w:sz w:val="12"/>
                <w:szCs w:val="12"/>
              </w:rPr>
              <w:t>(Intercept)</w:t>
            </w:r>
          </w:p>
        </w:tc>
        <w:tc>
          <w:tcPr>
            <w:tcW w:w="1308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0.003 (0.001-0.007)</w:t>
            </w:r>
          </w:p>
        </w:tc>
        <w:tc>
          <w:tcPr>
            <w:tcW w:w="730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1352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0.010 (0.004-0.024)</w:t>
            </w:r>
          </w:p>
        </w:tc>
        <w:tc>
          <w:tcPr>
            <w:tcW w:w="758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1190" w:type="dxa"/>
            <w:tcBorders>
              <w:top w:val="single" w:sz="8" w:space="0" w:color="auto"/>
            </w:tcBorders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0.013 (0.005-0.030)</w:t>
            </w:r>
          </w:p>
        </w:tc>
        <w:tc>
          <w:tcPr>
            <w:tcW w:w="825" w:type="dxa"/>
            <w:tcBorders>
              <w:top w:val="single" w:sz="8" w:space="0" w:color="auto"/>
            </w:tcBorders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0.012 (0.005-0.029)</w:t>
            </w:r>
          </w:p>
        </w:tc>
        <w:tc>
          <w:tcPr>
            <w:tcW w:w="711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1288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0.008 (0.003-0.021)</w:t>
            </w:r>
          </w:p>
        </w:tc>
        <w:tc>
          <w:tcPr>
            <w:tcW w:w="669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Male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0.950 (0.735-1.226)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0.695 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0.883 (0.687-1.132)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0.328 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0.880 (0.685-1.127)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0.311 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0.901 (0.702-1.155)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0.411 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0.866 (0.667-1.123)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0.279 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BMI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, kg/m</w:t>
            </w:r>
            <w:r>
              <w:rPr>
                <w:rFonts w:ascii="Times New Roman" w:eastAsia="宋体" w:hAnsi="Times New Roman" w:cs="Times New Roman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1.069 (1.038-1.101)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1.064 (1.034-1.096)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1.061 (1.031-1.092)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1.066 (1.035-1.097)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1.070 (1.039-1.103)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Smoking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1.547 (1.208-1.984)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 xml:space="preserve">0.001 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1.462 (1.147-1.865)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 xml:space="preserve">0.002 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1.450 (1.138-1.848)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 xml:space="preserve">0.003 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1.416 (1.112-1.804)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 xml:space="preserve">0.005 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1.526 (1.188-1.964)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 xml:space="preserve">0.001 </w:t>
            </w:r>
          </w:p>
        </w:tc>
      </w:tr>
      <w:bookmarkEnd w:id="0"/>
      <w:tr w:rsidR="00B1533B">
        <w:trPr>
          <w:trHeight w:val="280"/>
        </w:trPr>
        <w:tc>
          <w:tcPr>
            <w:tcW w:w="1370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NYHA functional class</w:t>
            </w:r>
          </w:p>
        </w:tc>
        <w:tc>
          <w:tcPr>
            <w:tcW w:w="1308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73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352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304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711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288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69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B1533B">
        <w:trPr>
          <w:trHeight w:val="280"/>
        </w:trPr>
        <w:tc>
          <w:tcPr>
            <w:tcW w:w="1370" w:type="dxa"/>
            <w:noWrap/>
            <w:vAlign w:val="center"/>
          </w:tcPr>
          <w:p w:rsidR="00B1533B" w:rsidRDefault="00000000">
            <w:pPr>
              <w:spacing w:after="0" w:line="240" w:lineRule="auto"/>
              <w:ind w:firstLineChars="100" w:firstLine="120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Ⅰ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Ref.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Ref.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Ref.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Ref.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Ref.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Ref.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Ref.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Ref.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Ref.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Ref.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  <w:vAlign w:val="center"/>
          </w:tcPr>
          <w:p w:rsidR="00B1533B" w:rsidRDefault="00000000">
            <w:pPr>
              <w:spacing w:after="0" w:line="240" w:lineRule="auto"/>
              <w:ind w:firstLineChars="100" w:firstLine="120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bookmarkStart w:id="1" w:name="_Hlk192188955"/>
            <w:r>
              <w:rPr>
                <w:rFonts w:ascii="Times New Roman" w:eastAsia="宋体" w:hAnsi="Times New Roman" w:cs="Times New Roman"/>
                <w:sz w:val="12"/>
                <w:szCs w:val="12"/>
              </w:rPr>
              <w:t>Ⅱ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0.834 (0.576-1.209)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0.337 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0.878 (0.611-1.263)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0.482 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0.865 (0.603-1.242)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0.431 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0.910 (0.634-1.309)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0.612 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1.000 (0.687-1.459)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0.998 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  <w:vAlign w:val="center"/>
          </w:tcPr>
          <w:p w:rsidR="00B1533B" w:rsidRDefault="00000000">
            <w:pPr>
              <w:spacing w:after="0" w:line="240" w:lineRule="auto"/>
              <w:ind w:firstLineChars="100" w:firstLine="120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Ⅲ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0.819 (0.585-1.151)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0.247 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0.930 (0.671-1.294)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0.666 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0.941 (0.680-1.307)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0.715 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0.955 (0.689-1.328)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0.781 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0.991 (0.704-1.400)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0.957 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  <w:vAlign w:val="center"/>
          </w:tcPr>
          <w:p w:rsidR="00B1533B" w:rsidRDefault="00000000">
            <w:pPr>
              <w:spacing w:after="0" w:line="240" w:lineRule="auto"/>
              <w:ind w:firstLineChars="100" w:firstLine="120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Ⅳ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0.930 (0.584-1.477)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0.759 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1.119 (0.717-1.746)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0.621 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1.179 (0.758-1.834)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0.465 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1.076 (0.689-1.681)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0.746 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1.105 (0.689-1.768)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0.678 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Hypertension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1.868 (1.501-2.327)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1.743 (1.408-2.160)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1.762 (1.425-2.181)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1.779 (1.438-2.203)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1.809 (1.451-2.258)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Serum creatinine, μmol/L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1.008 (1.005-1.012)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1.009 (1.006-1.013)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1.010 (1.006-1.014)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1.010 (1.006-1.013)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1.009 (1.005-1.013)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Neutrophil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1.016 (1.009-1.023)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1.013 (1.007-1.020)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1.013 (1.007-1.020)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1.013 (1.007-1.020)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1.005 (0.998-1.012)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0.137 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Lymphocyte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1.007 (0.982-1.033)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0.565 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1.016 (0.992-1.042)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0.192 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1.017 (0.992-1.042)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0.186 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1.016 (0.991-1.041)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0.212 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1.004 (0.979-1.030)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0.765 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Neutrophil to lymphocyte ratio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1.023 (1.007-1.040)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 xml:space="preserve">0.004 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1.023 (1.008-1.038)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 xml:space="preserve">0.003 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1.022 (1.007-1.038)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 xml:space="preserve">0.004 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1.023 (1.008-1.039)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0.003 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1.025 (1.009-1.041)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 xml:space="preserve">0.002 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Platelet count, 10</w:t>
            </w:r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/L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0.998 (0.997-1.000)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0.066 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0.998 (0.997-1.000)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 xml:space="preserve">0.032 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0.998 (0.997-1.000)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 xml:space="preserve">0.020 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0.998 (0.997-1.000)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0.020 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0.998 (0.997-1.000)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 xml:space="preserve">0.036 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Aspartate transaminase, U/L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1.000 (0.999-1.001)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0.854 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1.000 (0.999-1.001)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0.896 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1.000 (0.999-1.001)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0.907 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1.000 (0.999-1.001)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0.756 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0.999 (0.998-1.000)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0.178 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Blood glucose, mmol/L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1.000 (0.972-1.023)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0.989 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1.000 (0.973-1.023)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0.990 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1.001 (0.974-1.024)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0.940 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1.000 (0.973-1.024)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0.993 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1.000 (0.971-1.023)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0.975 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CPB duration, min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1.006 (1.003-1.009)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1.003 (1.001-1.006)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 xml:space="preserve">0.019 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1.005 (1.002-1.008)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1.006 (1.003-1.008)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1.006 (1.003-1.008)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2"/>
                <w:szCs w:val="12"/>
              </w:rPr>
              <w:t>&lt;0.001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Intraoperative blood transfusion, ml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1.000 (1.000-1.000)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0.742 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1.000 (1.000-1.000)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0.527 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1.000 (1.000-1.000)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0.752 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1.000 (1.000-1.000)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0.632 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1.000 (1.000-1.000)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0.748 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Valve surgery</w:t>
            </w:r>
          </w:p>
        </w:tc>
        <w:tc>
          <w:tcPr>
            <w:tcW w:w="130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0.858 (0.634-1.165)</w:t>
            </w:r>
          </w:p>
        </w:tc>
        <w:tc>
          <w:tcPr>
            <w:tcW w:w="73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0.323 </w:t>
            </w:r>
          </w:p>
        </w:tc>
        <w:tc>
          <w:tcPr>
            <w:tcW w:w="1352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1.116 (0.832-1.505)</w:t>
            </w:r>
          </w:p>
        </w:tc>
        <w:tc>
          <w:tcPr>
            <w:tcW w:w="75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0.466 </w:t>
            </w:r>
          </w:p>
        </w:tc>
        <w:tc>
          <w:tcPr>
            <w:tcW w:w="1190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1.113 (0.831-1.498)</w:t>
            </w:r>
          </w:p>
        </w:tc>
        <w:tc>
          <w:tcPr>
            <w:tcW w:w="825" w:type="dxa"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0.476 </w:t>
            </w:r>
          </w:p>
        </w:tc>
        <w:tc>
          <w:tcPr>
            <w:tcW w:w="1304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1.097 (0.818-1.476)</w:t>
            </w:r>
          </w:p>
        </w:tc>
        <w:tc>
          <w:tcPr>
            <w:tcW w:w="71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0.540 </w:t>
            </w:r>
          </w:p>
        </w:tc>
        <w:tc>
          <w:tcPr>
            <w:tcW w:w="1288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1.115 (0.822-1.520)</w:t>
            </w:r>
          </w:p>
        </w:tc>
        <w:tc>
          <w:tcPr>
            <w:tcW w:w="669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0.488 </w:t>
            </w:r>
          </w:p>
        </w:tc>
      </w:tr>
      <w:tr w:rsidR="00B1533B">
        <w:trPr>
          <w:trHeight w:val="280"/>
        </w:trPr>
        <w:tc>
          <w:tcPr>
            <w:tcW w:w="1370" w:type="dxa"/>
            <w:noWrap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Aortic surgery</w:t>
            </w:r>
          </w:p>
        </w:tc>
        <w:tc>
          <w:tcPr>
            <w:tcW w:w="1308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0.953 (0.703-1.284)</w:t>
            </w:r>
          </w:p>
        </w:tc>
        <w:tc>
          <w:tcPr>
            <w:tcW w:w="73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0.753 </w:t>
            </w:r>
          </w:p>
        </w:tc>
        <w:tc>
          <w:tcPr>
            <w:tcW w:w="1352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0.769 (0.572-1.028)</w:t>
            </w:r>
          </w:p>
        </w:tc>
        <w:tc>
          <w:tcPr>
            <w:tcW w:w="758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0.080 </w:t>
            </w:r>
          </w:p>
        </w:tc>
        <w:tc>
          <w:tcPr>
            <w:tcW w:w="1190" w:type="dxa"/>
            <w:tcBorders>
              <w:bottom w:val="single" w:sz="8" w:space="0" w:color="auto"/>
            </w:tcBorders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0.750 (0.557-1.005)</w:t>
            </w:r>
          </w:p>
        </w:tc>
        <w:tc>
          <w:tcPr>
            <w:tcW w:w="825" w:type="dxa"/>
            <w:tcBorders>
              <w:bottom w:val="single" w:sz="8" w:space="0" w:color="auto"/>
            </w:tcBorders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0.056 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0.785 (0.585-1.048)</w:t>
            </w:r>
          </w:p>
        </w:tc>
        <w:tc>
          <w:tcPr>
            <w:tcW w:w="711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0.105 </w:t>
            </w:r>
          </w:p>
        </w:tc>
        <w:tc>
          <w:tcPr>
            <w:tcW w:w="1288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0.944 (0.697-1.271)</w:t>
            </w:r>
          </w:p>
        </w:tc>
        <w:tc>
          <w:tcPr>
            <w:tcW w:w="669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0.707 </w:t>
            </w:r>
          </w:p>
        </w:tc>
      </w:tr>
      <w:tr w:rsidR="00B1533B">
        <w:trPr>
          <w:trHeight w:val="280"/>
        </w:trPr>
        <w:tc>
          <w:tcPr>
            <w:tcW w:w="11505" w:type="dxa"/>
            <w:gridSpan w:val="11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BMI, body mass index; NYHA, New York Heart Association; CPB,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 xml:space="preserve">cardiopulmonary bypass; PASP, pulmonary artery systolic pressure; MAP_TIME_65, the cumulative duration below 65 mmHg; MAP_AUT_65, the total area under the 65 mmHg; 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VIS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, vasoactive-inotropic scoree; OR, 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o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dds 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r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ati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o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; CI, conﬁdence interval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.</w:t>
            </w:r>
          </w:p>
        </w:tc>
      </w:tr>
      <w:bookmarkEnd w:id="1"/>
    </w:tbl>
    <w:p w:rsidR="00B1533B" w:rsidRDefault="00B1533B"/>
    <w:p w:rsidR="00B1533B" w:rsidRDefault="00000000">
      <w:pPr>
        <w:widowControl/>
      </w:pPr>
      <w:r>
        <w:rPr>
          <w:rFonts w:hint="eastAsia"/>
        </w:rPr>
        <w:br w:type="page"/>
      </w:r>
    </w:p>
    <w:p w:rsidR="00B1533B" w:rsidRDefault="00B1533B"/>
    <w:tbl>
      <w:tblPr>
        <w:tblStyle w:val="ab"/>
        <w:tblW w:w="115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1"/>
        <w:gridCol w:w="646"/>
        <w:gridCol w:w="610"/>
        <w:gridCol w:w="601"/>
        <w:gridCol w:w="610"/>
        <w:gridCol w:w="643"/>
        <w:gridCol w:w="610"/>
        <w:gridCol w:w="671"/>
        <w:gridCol w:w="610"/>
        <w:gridCol w:w="703"/>
        <w:gridCol w:w="610"/>
        <w:gridCol w:w="567"/>
        <w:gridCol w:w="610"/>
        <w:gridCol w:w="677"/>
        <w:gridCol w:w="610"/>
        <w:gridCol w:w="567"/>
        <w:gridCol w:w="610"/>
      </w:tblGrid>
      <w:tr w:rsidR="00B1533B">
        <w:trPr>
          <w:trHeight w:val="280"/>
          <w:jc w:val="center"/>
        </w:trPr>
        <w:tc>
          <w:tcPr>
            <w:tcW w:w="11596" w:type="dxa"/>
            <w:gridSpan w:val="17"/>
            <w:tcBorders>
              <w:bottom w:val="single" w:sz="8" w:space="0" w:color="auto"/>
            </w:tcBorders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Table S3. Mediation effects of perioperative hemodynamic changes on the PH-AKI association using causal s</w:t>
            </w: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tepwise regression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.</w:t>
            </w: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vMerge w:val="restart"/>
            <w:tcBorders>
              <w:top w:val="single" w:sz="8" w:space="0" w:color="auto"/>
            </w:tcBorders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Model</w:t>
            </w:r>
          </w:p>
        </w:tc>
        <w:tc>
          <w:tcPr>
            <w:tcW w:w="2467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M1: MAP_TIME_65</w:t>
            </w:r>
          </w:p>
        </w:tc>
        <w:tc>
          <w:tcPr>
            <w:tcW w:w="2534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M2: MAP_AUT_65</w:t>
            </w:r>
          </w:p>
        </w:tc>
        <w:tc>
          <w:tcPr>
            <w:tcW w:w="2490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M3: Intraoperative VIS</w:t>
            </w:r>
          </w:p>
        </w:tc>
        <w:tc>
          <w:tcPr>
            <w:tcW w:w="2464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M4: Postoperative VIS</w:t>
            </w: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vMerge/>
            <w:tcBorders>
              <w:top w:val="single" w:sz="8" w:space="0" w:color="auto"/>
            </w:tcBorders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256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Unadjusted</w:t>
            </w:r>
          </w:p>
        </w:tc>
        <w:tc>
          <w:tcPr>
            <w:tcW w:w="1211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Adjusted</w:t>
            </w:r>
          </w:p>
        </w:tc>
        <w:tc>
          <w:tcPr>
            <w:tcW w:w="1253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Unadjusted</w:t>
            </w:r>
          </w:p>
        </w:tc>
        <w:tc>
          <w:tcPr>
            <w:tcW w:w="1281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Adjusted</w:t>
            </w:r>
          </w:p>
        </w:tc>
        <w:tc>
          <w:tcPr>
            <w:tcW w:w="1313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Unadjusted</w:t>
            </w:r>
          </w:p>
        </w:tc>
        <w:tc>
          <w:tcPr>
            <w:tcW w:w="1177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Adjusted</w:t>
            </w:r>
          </w:p>
        </w:tc>
        <w:tc>
          <w:tcPr>
            <w:tcW w:w="1287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Unadjusted</w:t>
            </w:r>
          </w:p>
        </w:tc>
        <w:tc>
          <w:tcPr>
            <w:tcW w:w="1177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Adjusted</w:t>
            </w: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vMerge/>
            <w:tcBorders>
              <w:bottom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46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β</w:t>
            </w: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-value</w:t>
            </w:r>
          </w:p>
        </w:tc>
        <w:tc>
          <w:tcPr>
            <w:tcW w:w="601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β</w:t>
            </w: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-value</w:t>
            </w:r>
          </w:p>
        </w:tc>
        <w:tc>
          <w:tcPr>
            <w:tcW w:w="643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β</w:t>
            </w: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-value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β</w:t>
            </w: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-value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β</w:t>
            </w: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-value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β</w:t>
            </w: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-value</w:t>
            </w:r>
          </w:p>
        </w:tc>
        <w:tc>
          <w:tcPr>
            <w:tcW w:w="677" w:type="dxa"/>
            <w:tcBorders>
              <w:bottom w:val="single" w:sz="8" w:space="0" w:color="auto"/>
            </w:tcBorders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β</w:t>
            </w: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-value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β</w:t>
            </w: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-value</w:t>
            </w:r>
          </w:p>
        </w:tc>
      </w:tr>
      <w:tr w:rsidR="00B1533B">
        <w:trPr>
          <w:trHeight w:val="280"/>
          <w:jc w:val="center"/>
        </w:trPr>
        <w:tc>
          <w:tcPr>
            <w:tcW w:w="11596" w:type="dxa"/>
            <w:gridSpan w:val="17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X1: PH as continuous variable (PASP [mmHg])</w:t>
            </w: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c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4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70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a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0.861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0.789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4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9.939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11.845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70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0.04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0.171</w:t>
            </w: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0.042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0.139</w:t>
            </w: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0.111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0.133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b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0.007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0.003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4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0.0003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0.000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09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0.012</w:t>
            </w:r>
          </w:p>
        </w:tc>
        <w:tc>
          <w:tcPr>
            <w:tcW w:w="70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0.141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0.094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 xml:space="preserve">Direct effect 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(c')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0.027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0.044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4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0.045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70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0.027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0.04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Indirect effect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 (ab)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0.006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0.002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4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0.003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0.001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70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0.016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0.013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Total effect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 (ab+c')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4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70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0.043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0.053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B1533B">
        <w:trPr>
          <w:trHeight w:val="29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ab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 xml:space="preserve"> / 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c' (%)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22.2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4.5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4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10.0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2.2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70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59.3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32.5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B1533B">
        <w:trPr>
          <w:trHeight w:val="29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ab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 xml:space="preserve"> /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 ab+c' (%)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18.2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4.3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4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9.1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2.2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70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37.2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24.5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B1533B">
        <w:trPr>
          <w:trHeight w:val="290"/>
          <w:jc w:val="center"/>
        </w:trPr>
        <w:tc>
          <w:tcPr>
            <w:tcW w:w="11596" w:type="dxa"/>
            <w:gridSpan w:val="17"/>
            <w:noWrap/>
            <w:vAlign w:val="center"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X2: PH as binary variable (severe PH, yes or no)</w:t>
            </w: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c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0.901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1.166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4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0.901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1.166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70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0.901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1.166 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0.901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1.166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a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20.259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18.144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4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177.47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0.114</w:t>
            </w: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205.141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703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0.924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0.402</w:t>
            </w: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0.776 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0.465</w:t>
            </w: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3.734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3.869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b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0.007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0.004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4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0.000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0.001</w:t>
            </w:r>
          </w:p>
        </w:tc>
        <w:tc>
          <w:tcPr>
            <w:tcW w:w="70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0.142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0.102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Direct effect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 (c')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0.818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1.111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64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1.144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70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0.781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1.022</w:t>
            </w:r>
          </w:p>
        </w:tc>
        <w:tc>
          <w:tcPr>
            <w:tcW w:w="610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&lt;0.001</w:t>
            </w: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bookmarkStart w:id="2" w:name="_Hlk192349194"/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Indirect effect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 (ab)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0.142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0.073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4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0.021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70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0.530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0.395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Total effect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 (ab+c')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0.960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1.184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4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1.165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70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1.311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1.417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ab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 xml:space="preserve"> / 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c' (%)</w:t>
            </w:r>
          </w:p>
        </w:tc>
        <w:tc>
          <w:tcPr>
            <w:tcW w:w="646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17.4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0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6.6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4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1.8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703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67.9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38.6</w:t>
            </w:r>
          </w:p>
        </w:tc>
        <w:tc>
          <w:tcPr>
            <w:tcW w:w="610" w:type="dxa"/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B1533B">
        <w:trPr>
          <w:trHeight w:val="280"/>
          <w:jc w:val="center"/>
        </w:trPr>
        <w:tc>
          <w:tcPr>
            <w:tcW w:w="1641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ab</w:t>
            </w: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 xml:space="preserve"> /</w:t>
            </w:r>
            <w:r>
              <w:rPr>
                <w:rFonts w:ascii="Times New Roman" w:eastAsia="宋体" w:hAnsi="Times New Roman" w:cs="Times New Roman"/>
                <w:sz w:val="12"/>
                <w:szCs w:val="12"/>
              </w:rPr>
              <w:t xml:space="preserve"> ab+c' (%)</w:t>
            </w:r>
          </w:p>
        </w:tc>
        <w:tc>
          <w:tcPr>
            <w:tcW w:w="646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14.8</w:t>
            </w: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01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6.2</w:t>
            </w: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43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1.8</w:t>
            </w: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703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40.4</w:t>
            </w: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/>
                <w:sz w:val="12"/>
                <w:szCs w:val="12"/>
              </w:rPr>
              <w:t>27.9</w:t>
            </w:r>
          </w:p>
        </w:tc>
        <w:tc>
          <w:tcPr>
            <w:tcW w:w="610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B1533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bookmarkEnd w:id="2"/>
      <w:tr w:rsidR="00B1533B">
        <w:trPr>
          <w:trHeight w:val="280"/>
          <w:jc w:val="center"/>
        </w:trPr>
        <w:tc>
          <w:tcPr>
            <w:tcW w:w="11596" w:type="dxa"/>
            <w:gridSpan w:val="17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2"/>
                <w:szCs w:val="12"/>
              </w:rPr>
            </w:pPr>
            <w:r>
              <w:rPr>
                <w:rFonts w:ascii="Times New Roman" w:eastAsia="宋体" w:hAnsi="Times New Roman" w:cs="Times New Roman" w:hint="eastAsia"/>
                <w:sz w:val="12"/>
                <w:szCs w:val="12"/>
              </w:rPr>
              <w:t>Adjusted for age, sex, BMI, smoking history, hypertension, preoperative serum creatinine, neutrophil, neutrophil to lymphocyte ratio, platelet count, and CPB duration. PH, pulmonary hypertension; MAP_TIME_65, the cumulative duration below 65 mmHg; MAP_AUT_65, the total area under the 65 mmHg; VIS, vasoactive-inotropic score.</w:t>
            </w:r>
          </w:p>
        </w:tc>
      </w:tr>
    </w:tbl>
    <w:p w:rsidR="00B1533B" w:rsidRDefault="00000000">
      <w:pPr>
        <w:widowControl/>
      </w:pPr>
      <w:r>
        <w:rPr>
          <w:rFonts w:hint="eastAsia"/>
        </w:rPr>
        <w:br w:type="page"/>
      </w:r>
    </w:p>
    <w:p w:rsidR="00B1533B" w:rsidRDefault="00B1533B"/>
    <w:tbl>
      <w:tblPr>
        <w:tblStyle w:val="ab"/>
        <w:tblpPr w:leftFromText="180" w:rightFromText="180" w:vertAnchor="text" w:tblpXSpec="center" w:tblpY="110"/>
        <w:tblW w:w="8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8"/>
        <w:gridCol w:w="1191"/>
        <w:gridCol w:w="1071"/>
        <w:gridCol w:w="1134"/>
        <w:gridCol w:w="1276"/>
        <w:gridCol w:w="1276"/>
      </w:tblGrid>
      <w:tr w:rsidR="00B1533B">
        <w:trPr>
          <w:trHeight w:val="280"/>
        </w:trPr>
        <w:tc>
          <w:tcPr>
            <w:tcW w:w="8506" w:type="dxa"/>
            <w:gridSpan w:val="6"/>
            <w:tcBorders>
              <w:bottom w:val="single" w:sz="8" w:space="0" w:color="auto"/>
            </w:tcBorders>
            <w:noWrap/>
          </w:tcPr>
          <w:p w:rsidR="00B1533B" w:rsidRDefault="00000000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Table S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4</w:t>
            </w: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. Comprehensive diagnostic metrics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for ROC-derived thresholds of 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 xml:space="preserve">MAP_TIME_65 </w:t>
            </w: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and 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postoperative</w:t>
            </w: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 VIS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.</w:t>
            </w:r>
          </w:p>
        </w:tc>
      </w:tr>
      <w:tr w:rsidR="00B1533B">
        <w:trPr>
          <w:trHeight w:val="280"/>
        </w:trPr>
        <w:tc>
          <w:tcPr>
            <w:tcW w:w="2558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Variables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Optimal cutoff</w:t>
            </w:r>
          </w:p>
        </w:tc>
        <w:tc>
          <w:tcPr>
            <w:tcW w:w="107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AUROC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Specificity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Sensitivity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Youden index</w:t>
            </w:r>
          </w:p>
        </w:tc>
      </w:tr>
      <w:tr w:rsidR="00B1533B">
        <w:trPr>
          <w:trHeight w:val="454"/>
        </w:trPr>
        <w:tc>
          <w:tcPr>
            <w:tcW w:w="2558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MAP_TIME_65, min</w:t>
            </w:r>
          </w:p>
        </w:tc>
        <w:tc>
          <w:tcPr>
            <w:tcW w:w="1191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164</w:t>
            </w:r>
          </w:p>
        </w:tc>
        <w:tc>
          <w:tcPr>
            <w:tcW w:w="1071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0.669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0.626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0.639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0.265</w:t>
            </w:r>
          </w:p>
        </w:tc>
      </w:tr>
      <w:tr w:rsidR="00B1533B">
        <w:trPr>
          <w:trHeight w:val="454"/>
        </w:trPr>
        <w:tc>
          <w:tcPr>
            <w:tcW w:w="2558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Postoperative VIS</w:t>
            </w:r>
          </w:p>
        </w:tc>
        <w:tc>
          <w:tcPr>
            <w:tcW w:w="1191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3.4</w:t>
            </w:r>
          </w:p>
        </w:tc>
        <w:tc>
          <w:tcPr>
            <w:tcW w:w="1071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0.758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0.798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0.659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noWrap/>
            <w:vAlign w:val="center"/>
          </w:tcPr>
          <w:p w:rsidR="00B1533B" w:rsidRDefault="0000000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0.457</w:t>
            </w:r>
          </w:p>
        </w:tc>
      </w:tr>
      <w:tr w:rsidR="00B1533B">
        <w:trPr>
          <w:trHeight w:val="280"/>
        </w:trPr>
        <w:tc>
          <w:tcPr>
            <w:tcW w:w="8506" w:type="dxa"/>
            <w:gridSpan w:val="6"/>
            <w:tcBorders>
              <w:top w:val="single" w:sz="8" w:space="0" w:color="auto"/>
            </w:tcBorders>
            <w:noWrap/>
          </w:tcPr>
          <w:p w:rsidR="00B1533B" w:rsidRDefault="0000000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Cutoffs determined by maximizing Youden index (J = sensitivity + specificity − 1).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MAP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_TIME_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, 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he cumulative duration below 65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mmHg;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VIS, vasoactive inotropic score; 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AUROC, area under the receiver operating characteristic curve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.</w:t>
            </w:r>
          </w:p>
        </w:tc>
      </w:tr>
    </w:tbl>
    <w:p w:rsidR="00B1533B" w:rsidRDefault="00B1533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p w:rsidR="00B1533B" w:rsidRDefault="00B1533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p w:rsidR="00B1533B" w:rsidRDefault="00B1533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p w:rsidR="00B1533B" w:rsidRDefault="00B1533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p w:rsidR="00B1533B" w:rsidRDefault="00B1533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p w:rsidR="00B1533B" w:rsidRDefault="00B1533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p w:rsidR="00B1533B" w:rsidRDefault="00B1533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p w:rsidR="00B1533B" w:rsidRDefault="00B1533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p w:rsidR="00B1533B" w:rsidRDefault="00B1533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p w:rsidR="00B1533B" w:rsidRDefault="00B1533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p w:rsidR="00B1533B" w:rsidRDefault="00B1533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p w:rsidR="00B1533B" w:rsidRDefault="00B1533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p w:rsidR="00B1533B" w:rsidRDefault="00B1533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p w:rsidR="00B1533B" w:rsidRDefault="00B1533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p w:rsidR="00B1533B" w:rsidRPr="008070BB" w:rsidRDefault="00B1533B" w:rsidP="008070BB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</w:p>
    <w:sectPr w:rsidR="00B1533B" w:rsidRPr="00807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1547" w:rsidRDefault="00071547">
      <w:pPr>
        <w:spacing w:line="240" w:lineRule="auto"/>
      </w:pPr>
      <w:r>
        <w:separator/>
      </w:r>
    </w:p>
  </w:endnote>
  <w:endnote w:type="continuationSeparator" w:id="0">
    <w:p w:rsidR="00071547" w:rsidRDefault="000715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1547" w:rsidRDefault="00071547">
      <w:pPr>
        <w:spacing w:after="0"/>
      </w:pPr>
      <w:r>
        <w:separator/>
      </w:r>
    </w:p>
  </w:footnote>
  <w:footnote w:type="continuationSeparator" w:id="0">
    <w:p w:rsidR="00071547" w:rsidRDefault="000715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51F"/>
    <w:rsid w:val="00022969"/>
    <w:rsid w:val="00053D33"/>
    <w:rsid w:val="00071547"/>
    <w:rsid w:val="00093EF3"/>
    <w:rsid w:val="000C763B"/>
    <w:rsid w:val="000F7883"/>
    <w:rsid w:val="0014592E"/>
    <w:rsid w:val="00172598"/>
    <w:rsid w:val="001A1ED8"/>
    <w:rsid w:val="00226173"/>
    <w:rsid w:val="0024603F"/>
    <w:rsid w:val="00284127"/>
    <w:rsid w:val="00304855"/>
    <w:rsid w:val="00324D7E"/>
    <w:rsid w:val="00344881"/>
    <w:rsid w:val="00403102"/>
    <w:rsid w:val="00407ABD"/>
    <w:rsid w:val="00426125"/>
    <w:rsid w:val="00463760"/>
    <w:rsid w:val="00470C38"/>
    <w:rsid w:val="00506CF9"/>
    <w:rsid w:val="005430B9"/>
    <w:rsid w:val="005E27EB"/>
    <w:rsid w:val="005E65FF"/>
    <w:rsid w:val="005F5D16"/>
    <w:rsid w:val="0061095E"/>
    <w:rsid w:val="00617D4C"/>
    <w:rsid w:val="00640D12"/>
    <w:rsid w:val="00653FA1"/>
    <w:rsid w:val="00696565"/>
    <w:rsid w:val="006A3559"/>
    <w:rsid w:val="006A47B0"/>
    <w:rsid w:val="006B1177"/>
    <w:rsid w:val="006C3979"/>
    <w:rsid w:val="006E251F"/>
    <w:rsid w:val="007455D4"/>
    <w:rsid w:val="00745D72"/>
    <w:rsid w:val="007509D9"/>
    <w:rsid w:val="00761705"/>
    <w:rsid w:val="008070BB"/>
    <w:rsid w:val="008343CD"/>
    <w:rsid w:val="008B5675"/>
    <w:rsid w:val="008C41B5"/>
    <w:rsid w:val="00915000"/>
    <w:rsid w:val="009625CD"/>
    <w:rsid w:val="009727D2"/>
    <w:rsid w:val="00976A9A"/>
    <w:rsid w:val="009833BF"/>
    <w:rsid w:val="00984E00"/>
    <w:rsid w:val="009A0D7E"/>
    <w:rsid w:val="009C3DC1"/>
    <w:rsid w:val="009C448D"/>
    <w:rsid w:val="009F0280"/>
    <w:rsid w:val="00A06385"/>
    <w:rsid w:val="00A547DC"/>
    <w:rsid w:val="00A851B1"/>
    <w:rsid w:val="00AA177D"/>
    <w:rsid w:val="00AE0BEC"/>
    <w:rsid w:val="00B1533B"/>
    <w:rsid w:val="00BD37AB"/>
    <w:rsid w:val="00C30BF5"/>
    <w:rsid w:val="00D50A9E"/>
    <w:rsid w:val="00DA6BCD"/>
    <w:rsid w:val="00DB423E"/>
    <w:rsid w:val="00DD3A5D"/>
    <w:rsid w:val="00DE18A8"/>
    <w:rsid w:val="00E15DEC"/>
    <w:rsid w:val="00EA289E"/>
    <w:rsid w:val="00F472A7"/>
    <w:rsid w:val="00F51DE7"/>
    <w:rsid w:val="00F51ED5"/>
    <w:rsid w:val="00F65541"/>
    <w:rsid w:val="00FA7645"/>
    <w:rsid w:val="28E84572"/>
    <w:rsid w:val="7034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6777F4C"/>
  <w15:docId w15:val="{CC5D4D17-4C46-4C46-A1C0-2716449B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1255</Words>
  <Characters>7157</Characters>
  <Application>Microsoft Office Word</Application>
  <DocSecurity>0</DocSecurity>
  <Lines>59</Lines>
  <Paragraphs>16</Paragraphs>
  <ScaleCrop>false</ScaleCrop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婉霞 李</dc:creator>
  <cp:lastModifiedBy>Zhou Zhou</cp:lastModifiedBy>
  <cp:revision>2</cp:revision>
  <dcterms:created xsi:type="dcterms:W3CDTF">2026-06-11T11:39:00Z</dcterms:created>
  <dcterms:modified xsi:type="dcterms:W3CDTF">2026-06-11T11:39:00Z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eyJoZGlkIjoiOGY2NmNhNzEwNWE5ZTgyMTYyOTZhNThkZTI4OGRhODkiLCJ1c2VySWQiOiI0OTI3MDI4NjkifQ==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C6365F9F5B7C4071947A84452B001BFB_12</vt:lpwstr>
  </property>
</Properties>
</file>