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190CC">
      <w:pPr>
        <w:rPr>
          <w:b/>
          <w:sz w:val="21"/>
          <w:lang w:eastAsia="zh-CN"/>
        </w:rPr>
      </w:pPr>
      <w:r>
        <w:rPr>
          <w:b/>
          <w:sz w:val="21"/>
          <w:lang w:eastAsia="zh-CN"/>
        </w:rPr>
        <w:drawing>
          <wp:inline distT="0" distB="0" distL="0" distR="0">
            <wp:extent cx="6492240" cy="4869180"/>
            <wp:effectExtent l="0" t="0" r="0" b="0"/>
            <wp:docPr id="4777607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60791" name="图片 1"/>
                    <pic:cNvPicPr>
                      <a:picLocks noChangeAspect="1"/>
                    </pic:cNvPicPr>
                  </pic:nvPicPr>
                  <pic:blipFill>
                    <a:blip r:embed="rId6"/>
                    <a:stretch>
                      <a:fillRect/>
                    </a:stretch>
                  </pic:blipFill>
                  <pic:spPr>
                    <a:xfrm>
                      <a:off x="0" y="0"/>
                      <a:ext cx="6492240" cy="4869180"/>
                    </a:xfrm>
                    <a:prstGeom prst="rect">
                      <a:avLst/>
                    </a:prstGeom>
                  </pic:spPr>
                </pic:pic>
              </a:graphicData>
            </a:graphic>
          </wp:inline>
        </w:drawing>
      </w:r>
    </w:p>
    <w:p w14:paraId="511C97CF">
      <w:pPr>
        <w:rPr>
          <w:b/>
          <w:sz w:val="21"/>
          <w:lang w:eastAsia="zh-CN"/>
        </w:rPr>
      </w:pPr>
      <w:r>
        <w:rPr>
          <w:b/>
          <w:sz w:val="21"/>
          <w:lang w:eastAsia="zh-CN"/>
        </w:rPr>
        <w:t>Figure S1. AIC and BIC for Group-Based Trajectory Modeling with varying numbers of trajectory groups.</w:t>
      </w:r>
    </w:p>
    <w:p w14:paraId="310CBE44">
      <w:pPr>
        <w:spacing w:after="0" w:line="240" w:lineRule="auto"/>
        <w:rPr>
          <w:rFonts w:hint="eastAsia"/>
          <w:b/>
          <w:sz w:val="21"/>
          <w:lang w:eastAsia="zh-CN"/>
        </w:rPr>
      </w:pPr>
      <w:r>
        <w:rPr>
          <w:b/>
          <w:sz w:val="21"/>
          <w:lang w:eastAsia="zh-CN"/>
        </w:rPr>
        <w:br w:type="page"/>
      </w:r>
    </w:p>
    <w:p w14:paraId="02E39E31">
      <w:pPr>
        <w:rPr>
          <w:b/>
        </w:rPr>
      </w:pPr>
      <w:r>
        <w:rPr>
          <w:b/>
          <w:sz w:val="21"/>
        </w:rPr>
        <w:t>Supplementary Table S</w:t>
      </w:r>
      <w:r>
        <w:rPr>
          <w:rFonts w:hint="eastAsia" w:eastAsia="宋体"/>
          <w:b/>
          <w:sz w:val="21"/>
          <w:lang w:eastAsia="zh-CN"/>
        </w:rPr>
        <w:t>1</w:t>
      </w:r>
      <w:r>
        <w:rPr>
          <w:b/>
          <w:sz w:val="21"/>
        </w:rPr>
        <w:t xml:space="preserve">. Sensitivity analysis of joint </w:t>
      </w:r>
      <w:r>
        <w:rPr>
          <w:rFonts w:hint="eastAsia"/>
          <w:b/>
          <w:sz w:val="21"/>
        </w:rPr>
        <w:t xml:space="preserve">associations </w:t>
      </w:r>
      <w:r>
        <w:rPr>
          <w:b/>
          <w:sz w:val="21"/>
        </w:rPr>
        <w:t>of social isolation and nighttime sleep on functional disability trajectories.</w:t>
      </w:r>
    </w:p>
    <w:tbl>
      <w:tblPr>
        <w:tblStyle w:val="3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8"/>
        <w:gridCol w:w="2522"/>
        <w:gridCol w:w="2478"/>
        <w:gridCol w:w="2162"/>
      </w:tblGrid>
      <w:tr w14:paraId="52F9E5AD">
        <w:trPr>
          <w:tblHeader/>
          <w:jc w:val="center"/>
        </w:trPr>
        <w:tc>
          <w:tcPr>
            <w:tcW w:w="1569" w:type="pct"/>
            <w:tcBorders>
              <w:top w:val="single" w:color="000000" w:sz="12" w:space="0"/>
              <w:left w:val="nil"/>
              <w:bottom w:val="single" w:color="000000" w:sz="4" w:space="0"/>
              <w:right w:val="nil"/>
              <w:tl2br w:val="nil"/>
            </w:tcBorders>
            <w:shd w:val="clear" w:color="auto" w:fill="FFFFFF"/>
            <w:vAlign w:val="center"/>
          </w:tcPr>
          <w:p w14:paraId="71387818">
            <w:pPr>
              <w:snapToGrid w:val="0"/>
              <w:spacing w:after="0" w:line="240" w:lineRule="auto"/>
              <w:jc w:val="center"/>
              <w:rPr>
                <w:color w:val="000000"/>
                <w:sz w:val="21"/>
                <w:szCs w:val="21"/>
              </w:rPr>
            </w:pPr>
            <w:r>
              <w:rPr>
                <w:color w:val="000000"/>
                <w:sz w:val="21"/>
                <w:szCs w:val="21"/>
              </w:rPr>
              <w:t>Sensitivity analysis</w:t>
            </w:r>
          </w:p>
        </w:tc>
        <w:tc>
          <w:tcPr>
            <w:tcW w:w="1207" w:type="pct"/>
            <w:tcBorders>
              <w:top w:val="single" w:color="000000" w:sz="12" w:space="0"/>
              <w:left w:val="nil"/>
              <w:bottom w:val="single" w:color="000000" w:sz="4" w:space="0"/>
              <w:right w:val="nil"/>
            </w:tcBorders>
            <w:shd w:val="clear" w:color="auto" w:fill="FFFFFF"/>
            <w:vAlign w:val="center"/>
          </w:tcPr>
          <w:p w14:paraId="1E6416B3">
            <w:pPr>
              <w:snapToGrid w:val="0"/>
              <w:spacing w:after="0" w:line="240" w:lineRule="auto"/>
              <w:jc w:val="center"/>
              <w:rPr>
                <w:color w:val="000000"/>
                <w:sz w:val="21"/>
                <w:szCs w:val="21"/>
              </w:rPr>
            </w:pPr>
            <w:r>
              <w:rPr>
                <w:color w:val="000000"/>
                <w:sz w:val="21"/>
                <w:szCs w:val="21"/>
              </w:rPr>
              <w:t>Exposure group</w:t>
            </w:r>
          </w:p>
        </w:tc>
        <w:tc>
          <w:tcPr>
            <w:tcW w:w="1186" w:type="pct"/>
            <w:tcBorders>
              <w:top w:val="single" w:color="000000" w:sz="12" w:space="0"/>
              <w:left w:val="nil"/>
              <w:bottom w:val="single" w:color="000000" w:sz="4" w:space="0"/>
              <w:right w:val="nil"/>
            </w:tcBorders>
            <w:shd w:val="clear" w:color="auto" w:fill="FFFFFF"/>
            <w:vAlign w:val="center"/>
          </w:tcPr>
          <w:p w14:paraId="00C7A3AD">
            <w:pPr>
              <w:snapToGrid w:val="0"/>
              <w:spacing w:after="0" w:line="240" w:lineRule="auto"/>
              <w:jc w:val="center"/>
              <w:rPr>
                <w:color w:val="000000"/>
                <w:sz w:val="21"/>
                <w:szCs w:val="21"/>
              </w:rPr>
            </w:pPr>
            <w:r>
              <w:rPr>
                <w:color w:val="000000"/>
                <w:sz w:val="21"/>
                <w:szCs w:val="21"/>
              </w:rPr>
              <w:t>Moderate-increasing vs low-stable</w:t>
            </w:r>
          </w:p>
        </w:tc>
        <w:tc>
          <w:tcPr>
            <w:tcW w:w="1035" w:type="pct"/>
            <w:tcBorders>
              <w:top w:val="single" w:color="000000" w:sz="12" w:space="0"/>
              <w:left w:val="nil"/>
              <w:bottom w:val="single" w:color="000000" w:sz="4" w:space="0"/>
              <w:right w:val="nil"/>
            </w:tcBorders>
            <w:shd w:val="clear" w:color="auto" w:fill="FFFFFF"/>
            <w:vAlign w:val="center"/>
          </w:tcPr>
          <w:p w14:paraId="05DEE4BD">
            <w:pPr>
              <w:snapToGrid w:val="0"/>
              <w:spacing w:after="0" w:line="240" w:lineRule="auto"/>
              <w:jc w:val="center"/>
              <w:rPr>
                <w:color w:val="000000"/>
                <w:sz w:val="21"/>
                <w:szCs w:val="21"/>
              </w:rPr>
            </w:pPr>
            <w:r>
              <w:rPr>
                <w:color w:val="000000"/>
                <w:sz w:val="21"/>
                <w:szCs w:val="21"/>
              </w:rPr>
              <w:t>High-increasing vs low-stable</w:t>
            </w:r>
          </w:p>
        </w:tc>
      </w:tr>
      <w:tr w14:paraId="1A42263E">
        <w:trPr>
          <w:tblHeader/>
          <w:jc w:val="center"/>
        </w:trPr>
        <w:tc>
          <w:tcPr>
            <w:tcW w:w="1569" w:type="pct"/>
            <w:vMerge w:val="restart"/>
            <w:tcBorders>
              <w:top w:val="single" w:color="000000" w:sz="4" w:space="0"/>
              <w:left w:val="nil"/>
              <w:bottom w:val="single" w:color="auto" w:sz="4" w:space="0"/>
              <w:right w:val="nil"/>
            </w:tcBorders>
            <w:shd w:val="clear" w:color="auto" w:fill="FFFFFF"/>
            <w:vAlign w:val="center"/>
          </w:tcPr>
          <w:p w14:paraId="57ECF9F9">
            <w:pPr>
              <w:snapToGrid w:val="0"/>
              <w:spacing w:after="0" w:line="240" w:lineRule="auto"/>
              <w:rPr>
                <w:color w:val="000000"/>
                <w:sz w:val="21"/>
                <w:szCs w:val="21"/>
              </w:rPr>
            </w:pPr>
            <w:r>
              <w:rPr>
                <w:color w:val="000000"/>
                <w:sz w:val="21"/>
                <w:szCs w:val="21"/>
              </w:rPr>
              <w:t>Sleep duration classified as normal, short, or long</w:t>
            </w:r>
          </w:p>
        </w:tc>
        <w:tc>
          <w:tcPr>
            <w:tcW w:w="1207" w:type="pct"/>
            <w:tcBorders>
              <w:top w:val="single" w:color="000000" w:sz="4" w:space="0"/>
              <w:left w:val="nil"/>
              <w:bottom w:val="nil"/>
              <w:right w:val="nil"/>
            </w:tcBorders>
            <w:shd w:val="clear" w:color="auto" w:fill="FFFFFF"/>
            <w:vAlign w:val="center"/>
          </w:tcPr>
          <w:p w14:paraId="393E98B4">
            <w:pPr>
              <w:snapToGrid w:val="0"/>
              <w:spacing w:after="0" w:line="240" w:lineRule="auto"/>
              <w:rPr>
                <w:color w:val="000000"/>
                <w:sz w:val="21"/>
                <w:szCs w:val="21"/>
              </w:rPr>
            </w:pPr>
            <w:r>
              <w:rPr>
                <w:color w:val="000000"/>
                <w:sz w:val="21"/>
                <w:szCs w:val="21"/>
              </w:rPr>
              <w:t>Social isolation + Normal sleep</w:t>
            </w:r>
          </w:p>
        </w:tc>
        <w:tc>
          <w:tcPr>
            <w:tcW w:w="1186" w:type="pct"/>
            <w:tcBorders>
              <w:top w:val="single" w:color="000000" w:sz="4" w:space="0"/>
              <w:left w:val="nil"/>
              <w:bottom w:val="nil"/>
              <w:right w:val="nil"/>
            </w:tcBorders>
            <w:shd w:val="clear" w:color="auto" w:fill="FFFFFF"/>
            <w:vAlign w:val="center"/>
          </w:tcPr>
          <w:p w14:paraId="317503AA">
            <w:pPr>
              <w:snapToGrid w:val="0"/>
              <w:spacing w:after="0" w:line="240" w:lineRule="auto"/>
              <w:jc w:val="center"/>
              <w:rPr>
                <w:rFonts w:hint="eastAsia"/>
                <w:color w:val="000000"/>
                <w:sz w:val="21"/>
                <w:szCs w:val="21"/>
                <w:vertAlign w:val="superscript"/>
                <w:lang w:eastAsia="zh-CN"/>
              </w:rPr>
            </w:pPr>
            <w:r>
              <w:rPr>
                <w:color w:val="000000"/>
                <w:sz w:val="21"/>
                <w:szCs w:val="21"/>
              </w:rPr>
              <w:t>1.56 (1.32, 1.83)</w:t>
            </w:r>
            <w:r>
              <w:rPr>
                <w:rFonts w:hint="eastAsia"/>
                <w:color w:val="000000"/>
                <w:sz w:val="21"/>
                <w:szCs w:val="21"/>
                <w:vertAlign w:val="superscript"/>
                <w:lang w:eastAsia="zh-CN"/>
              </w:rPr>
              <w:t>**</w:t>
            </w:r>
          </w:p>
        </w:tc>
        <w:tc>
          <w:tcPr>
            <w:tcW w:w="1035" w:type="pct"/>
            <w:tcBorders>
              <w:top w:val="single" w:color="000000" w:sz="4" w:space="0"/>
              <w:left w:val="nil"/>
              <w:bottom w:val="nil"/>
              <w:right w:val="nil"/>
            </w:tcBorders>
            <w:shd w:val="clear" w:color="auto" w:fill="FFFFFF"/>
            <w:vAlign w:val="center"/>
          </w:tcPr>
          <w:p w14:paraId="711A552A">
            <w:pPr>
              <w:snapToGrid w:val="0"/>
              <w:spacing w:after="0" w:line="240" w:lineRule="auto"/>
              <w:jc w:val="center"/>
              <w:rPr>
                <w:rFonts w:hint="eastAsia"/>
                <w:color w:val="000000"/>
                <w:sz w:val="21"/>
                <w:szCs w:val="21"/>
                <w:vertAlign w:val="superscript"/>
                <w:lang w:eastAsia="zh-CN"/>
              </w:rPr>
            </w:pPr>
            <w:r>
              <w:rPr>
                <w:color w:val="000000"/>
                <w:sz w:val="21"/>
                <w:szCs w:val="21"/>
              </w:rPr>
              <w:t>1.63 (1.22, 2.19)</w:t>
            </w:r>
            <w:r>
              <w:rPr>
                <w:rFonts w:hint="eastAsia"/>
                <w:color w:val="000000"/>
                <w:sz w:val="21"/>
                <w:szCs w:val="21"/>
                <w:vertAlign w:val="superscript"/>
                <w:lang w:eastAsia="zh-CN"/>
              </w:rPr>
              <w:t>**</w:t>
            </w:r>
          </w:p>
        </w:tc>
      </w:tr>
      <w:tr w14:paraId="7A521502">
        <w:trPr>
          <w:tblHeader/>
          <w:jc w:val="center"/>
        </w:trPr>
        <w:tc>
          <w:tcPr>
            <w:tcW w:w="1569" w:type="pct"/>
            <w:vMerge w:val="continue"/>
            <w:tcBorders>
              <w:top w:val="single" w:color="auto" w:sz="4" w:space="0"/>
              <w:left w:val="nil"/>
              <w:bottom w:val="single" w:color="auto" w:sz="4" w:space="0"/>
              <w:right w:val="nil"/>
            </w:tcBorders>
            <w:shd w:val="clear" w:color="auto" w:fill="FFFFFF"/>
            <w:vAlign w:val="center"/>
          </w:tcPr>
          <w:p w14:paraId="76C1E745">
            <w:pPr>
              <w:snapToGrid w:val="0"/>
              <w:spacing w:after="0" w:line="240" w:lineRule="auto"/>
              <w:rPr>
                <w:color w:val="000000"/>
                <w:sz w:val="21"/>
                <w:szCs w:val="21"/>
              </w:rPr>
            </w:pPr>
          </w:p>
        </w:tc>
        <w:tc>
          <w:tcPr>
            <w:tcW w:w="1207" w:type="pct"/>
            <w:tcBorders>
              <w:top w:val="nil"/>
              <w:left w:val="nil"/>
              <w:bottom w:val="nil"/>
              <w:right w:val="nil"/>
            </w:tcBorders>
            <w:shd w:val="clear" w:color="auto" w:fill="FFFFFF"/>
            <w:vAlign w:val="center"/>
          </w:tcPr>
          <w:p w14:paraId="07D23E9A">
            <w:pPr>
              <w:snapToGrid w:val="0"/>
              <w:spacing w:after="0" w:line="240" w:lineRule="auto"/>
              <w:rPr>
                <w:color w:val="000000"/>
                <w:sz w:val="21"/>
                <w:szCs w:val="21"/>
              </w:rPr>
            </w:pPr>
            <w:r>
              <w:rPr>
                <w:color w:val="000000"/>
                <w:sz w:val="21"/>
                <w:szCs w:val="21"/>
              </w:rPr>
              <w:t>No social isolation + Short sleep</w:t>
            </w:r>
          </w:p>
        </w:tc>
        <w:tc>
          <w:tcPr>
            <w:tcW w:w="1186" w:type="pct"/>
            <w:tcBorders>
              <w:top w:val="nil"/>
              <w:left w:val="nil"/>
              <w:bottom w:val="nil"/>
              <w:right w:val="nil"/>
            </w:tcBorders>
            <w:shd w:val="clear" w:color="auto" w:fill="FFFFFF"/>
            <w:vAlign w:val="center"/>
          </w:tcPr>
          <w:p w14:paraId="27B84914">
            <w:pPr>
              <w:snapToGrid w:val="0"/>
              <w:spacing w:after="0" w:line="240" w:lineRule="auto"/>
              <w:jc w:val="center"/>
              <w:rPr>
                <w:rFonts w:hint="eastAsia"/>
                <w:color w:val="000000"/>
                <w:sz w:val="21"/>
                <w:szCs w:val="21"/>
                <w:vertAlign w:val="superscript"/>
                <w:lang w:eastAsia="zh-CN"/>
              </w:rPr>
            </w:pPr>
            <w:r>
              <w:rPr>
                <w:color w:val="000000"/>
                <w:sz w:val="21"/>
                <w:szCs w:val="21"/>
              </w:rPr>
              <w:t>1.43 (1.19, 1.72)</w:t>
            </w:r>
            <w:r>
              <w:rPr>
                <w:rFonts w:hint="eastAsia"/>
                <w:color w:val="000000"/>
                <w:sz w:val="21"/>
                <w:szCs w:val="21"/>
                <w:vertAlign w:val="superscript"/>
                <w:lang w:eastAsia="zh-CN"/>
              </w:rPr>
              <w:t>**</w:t>
            </w:r>
          </w:p>
        </w:tc>
        <w:tc>
          <w:tcPr>
            <w:tcW w:w="1035" w:type="pct"/>
            <w:tcBorders>
              <w:top w:val="nil"/>
              <w:left w:val="nil"/>
              <w:bottom w:val="nil"/>
              <w:right w:val="nil"/>
            </w:tcBorders>
            <w:shd w:val="clear" w:color="auto" w:fill="FFFFFF"/>
            <w:vAlign w:val="center"/>
          </w:tcPr>
          <w:p w14:paraId="63D84168">
            <w:pPr>
              <w:snapToGrid w:val="0"/>
              <w:spacing w:after="0" w:line="240" w:lineRule="auto"/>
              <w:jc w:val="center"/>
              <w:rPr>
                <w:rFonts w:hint="eastAsia"/>
                <w:color w:val="000000"/>
                <w:sz w:val="21"/>
                <w:szCs w:val="21"/>
                <w:vertAlign w:val="superscript"/>
                <w:lang w:eastAsia="zh-CN"/>
              </w:rPr>
            </w:pPr>
            <w:r>
              <w:rPr>
                <w:color w:val="000000"/>
                <w:sz w:val="21"/>
                <w:szCs w:val="21"/>
              </w:rPr>
              <w:t>2.08 (1.53, 2.83)</w:t>
            </w:r>
            <w:r>
              <w:rPr>
                <w:rFonts w:hint="eastAsia"/>
                <w:color w:val="000000"/>
                <w:sz w:val="21"/>
                <w:szCs w:val="21"/>
                <w:vertAlign w:val="superscript"/>
                <w:lang w:eastAsia="zh-CN"/>
              </w:rPr>
              <w:t>**</w:t>
            </w:r>
          </w:p>
        </w:tc>
      </w:tr>
      <w:tr w14:paraId="7C65ADB9">
        <w:trPr>
          <w:tblHeader/>
          <w:jc w:val="center"/>
        </w:trPr>
        <w:tc>
          <w:tcPr>
            <w:tcW w:w="1569" w:type="pct"/>
            <w:vMerge w:val="continue"/>
            <w:tcBorders>
              <w:top w:val="single" w:color="auto" w:sz="4" w:space="0"/>
              <w:left w:val="nil"/>
              <w:bottom w:val="single" w:color="auto" w:sz="4" w:space="0"/>
              <w:right w:val="nil"/>
            </w:tcBorders>
            <w:shd w:val="clear" w:color="auto" w:fill="FFFFFF"/>
            <w:vAlign w:val="center"/>
          </w:tcPr>
          <w:p w14:paraId="39FCF2F3">
            <w:pPr>
              <w:snapToGrid w:val="0"/>
              <w:spacing w:after="0" w:line="240" w:lineRule="auto"/>
              <w:rPr>
                <w:color w:val="000000"/>
                <w:sz w:val="21"/>
                <w:szCs w:val="21"/>
              </w:rPr>
            </w:pPr>
          </w:p>
        </w:tc>
        <w:tc>
          <w:tcPr>
            <w:tcW w:w="1207" w:type="pct"/>
            <w:tcBorders>
              <w:top w:val="nil"/>
              <w:left w:val="nil"/>
              <w:bottom w:val="nil"/>
              <w:right w:val="nil"/>
            </w:tcBorders>
            <w:shd w:val="clear" w:color="auto" w:fill="FFFFFF"/>
            <w:vAlign w:val="center"/>
          </w:tcPr>
          <w:p w14:paraId="38012C78">
            <w:pPr>
              <w:snapToGrid w:val="0"/>
              <w:spacing w:after="0" w:line="240" w:lineRule="auto"/>
              <w:rPr>
                <w:color w:val="000000"/>
                <w:sz w:val="21"/>
                <w:szCs w:val="21"/>
              </w:rPr>
            </w:pPr>
            <w:r>
              <w:rPr>
                <w:color w:val="000000"/>
                <w:sz w:val="21"/>
                <w:szCs w:val="21"/>
              </w:rPr>
              <w:t>Social isolation + Short sleep</w:t>
            </w:r>
          </w:p>
        </w:tc>
        <w:tc>
          <w:tcPr>
            <w:tcW w:w="1186" w:type="pct"/>
            <w:tcBorders>
              <w:top w:val="nil"/>
              <w:left w:val="nil"/>
              <w:bottom w:val="nil"/>
              <w:right w:val="nil"/>
            </w:tcBorders>
            <w:shd w:val="clear" w:color="auto" w:fill="FFFFFF"/>
            <w:vAlign w:val="center"/>
          </w:tcPr>
          <w:p w14:paraId="2013C96B">
            <w:pPr>
              <w:snapToGrid w:val="0"/>
              <w:spacing w:after="0" w:line="240" w:lineRule="auto"/>
              <w:jc w:val="center"/>
              <w:rPr>
                <w:rFonts w:hint="eastAsia"/>
                <w:color w:val="000000"/>
                <w:sz w:val="21"/>
                <w:szCs w:val="21"/>
                <w:vertAlign w:val="superscript"/>
                <w:lang w:eastAsia="zh-CN"/>
              </w:rPr>
            </w:pPr>
            <w:r>
              <w:rPr>
                <w:color w:val="000000"/>
                <w:sz w:val="21"/>
                <w:szCs w:val="21"/>
              </w:rPr>
              <w:t>2.23 (1.86, 2.66)</w:t>
            </w:r>
            <w:r>
              <w:rPr>
                <w:rFonts w:hint="eastAsia"/>
                <w:color w:val="000000"/>
                <w:sz w:val="21"/>
                <w:szCs w:val="21"/>
                <w:vertAlign w:val="superscript"/>
                <w:lang w:eastAsia="zh-CN"/>
              </w:rPr>
              <w:t>**</w:t>
            </w:r>
          </w:p>
        </w:tc>
        <w:tc>
          <w:tcPr>
            <w:tcW w:w="1035" w:type="pct"/>
            <w:tcBorders>
              <w:top w:val="nil"/>
              <w:left w:val="nil"/>
              <w:bottom w:val="nil"/>
              <w:right w:val="nil"/>
            </w:tcBorders>
            <w:shd w:val="clear" w:color="auto" w:fill="FFFFFF"/>
            <w:vAlign w:val="center"/>
          </w:tcPr>
          <w:p w14:paraId="3222CED6">
            <w:pPr>
              <w:snapToGrid w:val="0"/>
              <w:spacing w:after="0" w:line="240" w:lineRule="auto"/>
              <w:jc w:val="center"/>
              <w:rPr>
                <w:rFonts w:hint="eastAsia"/>
                <w:color w:val="000000"/>
                <w:sz w:val="21"/>
                <w:szCs w:val="21"/>
                <w:vertAlign w:val="superscript"/>
                <w:lang w:eastAsia="zh-CN"/>
              </w:rPr>
            </w:pPr>
            <w:r>
              <w:rPr>
                <w:color w:val="000000"/>
                <w:sz w:val="21"/>
                <w:szCs w:val="21"/>
              </w:rPr>
              <w:t>3.08 (2.30, 4.14)</w:t>
            </w:r>
            <w:r>
              <w:rPr>
                <w:rFonts w:hint="eastAsia"/>
                <w:color w:val="000000"/>
                <w:sz w:val="21"/>
                <w:szCs w:val="21"/>
                <w:vertAlign w:val="superscript"/>
                <w:lang w:eastAsia="zh-CN"/>
              </w:rPr>
              <w:t>**</w:t>
            </w:r>
          </w:p>
        </w:tc>
      </w:tr>
      <w:tr w14:paraId="3B70A5F1">
        <w:trPr>
          <w:tblHeader/>
          <w:jc w:val="center"/>
        </w:trPr>
        <w:tc>
          <w:tcPr>
            <w:tcW w:w="1569" w:type="pct"/>
            <w:vMerge w:val="continue"/>
            <w:tcBorders>
              <w:top w:val="single" w:color="auto" w:sz="4" w:space="0"/>
              <w:left w:val="nil"/>
              <w:bottom w:val="single" w:color="auto" w:sz="4" w:space="0"/>
              <w:right w:val="nil"/>
            </w:tcBorders>
            <w:shd w:val="clear" w:color="auto" w:fill="FFFFFF"/>
            <w:vAlign w:val="center"/>
          </w:tcPr>
          <w:p w14:paraId="63C68512">
            <w:pPr>
              <w:snapToGrid w:val="0"/>
              <w:spacing w:after="0" w:line="240" w:lineRule="auto"/>
              <w:rPr>
                <w:color w:val="000000"/>
                <w:sz w:val="21"/>
                <w:szCs w:val="21"/>
              </w:rPr>
            </w:pPr>
          </w:p>
        </w:tc>
        <w:tc>
          <w:tcPr>
            <w:tcW w:w="1207" w:type="pct"/>
            <w:tcBorders>
              <w:top w:val="nil"/>
              <w:left w:val="nil"/>
              <w:bottom w:val="nil"/>
              <w:right w:val="nil"/>
            </w:tcBorders>
            <w:shd w:val="clear" w:color="auto" w:fill="FFFFFF"/>
            <w:vAlign w:val="center"/>
          </w:tcPr>
          <w:p w14:paraId="51EBEEE9">
            <w:pPr>
              <w:snapToGrid w:val="0"/>
              <w:spacing w:after="0" w:line="240" w:lineRule="auto"/>
              <w:rPr>
                <w:color w:val="000000"/>
                <w:sz w:val="21"/>
                <w:szCs w:val="21"/>
              </w:rPr>
            </w:pPr>
            <w:r>
              <w:rPr>
                <w:color w:val="000000"/>
                <w:sz w:val="21"/>
                <w:szCs w:val="21"/>
              </w:rPr>
              <w:t>No social isolation + Long sleep</w:t>
            </w:r>
          </w:p>
        </w:tc>
        <w:tc>
          <w:tcPr>
            <w:tcW w:w="1186" w:type="pct"/>
            <w:tcBorders>
              <w:top w:val="nil"/>
              <w:left w:val="nil"/>
              <w:bottom w:val="nil"/>
              <w:right w:val="nil"/>
            </w:tcBorders>
            <w:shd w:val="clear" w:color="auto" w:fill="FFFFFF"/>
            <w:vAlign w:val="center"/>
          </w:tcPr>
          <w:p w14:paraId="633945A5">
            <w:pPr>
              <w:snapToGrid w:val="0"/>
              <w:spacing w:after="0" w:line="240" w:lineRule="auto"/>
              <w:jc w:val="center"/>
              <w:rPr>
                <w:rFonts w:hint="eastAsia"/>
                <w:color w:val="000000"/>
                <w:sz w:val="21"/>
                <w:szCs w:val="21"/>
                <w:lang w:eastAsia="zh-CN"/>
              </w:rPr>
            </w:pPr>
            <w:r>
              <w:rPr>
                <w:color w:val="000000"/>
                <w:sz w:val="21"/>
                <w:szCs w:val="21"/>
              </w:rPr>
              <w:t>1.17 (0.74, 1.85)</w:t>
            </w:r>
          </w:p>
        </w:tc>
        <w:tc>
          <w:tcPr>
            <w:tcW w:w="1035" w:type="pct"/>
            <w:tcBorders>
              <w:top w:val="nil"/>
              <w:left w:val="nil"/>
              <w:bottom w:val="nil"/>
              <w:right w:val="nil"/>
            </w:tcBorders>
            <w:shd w:val="clear" w:color="auto" w:fill="FFFFFF"/>
            <w:vAlign w:val="center"/>
          </w:tcPr>
          <w:p w14:paraId="2731C573">
            <w:pPr>
              <w:snapToGrid w:val="0"/>
              <w:spacing w:after="0" w:line="240" w:lineRule="auto"/>
              <w:jc w:val="center"/>
              <w:rPr>
                <w:rFonts w:hint="eastAsia"/>
                <w:color w:val="000000"/>
                <w:sz w:val="21"/>
                <w:szCs w:val="21"/>
                <w:lang w:eastAsia="zh-CN"/>
              </w:rPr>
            </w:pPr>
            <w:r>
              <w:rPr>
                <w:color w:val="000000"/>
                <w:sz w:val="21"/>
                <w:szCs w:val="21"/>
              </w:rPr>
              <w:t>1.16 (0.50, 2.73)</w:t>
            </w:r>
          </w:p>
        </w:tc>
      </w:tr>
      <w:tr w14:paraId="70CDE31E">
        <w:trPr>
          <w:tblHeader/>
          <w:jc w:val="center"/>
        </w:trPr>
        <w:tc>
          <w:tcPr>
            <w:tcW w:w="1569" w:type="pct"/>
            <w:vMerge w:val="continue"/>
            <w:tcBorders>
              <w:top w:val="single" w:color="auto" w:sz="4" w:space="0"/>
              <w:left w:val="nil"/>
              <w:bottom w:val="single" w:color="auto" w:sz="4" w:space="0"/>
              <w:right w:val="nil"/>
            </w:tcBorders>
            <w:shd w:val="clear" w:color="auto" w:fill="FFFFFF"/>
            <w:vAlign w:val="center"/>
          </w:tcPr>
          <w:p w14:paraId="6B9AEE3B">
            <w:pPr>
              <w:snapToGrid w:val="0"/>
              <w:spacing w:after="0" w:line="240" w:lineRule="auto"/>
              <w:rPr>
                <w:color w:val="000000"/>
                <w:sz w:val="21"/>
                <w:szCs w:val="21"/>
              </w:rPr>
            </w:pPr>
          </w:p>
        </w:tc>
        <w:tc>
          <w:tcPr>
            <w:tcW w:w="1207" w:type="pct"/>
            <w:tcBorders>
              <w:top w:val="nil"/>
              <w:left w:val="nil"/>
              <w:bottom w:val="single" w:color="auto" w:sz="4" w:space="0"/>
              <w:right w:val="nil"/>
            </w:tcBorders>
            <w:shd w:val="clear" w:color="auto" w:fill="FFFFFF"/>
            <w:vAlign w:val="center"/>
          </w:tcPr>
          <w:p w14:paraId="31B24BEA">
            <w:pPr>
              <w:snapToGrid w:val="0"/>
              <w:spacing w:after="0" w:line="240" w:lineRule="auto"/>
              <w:rPr>
                <w:color w:val="000000"/>
                <w:sz w:val="21"/>
                <w:szCs w:val="21"/>
              </w:rPr>
            </w:pPr>
            <w:r>
              <w:rPr>
                <w:color w:val="000000"/>
                <w:sz w:val="21"/>
                <w:szCs w:val="21"/>
              </w:rPr>
              <w:t>Social isolation + Long sleep</w:t>
            </w:r>
          </w:p>
        </w:tc>
        <w:tc>
          <w:tcPr>
            <w:tcW w:w="1186" w:type="pct"/>
            <w:tcBorders>
              <w:top w:val="nil"/>
              <w:left w:val="nil"/>
              <w:bottom w:val="single" w:color="auto" w:sz="4" w:space="0"/>
              <w:right w:val="nil"/>
            </w:tcBorders>
            <w:shd w:val="clear" w:color="auto" w:fill="FFFFFF"/>
            <w:vAlign w:val="center"/>
          </w:tcPr>
          <w:p w14:paraId="20171ADD">
            <w:pPr>
              <w:snapToGrid w:val="0"/>
              <w:spacing w:after="0" w:line="240" w:lineRule="auto"/>
              <w:jc w:val="center"/>
              <w:rPr>
                <w:rFonts w:hint="eastAsia"/>
                <w:color w:val="000000"/>
                <w:sz w:val="21"/>
                <w:szCs w:val="21"/>
                <w:lang w:eastAsia="zh-CN"/>
              </w:rPr>
            </w:pPr>
            <w:r>
              <w:rPr>
                <w:color w:val="000000"/>
                <w:sz w:val="21"/>
                <w:szCs w:val="21"/>
              </w:rPr>
              <w:t>1.29 (0.82, 2.02)</w:t>
            </w:r>
          </w:p>
        </w:tc>
        <w:tc>
          <w:tcPr>
            <w:tcW w:w="1035" w:type="pct"/>
            <w:tcBorders>
              <w:top w:val="nil"/>
              <w:left w:val="nil"/>
              <w:bottom w:val="single" w:color="auto" w:sz="4" w:space="0"/>
              <w:right w:val="nil"/>
            </w:tcBorders>
            <w:shd w:val="clear" w:color="auto" w:fill="FFFFFF"/>
            <w:vAlign w:val="center"/>
          </w:tcPr>
          <w:p w14:paraId="316E555F">
            <w:pPr>
              <w:snapToGrid w:val="0"/>
              <w:spacing w:after="0" w:line="240" w:lineRule="auto"/>
              <w:jc w:val="center"/>
              <w:rPr>
                <w:rFonts w:hint="eastAsia"/>
                <w:color w:val="000000"/>
                <w:sz w:val="21"/>
                <w:szCs w:val="21"/>
                <w:vertAlign w:val="superscript"/>
                <w:lang w:eastAsia="zh-CN"/>
              </w:rPr>
            </w:pPr>
            <w:r>
              <w:rPr>
                <w:color w:val="000000"/>
                <w:sz w:val="21"/>
                <w:szCs w:val="21"/>
              </w:rPr>
              <w:t>3.48 (2.04, 5.93)</w:t>
            </w:r>
            <w:r>
              <w:rPr>
                <w:rFonts w:hint="eastAsia"/>
                <w:color w:val="000000"/>
                <w:sz w:val="21"/>
                <w:szCs w:val="21"/>
                <w:vertAlign w:val="superscript"/>
                <w:lang w:eastAsia="zh-CN"/>
              </w:rPr>
              <w:t>**</w:t>
            </w:r>
          </w:p>
        </w:tc>
      </w:tr>
      <w:tr w14:paraId="2B017A96">
        <w:trPr>
          <w:tblHeader/>
          <w:jc w:val="center"/>
        </w:trPr>
        <w:tc>
          <w:tcPr>
            <w:tcW w:w="1569" w:type="pct"/>
            <w:vMerge w:val="restart"/>
            <w:tcBorders>
              <w:top w:val="single" w:color="auto" w:sz="4" w:space="0"/>
              <w:left w:val="nil"/>
              <w:bottom w:val="single" w:color="auto" w:sz="4" w:space="0"/>
              <w:right w:val="nil"/>
            </w:tcBorders>
            <w:shd w:val="clear" w:color="auto" w:fill="FFFFFF"/>
            <w:vAlign w:val="center"/>
          </w:tcPr>
          <w:p w14:paraId="258EEC49">
            <w:pPr>
              <w:snapToGrid w:val="0"/>
              <w:spacing w:after="0" w:line="240" w:lineRule="auto"/>
              <w:rPr>
                <w:color w:val="000000"/>
                <w:sz w:val="21"/>
                <w:szCs w:val="21"/>
              </w:rPr>
            </w:pPr>
            <w:r>
              <w:rPr>
                <w:color w:val="000000"/>
                <w:sz w:val="21"/>
                <w:szCs w:val="21"/>
              </w:rPr>
              <w:t>Social isolation redefined without rural residence</w:t>
            </w:r>
          </w:p>
        </w:tc>
        <w:tc>
          <w:tcPr>
            <w:tcW w:w="1207" w:type="pct"/>
            <w:tcBorders>
              <w:top w:val="single" w:color="auto" w:sz="4" w:space="0"/>
              <w:left w:val="nil"/>
              <w:bottom w:val="nil"/>
              <w:right w:val="nil"/>
            </w:tcBorders>
            <w:shd w:val="clear" w:color="auto" w:fill="FFFFFF"/>
            <w:vAlign w:val="center"/>
          </w:tcPr>
          <w:p w14:paraId="770B860E">
            <w:pPr>
              <w:snapToGrid w:val="0"/>
              <w:spacing w:after="0" w:line="240" w:lineRule="auto"/>
              <w:rPr>
                <w:color w:val="000000"/>
                <w:sz w:val="21"/>
                <w:szCs w:val="21"/>
              </w:rPr>
            </w:pPr>
            <w:r>
              <w:rPr>
                <w:color w:val="000000"/>
                <w:sz w:val="21"/>
                <w:szCs w:val="21"/>
              </w:rPr>
              <w:t>Social isolation + Normal sleep</w:t>
            </w:r>
          </w:p>
        </w:tc>
        <w:tc>
          <w:tcPr>
            <w:tcW w:w="1186" w:type="pct"/>
            <w:tcBorders>
              <w:top w:val="single" w:color="auto" w:sz="4" w:space="0"/>
              <w:left w:val="nil"/>
              <w:bottom w:val="nil"/>
              <w:right w:val="nil"/>
            </w:tcBorders>
            <w:shd w:val="clear" w:color="auto" w:fill="FFFFFF"/>
            <w:vAlign w:val="center"/>
          </w:tcPr>
          <w:p w14:paraId="1022C99D">
            <w:pPr>
              <w:snapToGrid w:val="0"/>
              <w:spacing w:after="0" w:line="240" w:lineRule="auto"/>
              <w:jc w:val="center"/>
              <w:rPr>
                <w:rFonts w:hint="eastAsia"/>
                <w:color w:val="000000"/>
                <w:sz w:val="21"/>
                <w:szCs w:val="21"/>
                <w:lang w:eastAsia="zh-CN"/>
              </w:rPr>
            </w:pPr>
            <w:r>
              <w:rPr>
                <w:color w:val="000000"/>
                <w:sz w:val="21"/>
                <w:szCs w:val="21"/>
              </w:rPr>
              <w:t>1.11 (0.86, 1.43)</w:t>
            </w:r>
          </w:p>
        </w:tc>
        <w:tc>
          <w:tcPr>
            <w:tcW w:w="1035" w:type="pct"/>
            <w:tcBorders>
              <w:top w:val="single" w:color="auto" w:sz="4" w:space="0"/>
              <w:left w:val="nil"/>
              <w:bottom w:val="nil"/>
              <w:right w:val="nil"/>
            </w:tcBorders>
            <w:shd w:val="clear" w:color="auto" w:fill="FFFFFF"/>
            <w:vAlign w:val="center"/>
          </w:tcPr>
          <w:p w14:paraId="219D4F8C">
            <w:pPr>
              <w:snapToGrid w:val="0"/>
              <w:spacing w:after="0" w:line="240" w:lineRule="auto"/>
              <w:jc w:val="center"/>
              <w:rPr>
                <w:rFonts w:hint="eastAsia"/>
                <w:color w:val="000000"/>
                <w:sz w:val="21"/>
                <w:szCs w:val="21"/>
                <w:lang w:eastAsia="zh-CN"/>
              </w:rPr>
            </w:pPr>
            <w:r>
              <w:rPr>
                <w:color w:val="000000"/>
                <w:sz w:val="21"/>
                <w:szCs w:val="21"/>
              </w:rPr>
              <w:t>1.13 (0.74, 1.73)</w:t>
            </w:r>
          </w:p>
        </w:tc>
      </w:tr>
      <w:tr w14:paraId="7E304D17">
        <w:trPr>
          <w:tblHeader/>
          <w:jc w:val="center"/>
        </w:trPr>
        <w:tc>
          <w:tcPr>
            <w:tcW w:w="1569" w:type="pct"/>
            <w:vMerge w:val="continue"/>
            <w:tcBorders>
              <w:top w:val="single" w:color="auto" w:sz="4" w:space="0"/>
              <w:left w:val="nil"/>
              <w:bottom w:val="single" w:color="auto" w:sz="4" w:space="0"/>
              <w:right w:val="nil"/>
            </w:tcBorders>
            <w:shd w:val="clear" w:color="auto" w:fill="FFFFFF"/>
            <w:vAlign w:val="center"/>
          </w:tcPr>
          <w:p w14:paraId="72C8A654">
            <w:pPr>
              <w:snapToGrid w:val="0"/>
              <w:spacing w:after="0" w:line="240" w:lineRule="auto"/>
              <w:rPr>
                <w:color w:val="000000"/>
                <w:sz w:val="21"/>
                <w:szCs w:val="21"/>
              </w:rPr>
            </w:pPr>
          </w:p>
        </w:tc>
        <w:tc>
          <w:tcPr>
            <w:tcW w:w="1207" w:type="pct"/>
            <w:tcBorders>
              <w:top w:val="nil"/>
              <w:left w:val="nil"/>
              <w:bottom w:val="nil"/>
              <w:right w:val="nil"/>
            </w:tcBorders>
            <w:shd w:val="clear" w:color="auto" w:fill="FFFFFF"/>
            <w:vAlign w:val="center"/>
          </w:tcPr>
          <w:p w14:paraId="16A1DC8E">
            <w:pPr>
              <w:snapToGrid w:val="0"/>
              <w:spacing w:after="0" w:line="240" w:lineRule="auto"/>
              <w:rPr>
                <w:color w:val="000000"/>
                <w:sz w:val="21"/>
                <w:szCs w:val="21"/>
              </w:rPr>
            </w:pPr>
            <w:r>
              <w:rPr>
                <w:color w:val="000000"/>
                <w:sz w:val="21"/>
                <w:szCs w:val="21"/>
              </w:rPr>
              <w:t>No social isolation + Abnormal sleep</w:t>
            </w:r>
          </w:p>
        </w:tc>
        <w:tc>
          <w:tcPr>
            <w:tcW w:w="1186" w:type="pct"/>
            <w:tcBorders>
              <w:top w:val="nil"/>
              <w:left w:val="nil"/>
              <w:bottom w:val="nil"/>
              <w:right w:val="nil"/>
            </w:tcBorders>
            <w:shd w:val="clear" w:color="auto" w:fill="FFFFFF"/>
            <w:vAlign w:val="center"/>
          </w:tcPr>
          <w:p w14:paraId="5A96E69C">
            <w:pPr>
              <w:snapToGrid w:val="0"/>
              <w:spacing w:after="0" w:line="240" w:lineRule="auto"/>
              <w:jc w:val="center"/>
              <w:rPr>
                <w:rFonts w:hint="eastAsia"/>
                <w:color w:val="000000"/>
                <w:sz w:val="21"/>
                <w:szCs w:val="21"/>
                <w:vertAlign w:val="superscript"/>
                <w:lang w:eastAsia="zh-CN"/>
              </w:rPr>
            </w:pPr>
            <w:r>
              <w:rPr>
                <w:color w:val="000000"/>
                <w:sz w:val="21"/>
                <w:szCs w:val="21"/>
              </w:rPr>
              <w:t>1.41 (1.24, 1.62)</w:t>
            </w:r>
            <w:r>
              <w:rPr>
                <w:rFonts w:hint="eastAsia"/>
                <w:color w:val="000000"/>
                <w:sz w:val="21"/>
                <w:szCs w:val="21"/>
                <w:vertAlign w:val="superscript"/>
                <w:lang w:eastAsia="zh-CN"/>
              </w:rPr>
              <w:t>**</w:t>
            </w:r>
          </w:p>
        </w:tc>
        <w:tc>
          <w:tcPr>
            <w:tcW w:w="1035" w:type="pct"/>
            <w:tcBorders>
              <w:top w:val="nil"/>
              <w:left w:val="nil"/>
              <w:bottom w:val="nil"/>
              <w:right w:val="nil"/>
            </w:tcBorders>
            <w:shd w:val="clear" w:color="auto" w:fill="FFFFFF"/>
            <w:vAlign w:val="center"/>
          </w:tcPr>
          <w:p w14:paraId="6A19E342">
            <w:pPr>
              <w:snapToGrid w:val="0"/>
              <w:spacing w:after="0" w:line="240" w:lineRule="auto"/>
              <w:jc w:val="center"/>
              <w:rPr>
                <w:rFonts w:hint="eastAsia"/>
                <w:color w:val="000000"/>
                <w:sz w:val="21"/>
                <w:szCs w:val="21"/>
                <w:vertAlign w:val="superscript"/>
                <w:lang w:eastAsia="zh-CN"/>
              </w:rPr>
            </w:pPr>
            <w:r>
              <w:rPr>
                <w:color w:val="000000"/>
                <w:sz w:val="21"/>
                <w:szCs w:val="21"/>
              </w:rPr>
              <w:t>2.00 (1.60, 2.49)</w:t>
            </w:r>
            <w:r>
              <w:rPr>
                <w:rFonts w:hint="eastAsia"/>
                <w:color w:val="000000"/>
                <w:sz w:val="21"/>
                <w:szCs w:val="21"/>
                <w:vertAlign w:val="superscript"/>
                <w:lang w:eastAsia="zh-CN"/>
              </w:rPr>
              <w:t>**</w:t>
            </w:r>
          </w:p>
        </w:tc>
      </w:tr>
      <w:tr w14:paraId="2F410442">
        <w:trPr>
          <w:tblHeader/>
          <w:jc w:val="center"/>
        </w:trPr>
        <w:tc>
          <w:tcPr>
            <w:tcW w:w="1569" w:type="pct"/>
            <w:vMerge w:val="continue"/>
            <w:tcBorders>
              <w:top w:val="single" w:color="auto" w:sz="4" w:space="0"/>
              <w:left w:val="nil"/>
              <w:bottom w:val="single" w:color="auto" w:sz="4" w:space="0"/>
              <w:right w:val="nil"/>
            </w:tcBorders>
            <w:shd w:val="clear" w:color="auto" w:fill="FFFFFF"/>
            <w:vAlign w:val="center"/>
          </w:tcPr>
          <w:p w14:paraId="1E0A5DB3">
            <w:pPr>
              <w:snapToGrid w:val="0"/>
              <w:spacing w:after="0" w:line="240" w:lineRule="auto"/>
              <w:rPr>
                <w:color w:val="000000"/>
                <w:sz w:val="21"/>
                <w:szCs w:val="21"/>
              </w:rPr>
            </w:pPr>
          </w:p>
        </w:tc>
        <w:tc>
          <w:tcPr>
            <w:tcW w:w="1207" w:type="pct"/>
            <w:tcBorders>
              <w:top w:val="nil"/>
              <w:left w:val="nil"/>
              <w:bottom w:val="single" w:color="000000" w:sz="12" w:space="0"/>
              <w:right w:val="nil"/>
            </w:tcBorders>
            <w:shd w:val="clear" w:color="auto" w:fill="FFFFFF"/>
            <w:vAlign w:val="center"/>
          </w:tcPr>
          <w:p w14:paraId="0EB9568D">
            <w:pPr>
              <w:snapToGrid w:val="0"/>
              <w:spacing w:after="0" w:line="240" w:lineRule="auto"/>
              <w:rPr>
                <w:color w:val="000000"/>
                <w:sz w:val="21"/>
                <w:szCs w:val="21"/>
              </w:rPr>
            </w:pPr>
            <w:r>
              <w:rPr>
                <w:color w:val="000000"/>
                <w:sz w:val="21"/>
                <w:szCs w:val="21"/>
              </w:rPr>
              <w:t>Social isolation + Abnormal sleep</w:t>
            </w:r>
          </w:p>
        </w:tc>
        <w:tc>
          <w:tcPr>
            <w:tcW w:w="1186" w:type="pct"/>
            <w:tcBorders>
              <w:top w:val="nil"/>
              <w:left w:val="nil"/>
              <w:bottom w:val="single" w:color="000000" w:sz="12" w:space="0"/>
              <w:right w:val="nil"/>
            </w:tcBorders>
            <w:shd w:val="clear" w:color="auto" w:fill="FFFFFF"/>
            <w:vAlign w:val="center"/>
          </w:tcPr>
          <w:p w14:paraId="773A0D60">
            <w:pPr>
              <w:snapToGrid w:val="0"/>
              <w:spacing w:after="0" w:line="240" w:lineRule="auto"/>
              <w:jc w:val="center"/>
              <w:rPr>
                <w:rFonts w:hint="eastAsia"/>
                <w:color w:val="000000"/>
                <w:sz w:val="21"/>
                <w:szCs w:val="21"/>
                <w:vertAlign w:val="superscript"/>
                <w:lang w:eastAsia="zh-CN"/>
              </w:rPr>
            </w:pPr>
            <w:r>
              <w:rPr>
                <w:color w:val="000000"/>
                <w:sz w:val="21"/>
                <w:szCs w:val="21"/>
              </w:rPr>
              <w:t>1.49 (1.15, 1.93)</w:t>
            </w:r>
            <w:r>
              <w:rPr>
                <w:rFonts w:hint="eastAsia"/>
                <w:color w:val="000000"/>
                <w:sz w:val="21"/>
                <w:szCs w:val="21"/>
                <w:vertAlign w:val="superscript"/>
                <w:lang w:eastAsia="zh-CN"/>
              </w:rPr>
              <w:t>*</w:t>
            </w:r>
          </w:p>
        </w:tc>
        <w:tc>
          <w:tcPr>
            <w:tcW w:w="1035" w:type="pct"/>
            <w:tcBorders>
              <w:top w:val="nil"/>
              <w:left w:val="nil"/>
              <w:bottom w:val="single" w:color="000000" w:sz="12" w:space="0"/>
              <w:right w:val="nil"/>
            </w:tcBorders>
            <w:shd w:val="clear" w:color="auto" w:fill="FFFFFF"/>
            <w:vAlign w:val="center"/>
          </w:tcPr>
          <w:p w14:paraId="092017E3">
            <w:pPr>
              <w:snapToGrid w:val="0"/>
              <w:spacing w:after="0" w:line="240" w:lineRule="auto"/>
              <w:jc w:val="center"/>
              <w:rPr>
                <w:rFonts w:hint="eastAsia"/>
                <w:color w:val="000000"/>
                <w:sz w:val="21"/>
                <w:szCs w:val="21"/>
                <w:vertAlign w:val="superscript"/>
                <w:lang w:eastAsia="zh-CN"/>
              </w:rPr>
            </w:pPr>
            <w:r>
              <w:rPr>
                <w:color w:val="000000"/>
                <w:sz w:val="21"/>
                <w:szCs w:val="21"/>
              </w:rPr>
              <w:t>2.24 (1.54, 3.24)</w:t>
            </w:r>
            <w:r>
              <w:rPr>
                <w:rFonts w:hint="eastAsia"/>
                <w:color w:val="000000"/>
                <w:sz w:val="21"/>
                <w:szCs w:val="21"/>
                <w:vertAlign w:val="superscript"/>
                <w:lang w:eastAsia="zh-CN"/>
              </w:rPr>
              <w:t>**</w:t>
            </w:r>
          </w:p>
        </w:tc>
      </w:tr>
    </w:tbl>
    <w:p w14:paraId="72505C3B">
      <w:pPr>
        <w:rPr>
          <w:rFonts w:eastAsia="宋体" w:cs="Times New Roman"/>
          <w:kern w:val="2"/>
          <w:sz w:val="24"/>
          <w:szCs w:val="24"/>
          <w:vertAlign w:val="superscript"/>
          <w:lang w:eastAsia="zh-CN"/>
        </w:rPr>
      </w:pPr>
      <w:r>
        <w:rPr>
          <w:sz w:val="24"/>
          <w:szCs w:val="24"/>
        </w:rPr>
        <w:t>The reference outcome group was the low-stable trajectory. For each sensitivity analysis, the reference exposure group was participants without social isolation and with normal sleep. Models were adjusted for age, sex, hypertension, dyslipidemia, diabetes, smoking, drinking, educational level, and BMI.</w:t>
      </w:r>
      <w:r>
        <w:rPr>
          <w:rFonts w:eastAsia="宋体" w:cs="Times New Roman"/>
          <w:kern w:val="2"/>
          <w:sz w:val="24"/>
          <w:szCs w:val="24"/>
          <w:vertAlign w:val="superscript"/>
          <w:lang w:eastAsia="zh-CN"/>
        </w:rPr>
        <w:t xml:space="preserve"> </w:t>
      </w:r>
    </w:p>
    <w:p w14:paraId="6C4D1291">
      <w:pPr>
        <w:rPr>
          <w:rFonts w:hint="default" w:eastAsia="宋体" w:cs="Times New Roman"/>
          <w:kern w:val="2"/>
          <w:sz w:val="18"/>
          <w:szCs w:val="18"/>
          <w:lang w:val="en-US" w:eastAsia="zh-CN"/>
        </w:rPr>
      </w:pPr>
      <w:r>
        <w:rPr>
          <w:rFonts w:eastAsia="宋体" w:cs="Times New Roman"/>
          <w:kern w:val="2"/>
          <w:sz w:val="24"/>
          <w:szCs w:val="24"/>
          <w:vertAlign w:val="superscript"/>
          <w:lang w:eastAsia="zh-CN"/>
        </w:rPr>
        <w:t>**</w:t>
      </w:r>
      <w:r>
        <w:rPr>
          <w:rFonts w:ascii="Times New Roman Italic" w:hAnsi="Times New Roman Italic" w:eastAsia="宋体" w:cs="Times New Roman"/>
          <w:i/>
          <w:iCs/>
          <w:kern w:val="2"/>
          <w:sz w:val="24"/>
          <w:szCs w:val="24"/>
          <w:lang w:eastAsia="zh-CN"/>
        </w:rPr>
        <w:t>P</w:t>
      </w:r>
      <w:r>
        <w:rPr>
          <w:rFonts w:eastAsia="宋体" w:cs="Times New Roman"/>
          <w:kern w:val="2"/>
          <w:sz w:val="24"/>
          <w:szCs w:val="24"/>
          <w:lang w:eastAsia="zh-CN"/>
        </w:rPr>
        <w:t>&lt;0.001</w:t>
      </w:r>
      <w:r>
        <w:rPr>
          <w:rFonts w:hint="default" w:eastAsia="宋体" w:cs="Times New Roman"/>
          <w:kern w:val="2"/>
          <w:sz w:val="24"/>
          <w:szCs w:val="24"/>
          <w:lang w:val="en-US" w:eastAsia="zh-CN"/>
        </w:rPr>
        <w:t xml:space="preserve">, </w:t>
      </w:r>
      <w:r>
        <w:rPr>
          <w:rFonts w:hint="default" w:eastAsia="宋体" w:cs="Times New Roman"/>
          <w:kern w:val="2"/>
          <w:sz w:val="24"/>
          <w:szCs w:val="24"/>
          <w:vertAlign w:val="superscript"/>
          <w:lang w:val="en-US" w:eastAsia="zh-CN"/>
        </w:rPr>
        <w:t>*</w:t>
      </w:r>
      <w:bookmarkStart w:id="0" w:name="_GoBack"/>
      <w:bookmarkEnd w:id="0"/>
      <w:r>
        <w:rPr>
          <w:rFonts w:hint="default" w:eastAsia="宋体" w:cs="Times New Roman"/>
          <w:kern w:val="2"/>
          <w:sz w:val="24"/>
          <w:szCs w:val="24"/>
          <w:lang w:val="en-US" w:eastAsia="zh-CN"/>
        </w:rPr>
        <w:t>P&lt;0.05</w:t>
      </w:r>
    </w:p>
    <w:sectPr>
      <w:pgSz w:w="12240" w:h="15840"/>
      <w:pgMar w:top="1152" w:right="1008" w:bottom="1152" w:left="100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roman"/>
    <w:pitch w:val="default"/>
    <w:sig w:usb0="00000000" w:usb1="00000000" w:usb2="00000000" w:usb3="00000000" w:csb0="0000019F" w:csb1="00000000"/>
  </w:font>
  <w:font w:name="ＭＳ 明朝">
    <w:altName w:val="Hiragino Sans"/>
    <w:panose1 w:val="00000000000000000000"/>
    <w:charset w:val="86"/>
    <w:family w:val="auto"/>
    <w:pitch w:val="default"/>
    <w:sig w:usb0="00000000" w:usb1="00000000" w:usb2="0000000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Courier">
    <w:altName w:val="苹方-简"/>
    <w:panose1 w:val="02070309020205020404"/>
    <w:charset w:val="00"/>
    <w:family w:val="auto"/>
    <w:pitch w:val="default"/>
    <w:sig w:usb0="00000000" w:usb1="00000000" w:usb2="00000000" w:usb3="00000000" w:csb0="00000001" w:csb1="00000000"/>
  </w:font>
  <w:font w:name="Times New Roman Italic">
    <w:panose1 w:val="02020503050405090304"/>
    <w:charset w:val="00"/>
    <w:family w:val="auto"/>
    <w:pitch w:val="default"/>
    <w:sig w:usb0="E0000AFF" w:usb1="00007843" w:usb2="00000001" w:usb3="00000000" w:csb0="400001BF" w:csb1="DFF7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AF7EFF"/>
    <w:rsid w:val="00B0122D"/>
    <w:rsid w:val="00B47730"/>
    <w:rsid w:val="00B756C6"/>
    <w:rsid w:val="00BD58FA"/>
    <w:rsid w:val="00C7479A"/>
    <w:rsid w:val="00CB0664"/>
    <w:rsid w:val="00FC693F"/>
    <w:rsid w:val="1FD7717A"/>
    <w:rsid w:val="B7EFAE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EastAsia" w:cstheme="minorBidi"/>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uiPriority w:val="99"/>
  </w:style>
  <w:style w:type="character" w:customStyle="1" w:styleId="136">
    <w:name w:val="页脚 字符"/>
    <w:basedOn w:val="132"/>
    <w:link w:val="24"/>
    <w:uiPriority w:val="99"/>
  </w:style>
  <w:style w:type="paragraph" w:styleId="137">
    <w:name w:val="No Spacing"/>
    <w:qFormat/>
    <w:uiPriority w:val="1"/>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uiPriority w:val="99"/>
  </w:style>
  <w:style w:type="character" w:customStyle="1" w:styleId="145">
    <w:name w:val="正文文本 2 字符"/>
    <w:basedOn w:val="132"/>
    <w:link w:val="28"/>
    <w:uiPriority w:val="99"/>
  </w:style>
  <w:style w:type="character" w:customStyle="1" w:styleId="146">
    <w:name w:val="正文文本 3 字符"/>
    <w:basedOn w:val="132"/>
    <w:link w:val="17"/>
    <w:uiPriority w:val="99"/>
    <w:rPr>
      <w:sz w:val="16"/>
      <w:szCs w:val="16"/>
    </w:rPr>
  </w:style>
  <w:style w:type="character" w:customStyle="1" w:styleId="147">
    <w:name w:val="宏文本 字符"/>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uiPriority w:val="29"/>
    <w:rPr>
      <w:i/>
      <w:iCs/>
      <w:color w:val="000000" w:themeColor="text1"/>
      <w14:textFill>
        <w14:solidFill>
          <w14:schemeClr w14:val="tx1"/>
        </w14:solidFill>
      </w14:textFill>
    </w:rPr>
  </w:style>
  <w:style w:type="character" w:customStyle="1" w:styleId="150">
    <w:name w:val="标题 4 字符"/>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uiPriority w:val="30"/>
    <w:rPr>
      <w:b/>
      <w:bCs/>
      <w:i/>
      <w:iCs/>
      <w:color w:val="4F81BD" w:themeColor="accent1"/>
      <w14:textFill>
        <w14:solidFill>
          <w14:schemeClr w14:val="accent1"/>
        </w14:solidFill>
      </w14:textFill>
    </w:rPr>
  </w:style>
  <w:style w:type="character" w:customStyle="1" w:styleId="158">
    <w:name w:val="不明显强调1"/>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明显强调1"/>
    <w:basedOn w:val="132"/>
    <w:qFormat/>
    <w:uiPriority w:val="21"/>
    <w:rPr>
      <w:b/>
      <w:bCs/>
      <w:i/>
      <w:iCs/>
      <w:color w:val="4F81BD" w:themeColor="accent1"/>
      <w14:textFill>
        <w14:solidFill>
          <w14:schemeClr w14:val="accent1"/>
        </w14:solidFill>
      </w14:textFill>
    </w:rPr>
  </w:style>
  <w:style w:type="character" w:customStyle="1" w:styleId="160">
    <w:name w:val="不明显参考1"/>
    <w:basedOn w:val="132"/>
    <w:qFormat/>
    <w:uiPriority w:val="31"/>
    <w:rPr>
      <w:smallCaps/>
      <w:color w:val="C0504D" w:themeColor="accent2"/>
      <w:u w:val="single"/>
      <w14:textFill>
        <w14:solidFill>
          <w14:schemeClr w14:val="accent2"/>
        </w14:solidFill>
      </w14:textFill>
    </w:rPr>
  </w:style>
  <w:style w:type="character" w:customStyle="1" w:styleId="161">
    <w:name w:val="明显参考1"/>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书籍标题1"/>
    <w:basedOn w:val="132"/>
    <w:qFormat/>
    <w:uiPriority w:val="33"/>
    <w:rPr>
      <w:b/>
      <w:bCs/>
      <w:smallCaps/>
      <w:spacing w:val="5"/>
    </w:rPr>
  </w:style>
  <w:style w:type="paragraph" w:customStyle="1" w:styleId="163">
    <w:name w:val="TOC 标题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202</Words>
  <Characters>1156</Characters>
  <Lines>9</Lines>
  <Paragraphs>2</Paragraphs>
  <TotalTime>15</TotalTime>
  <ScaleCrop>false</ScaleCrop>
  <LinksUpToDate>false</LinksUpToDate>
  <CharactersWithSpaces>1356</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2013-12-24T15:15:00Z</dcterms:created>
  <dc:creator>python-docx</dc:creator>
  <dc:description>generated by python-docx</dc:description>
  <cp:lastModifiedBy>严斯妍</cp:lastModifiedBy>
  <dcterms:modified xsi:type="dcterms:W3CDTF">2026-06-15T23:34:51Z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8E23FAE00952BC20A110306A8C464ED6_42</vt:lpwstr>
  </property>
</Properties>
</file>