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903E3" w14:textId="0B204015" w:rsidR="00EF08F3" w:rsidRPr="009A7FCA" w:rsidRDefault="00000000">
      <w:pPr>
        <w:jc w:val="center"/>
        <w:rPr>
          <w:sz w:val="32"/>
          <w:szCs w:val="32"/>
        </w:rPr>
      </w:pPr>
      <w:r w:rsidRPr="009A7FCA">
        <w:rPr>
          <w:b/>
          <w:sz w:val="32"/>
          <w:szCs w:val="32"/>
        </w:rPr>
        <w:t>CARE Checklist</w:t>
      </w:r>
    </w:p>
    <w:p w14:paraId="3EC14320" w14:textId="13316375" w:rsidR="00EF08F3" w:rsidRPr="009A7FCA" w:rsidRDefault="00000000" w:rsidP="009A7FCA">
      <w:pPr>
        <w:jc w:val="center"/>
        <w:rPr>
          <w:b/>
          <w:bCs/>
          <w:iCs/>
          <w:sz w:val="22"/>
        </w:rPr>
      </w:pPr>
      <w:r w:rsidRPr="009A7FCA">
        <w:rPr>
          <w:b/>
          <w:bCs/>
          <w:iCs/>
          <w:sz w:val="22"/>
        </w:rPr>
        <w:t>An Unusual Presentation of Plasma Cell Myeloma with Multiple Extramedullary Soft-Tissue Swellings: A Case Report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648"/>
        <w:gridCol w:w="5328"/>
        <w:gridCol w:w="3240"/>
        <w:gridCol w:w="4464"/>
      </w:tblGrid>
      <w:tr w:rsidR="00EF08F3" w:rsidRPr="009A7FCA" w14:paraId="19A747C9" w14:textId="77777777">
        <w:trPr>
          <w:tblHeader/>
          <w:jc w:val="center"/>
        </w:trPr>
        <w:tc>
          <w:tcPr>
            <w:tcW w:w="172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3905C2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b/>
                <w:sz w:val="22"/>
              </w:rPr>
              <w:t>Topic</w:t>
            </w:r>
          </w:p>
        </w:tc>
        <w:tc>
          <w:tcPr>
            <w:tcW w:w="64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9EA2DF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b/>
                <w:sz w:val="22"/>
              </w:rPr>
              <w:t>Item</w:t>
            </w:r>
          </w:p>
        </w:tc>
        <w:tc>
          <w:tcPr>
            <w:tcW w:w="5328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DAEBC0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b/>
                <w:sz w:val="22"/>
              </w:rPr>
              <w:t>CARE checklist item</w:t>
            </w:r>
          </w:p>
        </w:tc>
        <w:tc>
          <w:tcPr>
            <w:tcW w:w="3240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92FB12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b/>
                <w:sz w:val="22"/>
              </w:rPr>
              <w:t>Reported on page/line number(s)</w:t>
            </w:r>
          </w:p>
        </w:tc>
        <w:tc>
          <w:tcPr>
            <w:tcW w:w="4464" w:type="dxa"/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B6AA12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b/>
                <w:sz w:val="22"/>
              </w:rPr>
              <w:t>Status / comment</w:t>
            </w:r>
          </w:p>
        </w:tc>
      </w:tr>
      <w:tr w:rsidR="00EF08F3" w:rsidRPr="009A7FCA" w14:paraId="521B7220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79BC4B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Title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394DA7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1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64F9A8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The diagnosis or intervention of primary focus followed by the words “case report”.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CA4A6B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1, lines 1–2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95C109" w14:textId="27F96FA1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1DC4A072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F61935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Keywords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31C917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2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FC5218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Two to five key words that identify diagnoses or interventions in this case report, including “case report”.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E6524A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3, line 48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EFA61D" w14:textId="6ECC20C3" w:rsidR="00EF08F3" w:rsidRPr="009A7FCA" w:rsidRDefault="009A7FCA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7D4916A2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4BFD46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Abstract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402153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3a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4B3E27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Background: What does this case report add to the medical literature?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9C1F34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2, lines 21–26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660134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61DFFBBA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F630AC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Abstract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B61F03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3b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D0788C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Case summary: main symptoms and important clinical findings.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AD977C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2, lines 27–35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993702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74A87B4B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C8EAA8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Abstract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DF11EF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3c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BFF509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Case summary: main diagnoses, therapeutic interventions, and outcomes.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2833CF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2, lines 35–41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58685C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6BE5A2DC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8EDF55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Abstract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1AC015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3d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47B75F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Conclusion: main lesson(s) learned from the case.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52BE3B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3, lines 42–46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58CE0C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77B997A9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A5BF77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Introduction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AF27A6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4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90E8F8" w14:textId="4BE0F57E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 xml:space="preserve">Briefly summarize why the case is unique and </w:t>
            </w:r>
            <w:r w:rsidR="009A7FCA" w:rsidRPr="009A7FCA">
              <w:rPr>
                <w:sz w:val="22"/>
              </w:rPr>
              <w:t>includes</w:t>
            </w:r>
            <w:r w:rsidRPr="009A7FCA">
              <w:rPr>
                <w:sz w:val="22"/>
              </w:rPr>
              <w:t xml:space="preserve"> relevant medical literature.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462785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3, lines 50–63; p. 4, lines 64–86; p. 5, lines 87–94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66E05A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3A4E9ABA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FC2CBA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Patient information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4C98A3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5a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88807A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De-identified demographic information and other relevant patient-specific information.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B5AB4D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2, lines 28–29; p. 5, lines 96–97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7980C9" w14:textId="55E8AC40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</w:t>
            </w:r>
            <w:r w:rsidR="009A7FCA" w:rsidRPr="009A7FCA">
              <w:rPr>
                <w:sz w:val="22"/>
              </w:rPr>
              <w:t>.</w:t>
            </w:r>
          </w:p>
        </w:tc>
      </w:tr>
      <w:tr w:rsidR="00EF08F3" w:rsidRPr="009A7FCA" w14:paraId="59A37E99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92A736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Patient information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25B40F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5b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797D96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Primary concerns and symptoms of the patient.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D3D10A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5, lines 96–108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0735B0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2316BD4D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3C8F5E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Patient information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54F68B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5c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8313D3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Medical, family, and psychosocial history including relevant genetic information.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9C83FB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5, line 96; p. 5, lines 102–108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80179D" w14:textId="4DC65030" w:rsidR="00EF08F3" w:rsidRPr="009A7FCA" w:rsidRDefault="009A7FCA">
            <w:pPr>
              <w:rPr>
                <w:sz w:val="22"/>
              </w:rPr>
            </w:pPr>
            <w:r w:rsidRPr="009A7FCA">
              <w:rPr>
                <w:sz w:val="22"/>
              </w:rPr>
              <w:t>R</w:t>
            </w:r>
            <w:r w:rsidR="00000000" w:rsidRPr="009A7FCA">
              <w:rPr>
                <w:sz w:val="22"/>
              </w:rPr>
              <w:t>eported.</w:t>
            </w:r>
          </w:p>
        </w:tc>
      </w:tr>
      <w:tr w:rsidR="00EF08F3" w:rsidRPr="009A7FCA" w14:paraId="4F9BA40E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68EF97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Patient information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BC4BAB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5d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AFDAD3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Relevant past interventions and their outcomes.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6ACC95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Not specifically reported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375A99" w14:textId="13AC9124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No prior specific treatment had been given for the swellings before admission</w:t>
            </w:r>
          </w:p>
        </w:tc>
      </w:tr>
      <w:tr w:rsidR="00EF08F3" w:rsidRPr="009A7FCA" w14:paraId="692B2591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F18C52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Clinical findings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A0FA75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6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B53E15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Describe significant physical examination and important clinical findings.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1B94E7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6, lines 109–120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2C43A1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0C6FDF66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4D20B7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Timeline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ECDBAF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7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B47BD4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Important dates and times in the case, preferably as a table or figure.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FF30C7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5, lines 107–108; p. 18, lines 362–364 and Table 1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FF4E68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3F31FCD0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DA0A05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 xml:space="preserve">Diagnostic </w:t>
            </w:r>
            <w:r w:rsidRPr="009A7FCA">
              <w:rPr>
                <w:sz w:val="22"/>
              </w:rPr>
              <w:lastRenderedPageBreak/>
              <w:t>assessment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BF43F9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lastRenderedPageBreak/>
              <w:t>8a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9F7F5A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 xml:space="preserve">Diagnostic methods, including physical examination, </w:t>
            </w:r>
            <w:r w:rsidRPr="009A7FCA">
              <w:rPr>
                <w:sz w:val="22"/>
              </w:rPr>
              <w:lastRenderedPageBreak/>
              <w:t>laboratory testing, imaging, questionnaires, and diagnostic challenges.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E555A6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lastRenderedPageBreak/>
              <w:t xml:space="preserve">p. 6, lines 121–131; p. 7, lines </w:t>
            </w:r>
            <w:r w:rsidRPr="009A7FCA">
              <w:rPr>
                <w:sz w:val="22"/>
              </w:rPr>
              <w:lastRenderedPageBreak/>
              <w:t>132–152; p. 8, lines 166–171; p. 19–22, lines 365–393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136C63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lastRenderedPageBreak/>
              <w:t>Reported.</w:t>
            </w:r>
          </w:p>
        </w:tc>
      </w:tr>
      <w:tr w:rsidR="00EF08F3" w:rsidRPr="009A7FCA" w14:paraId="4C1BF8A4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BC924C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Diagnostic assessment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456C8B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8b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61B895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Diagnostic challenges such as access, financial, or cultural issues.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F30CC9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11, lines 228–239; p. 12, lines 240–256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3E60FF" w14:textId="2BC6881E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4B71BEC2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1E9BE5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Diagnostic assessment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4F84BE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8c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A46415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Diagnostic reasoning, including differential diagnoses considered.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A06B99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7, lines 135–139; p. 8, lines 153–156; p. 11, lines 222–238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4C8AB3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04ED3AB9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AFE820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Diagnostic assessment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68F0B0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8d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E65A57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Prognostic characteristics when applicable, such as staging.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24A39C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8, lines 166–171; p. 12, lines 240–247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A54FA4" w14:textId="401DEA98" w:rsidR="00EF08F3" w:rsidRPr="009A7FCA" w:rsidRDefault="009A7FCA">
            <w:pPr>
              <w:rPr>
                <w:sz w:val="22"/>
              </w:rPr>
            </w:pPr>
            <w:r w:rsidRPr="009A7FCA">
              <w:rPr>
                <w:sz w:val="22"/>
              </w:rPr>
              <w:t>R</w:t>
            </w:r>
            <w:r w:rsidR="00000000" w:rsidRPr="009A7FCA">
              <w:rPr>
                <w:sz w:val="22"/>
              </w:rPr>
              <w:t>eported.</w:t>
            </w:r>
          </w:p>
        </w:tc>
      </w:tr>
      <w:tr w:rsidR="00EF08F3" w:rsidRPr="009A7FCA" w14:paraId="3F291ECC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F26D4D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Therapeutic intervention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57EF40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9a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8240A4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Types of therapeutic intervention, such as pharmacologic, surgical, preventive, or self-care.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F6BDF9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8, lines 157–165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E2F6F7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02FA3E32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8F5360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Therapeutic intervention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7E467E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9b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632797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Administration of therapeutic intervention, including dose, strength, duration, and frequency.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F2A133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8, lines 157–164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1EF719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0B137BC1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30BBE9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Therapeutic intervention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A5B8E1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9c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B27B68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Changes in therapeutic intervention, with explanations.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3545A8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Not specifically reported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BE280F" w14:textId="67DA5C70" w:rsidR="00EF08F3" w:rsidRPr="009A7FCA" w:rsidRDefault="009A7FCA">
            <w:pPr>
              <w:rPr>
                <w:sz w:val="22"/>
              </w:rPr>
            </w:pPr>
            <w:r w:rsidRPr="009A7FCA">
              <w:rPr>
                <w:sz w:val="22"/>
              </w:rPr>
              <w:t>N</w:t>
            </w:r>
            <w:r w:rsidR="00000000" w:rsidRPr="009A7FCA">
              <w:rPr>
                <w:sz w:val="22"/>
              </w:rPr>
              <w:t>ot applicable.</w:t>
            </w:r>
          </w:p>
        </w:tc>
      </w:tr>
      <w:tr w:rsidR="00EF08F3" w:rsidRPr="009A7FCA" w14:paraId="05E644FC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7F465A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Follow-up and outcomes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BA96C0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10a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363C75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Clinician- and patient-assessed outcomes, when appropriate.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BA4652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8, lines 164–165; p. 8–9, lines 173–176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288E42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4C3FB95A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F12434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Follow-up and outcomes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06C29E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10b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651E9C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Important follow-up diagnostic and other test results.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542022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8, lines 166–171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61B3E8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69975BE2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B68517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Follow-up and outcomes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1CA390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10c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BBADD9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Intervention adherence and tolerability.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090BD7" w14:textId="544BF788" w:rsidR="00EF08F3" w:rsidRPr="009A7FCA" w:rsidRDefault="009A7FCA">
            <w:pPr>
              <w:rPr>
                <w:sz w:val="22"/>
              </w:rPr>
            </w:pPr>
            <w:r w:rsidRPr="009A7FCA">
              <w:rPr>
                <w:sz w:val="22"/>
              </w:rPr>
              <w:t>p. 8, lines 166–171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17FED1" w14:textId="341E38EA" w:rsidR="00EF08F3" w:rsidRPr="009A7FCA" w:rsidRDefault="009A7FCA">
            <w:pPr>
              <w:rPr>
                <w:sz w:val="22"/>
              </w:rPr>
            </w:pPr>
            <w:r w:rsidRPr="009A7FCA">
              <w:rPr>
                <w:sz w:val="22"/>
              </w:rPr>
              <w:t>Reported</w:t>
            </w:r>
          </w:p>
        </w:tc>
      </w:tr>
      <w:tr w:rsidR="00EF08F3" w:rsidRPr="009A7FCA" w14:paraId="60C7F160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ACE3A3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Follow-up and outcomes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A5CBB0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10d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84194B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Adverse and unanticipated events.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CB43EA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Not specifically reported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F9308A" w14:textId="68EAC6C9" w:rsidR="00EF08F3" w:rsidRPr="009A7FCA" w:rsidRDefault="009A7FCA">
            <w:pPr>
              <w:rPr>
                <w:sz w:val="22"/>
              </w:rPr>
            </w:pPr>
            <w:r w:rsidRPr="009A7FCA">
              <w:rPr>
                <w:sz w:val="22"/>
              </w:rPr>
              <w:t>No adverse events.</w:t>
            </w:r>
          </w:p>
        </w:tc>
      </w:tr>
      <w:tr w:rsidR="00EF08F3" w:rsidRPr="009A7FCA" w14:paraId="7BA23C0F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83E882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Discussion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7BADFF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11a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CF09B1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Strengths and limitations of the approach to the case.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B3C775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12, lines 248–256; p. 12–13, lines 258–263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F7AC85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7F54CE34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E7122C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Discussion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B0EC3D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11b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63BA3A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Discussion of the relevant medical literature.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EC0349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9, lines 178–194; p. 10, lines 197–203; p. 11–12, lines 240–247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46D48B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4726F695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77AEE0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Discussion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7CCFAB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11c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37BC8C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Rationale for conclusions, including assessment of possible causes.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491024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10, lines 209–216; p. 11, lines 217–239; p. 12, lines 248–256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FD0148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33A7FBAE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CE7A49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Discussion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361949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11d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74EC66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Main take-away lessons from the case report.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9DC797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13, lines 264–273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FED115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4BF38522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6F0F29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lastRenderedPageBreak/>
              <w:t>Patient perspective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A586A4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12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2B06E4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The patient should share his or her perspective or experience when possible.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B40CFB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8–9, lines 173–176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62BCD8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  <w:tr w:rsidR="00EF08F3" w:rsidRPr="009A7FCA" w14:paraId="6D102579" w14:textId="77777777">
        <w:trPr>
          <w:jc w:val="center"/>
        </w:trPr>
        <w:tc>
          <w:tcPr>
            <w:tcW w:w="17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473AF3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Informed consent</w:t>
            </w:r>
          </w:p>
        </w:tc>
        <w:tc>
          <w:tcPr>
            <w:tcW w:w="64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AD4EB3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13</w:t>
            </w:r>
          </w:p>
        </w:tc>
        <w:tc>
          <w:tcPr>
            <w:tcW w:w="532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B0FB5F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The patient gave informed consent; provide the consent form to the journal if requested.</w:t>
            </w:r>
          </w:p>
        </w:tc>
        <w:tc>
          <w:tcPr>
            <w:tcW w:w="324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A85D40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p. 14, lines 298–301</w:t>
            </w:r>
          </w:p>
        </w:tc>
        <w:tc>
          <w:tcPr>
            <w:tcW w:w="446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0E5644" w14:textId="77777777" w:rsidR="00EF08F3" w:rsidRPr="009A7FCA" w:rsidRDefault="00000000">
            <w:pPr>
              <w:rPr>
                <w:sz w:val="22"/>
              </w:rPr>
            </w:pPr>
            <w:r w:rsidRPr="009A7FCA">
              <w:rPr>
                <w:sz w:val="22"/>
              </w:rPr>
              <w:t>Reported.</w:t>
            </w:r>
          </w:p>
        </w:tc>
      </w:tr>
    </w:tbl>
    <w:p w14:paraId="1F7A8AB2" w14:textId="11D9073B" w:rsidR="00EF08F3" w:rsidRPr="009A7FCA" w:rsidRDefault="00EF08F3">
      <w:pPr>
        <w:rPr>
          <w:sz w:val="22"/>
        </w:rPr>
      </w:pPr>
    </w:p>
    <w:sectPr w:rsidR="00EF08F3" w:rsidRPr="009A7FCA" w:rsidSect="009A7FCA">
      <w:pgSz w:w="16834" w:h="11909" w:orient="landscape" w:code="9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3594273">
    <w:abstractNumId w:val="8"/>
  </w:num>
  <w:num w:numId="2" w16cid:durableId="2059545638">
    <w:abstractNumId w:val="6"/>
  </w:num>
  <w:num w:numId="3" w16cid:durableId="90049204">
    <w:abstractNumId w:val="5"/>
  </w:num>
  <w:num w:numId="4" w16cid:durableId="1009210623">
    <w:abstractNumId w:val="4"/>
  </w:num>
  <w:num w:numId="5" w16cid:durableId="912935356">
    <w:abstractNumId w:val="7"/>
  </w:num>
  <w:num w:numId="6" w16cid:durableId="1457989703">
    <w:abstractNumId w:val="3"/>
  </w:num>
  <w:num w:numId="7" w16cid:durableId="1580208423">
    <w:abstractNumId w:val="2"/>
  </w:num>
  <w:num w:numId="8" w16cid:durableId="822695186">
    <w:abstractNumId w:val="1"/>
  </w:num>
  <w:num w:numId="9" w16cid:durableId="109998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336BA"/>
    <w:rsid w:val="009A7FCA"/>
    <w:rsid w:val="00AA1D8D"/>
    <w:rsid w:val="00B47730"/>
    <w:rsid w:val="00CB0664"/>
    <w:rsid w:val="00EF08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D581F5"/>
  <w14:defaultImageDpi w14:val="300"/>
  <w15:docId w15:val="{802D1756-836E-4D08-A667-761C197B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Parackrama Karunathilake</cp:lastModifiedBy>
  <cp:revision>2</cp:revision>
  <dcterms:created xsi:type="dcterms:W3CDTF">2013-12-23T23:15:00Z</dcterms:created>
  <dcterms:modified xsi:type="dcterms:W3CDTF">2026-06-20T07:10:00Z</dcterms:modified>
  <cp:category/>
</cp:coreProperties>
</file>