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jc w:val="center"/>
        <w:rPr>
          <w:rFonts w:ascii="Times New Roman" w:hAnsi="Times New Roman" w:eastAsia="Times New Roman" w:cs="Times New Roman"/>
          <w:sz w:val="24"/>
          <w:szCs w:val="24"/>
        </w:rPr>
      </w:pPr>
    </w:p>
    <w:p w14:paraId="00000002">
      <w:pPr>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 xml:space="preserve">Citation </w:t>
      </w:r>
    </w:p>
    <w:p w14:paraId="00000003">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Dr.Mahdia Babak, Dr.Savera khan, </w:t>
      </w:r>
      <w:r>
        <w:rPr>
          <w:rFonts w:ascii="Times New Roman" w:hAnsi="Times New Roman" w:eastAsia="Times New Roman" w:cs="Times New Roman"/>
          <w:sz w:val="24"/>
          <w:szCs w:val="24"/>
          <w:rtl w:val="0"/>
        </w:rPr>
        <w:t xml:space="preserve">Tolulope Joseph Ogunniy, </w:t>
      </w:r>
      <w:r>
        <w:rPr>
          <w:rFonts w:ascii="Times New Roman" w:hAnsi="Times New Roman" w:eastAsia="Times New Roman" w:cs="Times New Roman"/>
          <w:color w:val="000000"/>
          <w:sz w:val="24"/>
          <w:szCs w:val="24"/>
          <w:rtl w:val="0"/>
        </w:rPr>
        <w:t xml:space="preserve">Dr.Muhammad Haris . Endocrine Dysfunction in Kearns-Sayre Syndrome: A Systematic Review Protocol. PROSPERO 2025 CRD420241077564. Available from: </w:t>
      </w:r>
    </w:p>
    <w:p w14:paraId="00000004">
      <w:pPr>
        <w:jc w:val="both"/>
        <w:rPr>
          <w:rFonts w:ascii="Times New Roman" w:hAnsi="Times New Roman" w:eastAsia="Times New Roman" w:cs="Times New Roman"/>
          <w:color w:val="0000FF"/>
          <w:sz w:val="24"/>
          <w:szCs w:val="24"/>
        </w:rPr>
      </w:pPr>
      <w:r>
        <w:fldChar w:fldCharType="begin"/>
      </w:r>
      <w:r>
        <w:instrText xml:space="preserve"> HYPERLINK "https://www.crd.york.ac.uk/prospero/display_record.php?ID=CRD420241077564" \h </w:instrText>
      </w:r>
      <w:r>
        <w:fldChar w:fldCharType="separate"/>
      </w:r>
      <w:r>
        <w:rPr>
          <w:rFonts w:ascii="Times New Roman" w:hAnsi="Times New Roman" w:eastAsia="Times New Roman" w:cs="Times New Roman"/>
          <w:color w:val="0000FF"/>
          <w:sz w:val="24"/>
          <w:szCs w:val="24"/>
          <w:u w:val="single"/>
          <w:rtl w:val="0"/>
        </w:rPr>
        <w:t>https://www.crd.york.ac.uk/prospero/display_record.php?ID=CRD420241077564</w:t>
      </w:r>
      <w:r>
        <w:rPr>
          <w:rFonts w:ascii="Times New Roman" w:hAnsi="Times New Roman" w:eastAsia="Times New Roman" w:cs="Times New Roman"/>
          <w:color w:val="0000FF"/>
          <w:sz w:val="24"/>
          <w:szCs w:val="24"/>
          <w:u w:val="single"/>
          <w:rtl w:val="0"/>
        </w:rPr>
        <w:fldChar w:fldCharType="end"/>
      </w:r>
    </w:p>
    <w:p w14:paraId="00000005">
      <w:pPr>
        <w:jc w:val="both"/>
        <w:rPr>
          <w:rFonts w:ascii="Times New Roman" w:hAnsi="Times New Roman" w:eastAsia="Times New Roman" w:cs="Times New Roman"/>
          <w:color w:val="0000FF"/>
          <w:sz w:val="24"/>
          <w:szCs w:val="24"/>
        </w:rPr>
      </w:pPr>
    </w:p>
    <w:p w14:paraId="00000006">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Title</w:t>
      </w:r>
    </w:p>
    <w:p w14:paraId="00000007">
      <w:pPr>
        <w:jc w:val="both"/>
        <w:rPr>
          <w:rFonts w:ascii="Times New Roman" w:hAnsi="Times New Roman" w:eastAsia="Times New Roman" w:cs="Times New Roman"/>
          <w:b/>
          <w:color w:val="0000FF"/>
          <w:sz w:val="24"/>
          <w:szCs w:val="24"/>
        </w:rPr>
      </w:pPr>
      <w:r>
        <w:rPr>
          <w:rFonts w:ascii="Times New Roman" w:hAnsi="Times New Roman" w:eastAsia="Times New Roman" w:cs="Times New Roman"/>
          <w:sz w:val="24"/>
          <w:szCs w:val="24"/>
          <w:rtl w:val="0"/>
        </w:rPr>
        <w:t>Endocrine Manifestations of Kearns–Sayre Syndrome: A Systematic Review of Case Reports on Clinical Features, Diagnostic Approaches, Management Strategies, and Challenges.</w:t>
      </w:r>
    </w:p>
    <w:p w14:paraId="00000008">
      <w:pPr>
        <w:jc w:val="both"/>
        <w:rPr>
          <w:rFonts w:ascii="Times New Roman" w:hAnsi="Times New Roman" w:eastAsia="Times New Roman" w:cs="Times New Roman"/>
          <w:sz w:val="24"/>
          <w:szCs w:val="24"/>
        </w:rPr>
      </w:pPr>
    </w:p>
    <w:p w14:paraId="00000009">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 xml:space="preserve">Introduction </w:t>
      </w:r>
    </w:p>
    <w:p w14:paraId="0000000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Kearns-Sayre Syndrome (KSS) is a rare mitochondrial disorder primarily characterized by progressive ophthalmoplegia, retinal degeneration, heart block, and a variety of systemic manifestations, including endocrine abnormalities. The disease is caused by large deletions in mitochondrial DNA, leading to dysfunction in cellular energy production, especially in tissues with high energy demands, such as the muscles and the heart. The syndrome typically presents in childhood or adolescence, with symptoms progressing slowly over time (Hirano &amp;DiMauro, 2001)</w:t>
      </w:r>
    </w:p>
    <w:p w14:paraId="0000000B">
      <w:pPr>
        <w:jc w:val="both"/>
        <w:rPr>
          <w:rFonts w:ascii="Times New Roman" w:hAnsi="Times New Roman" w:eastAsia="Times New Roman" w:cs="Times New Roman"/>
          <w:sz w:val="24"/>
          <w:szCs w:val="24"/>
        </w:rPr>
      </w:pPr>
    </w:p>
    <w:p w14:paraId="0000000C">
      <w:pPr>
        <w:spacing w:before="240"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As KSS is a multisystem disorder, endocrine abnormalities are frequently reported in Kearns-Sayre Syndrome, such as hypothyroidism, diabetes mellitus, hypogonadism, and growth hormone deficiency (Boles et al., 2017; Koenig et al., 2021). Patients may also experience other systemic features, such as muscle weakness, hearing loss, and cognitive impairment (Moraes et al., 2004).These abnormalities can contribute substantially to morbidity, complicating the clinical course and requiring multidisciplinary care.</w:t>
      </w:r>
    </w:p>
    <w:p w14:paraId="0000000D">
      <w:pPr>
        <w:spacing w:before="240"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Most available evidence on endocrine manifestations in KSS derives from individual case reports and small case series, given the rarity of the syndrome. Among its systemic manifestations, endocrine dysfunction is increasingly recognized but remains under-characterized. Reported abnormalities include diabetes mellitus, hypothyroidism, hypoparathyroidism, hypogonadism, growth hormone deficiency, adrenal suppression (Boles et al., 2017; Koenig et al., 2021). There has been reported clinical heterogeneity of endocrine dysfunction, as well as variability in diagnostic approaches and treatment strategies applied (Moraes et al., 2004; Lynch et al., 2018). While certain associations—such as the frequent co-occurrence of diabetes mellitus and hypogonadism—have been described, the prevalence, natural history, and long-term outcomes of these endocrine complications remain poorly defined (López-Gallardo et al., 2015).</w:t>
      </w:r>
    </w:p>
    <w:p w14:paraId="0000000E">
      <w:pPr>
        <w:jc w:val="both"/>
        <w:rPr>
          <w:rFonts w:ascii="Times New Roman" w:hAnsi="Times New Roman" w:eastAsia="Times New Roman" w:cs="Times New Roman"/>
          <w:sz w:val="24"/>
          <w:szCs w:val="24"/>
          <w:highlight w:val="yellow"/>
        </w:rPr>
      </w:pPr>
    </w:p>
    <w:p w14:paraId="0000000F">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 xml:space="preserve">Rationale </w:t>
      </w:r>
    </w:p>
    <w:p w14:paraId="00000010">
      <w:pPr>
        <w:spacing w:before="240"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Although the spectrum of endocrine dysfunction in KSS is recognized, systematic evaluation of the available case-based evidence is lacking. Case reports offer valuable insights into rare and heterogeneous disorders such as KSS, particularly regarding diagnostic challenges, variability in clinical presentation, and individualized management strategies (Boles et al., 2017; Koenig et al., 2021).  A focused synthesis of these reports can clarify the range of endocrine manifestations, identify patterns in diagnostic workup and treatment approaches, and highlight gaps in current knowledge.</w:t>
      </w:r>
    </w:p>
    <w:p w14:paraId="00000011">
      <w:pPr>
        <w:spacing w:before="240"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This review aims to comprehensively analyze published case reports of KSS with endocrine involvement, with particular attention to clinical features, diagnostic strategies, therapeutic interventions, and challenges in management. The findings will inform clinicians about potential endocrine complications, support earlier recognition and tailored interventions, and identify priorities for future research in this rare mitochondrial disorder.</w:t>
      </w:r>
    </w:p>
    <w:p w14:paraId="00000012">
      <w:pPr>
        <w:jc w:val="both"/>
        <w:rPr>
          <w:rFonts w:ascii="Times New Roman" w:hAnsi="Times New Roman" w:eastAsia="Times New Roman" w:cs="Times New Roman"/>
          <w:sz w:val="24"/>
          <w:szCs w:val="24"/>
          <w:highlight w:val="yellow"/>
        </w:rPr>
      </w:pPr>
    </w:p>
    <w:p w14:paraId="00000013">
      <w:pPr>
        <w:jc w:val="both"/>
        <w:rPr>
          <w:rFonts w:ascii="Times New Roman" w:hAnsi="Times New Roman" w:eastAsia="Times New Roman" w:cs="Times New Roman"/>
          <w:b/>
          <w:color w:val="0000FF"/>
          <w:sz w:val="24"/>
          <w:szCs w:val="24"/>
          <w:highlight w:val="yellow"/>
        </w:rPr>
      </w:pPr>
    </w:p>
    <w:p w14:paraId="00000014">
      <w:pPr>
        <w:jc w:val="both"/>
        <w:rPr>
          <w:rFonts w:ascii="Times New Roman" w:hAnsi="Times New Roman" w:eastAsia="Times New Roman" w:cs="Times New Roman"/>
          <w:b/>
          <w:color w:val="4472C4"/>
          <w:sz w:val="24"/>
          <w:szCs w:val="24"/>
          <w:shd w:val="clear" w:fill="auto"/>
        </w:rPr>
      </w:pPr>
      <w:r>
        <w:rPr>
          <w:rFonts w:ascii="Times New Roman" w:hAnsi="Times New Roman" w:eastAsia="Times New Roman" w:cs="Times New Roman"/>
          <w:b/>
          <w:color w:val="4472C4"/>
          <w:sz w:val="24"/>
          <w:szCs w:val="24"/>
          <w:shd w:val="clear" w:fill="auto"/>
          <w:rtl w:val="0"/>
        </w:rPr>
        <w:t>Aim</w:t>
      </w:r>
    </w:p>
    <w:p w14:paraId="00000015">
      <w:pPr>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tl w:val="0"/>
        </w:rPr>
        <w:t>To provide a comprehensive synthesis of the endocrine manifestations of Kearns–Sayre Syndrome</w:t>
      </w:r>
    </w:p>
    <w:p w14:paraId="00000016">
      <w:pPr>
        <w:jc w:val="both"/>
        <w:rPr>
          <w:rFonts w:ascii="Times New Roman" w:hAnsi="Times New Roman" w:eastAsia="Times New Roman" w:cs="Times New Roman"/>
          <w:b/>
          <w:color w:val="0000FF"/>
          <w:sz w:val="24"/>
          <w:szCs w:val="24"/>
        </w:rPr>
      </w:pPr>
    </w:p>
    <w:p w14:paraId="00000017">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Objectives</w:t>
      </w:r>
    </w:p>
    <w:p w14:paraId="00000018">
      <w:pPr>
        <w:numPr>
          <w:ilvl w:val="0"/>
          <w:numId w:val="1"/>
        </w:numPr>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To identify reported endocrine manifestations in patients with Kearns–Sayre Syndrome.</w:t>
      </w:r>
      <w:r>
        <w:rPr>
          <w:rFonts w:ascii="Times New Roman" w:hAnsi="Times New Roman" w:eastAsia="Times New Roman" w:cs="Times New Roman"/>
          <w:sz w:val="24"/>
          <w:szCs w:val="24"/>
          <w:rtl w:val="0"/>
        </w:rPr>
        <w:br w:type="textWrapping"/>
      </w:r>
    </w:p>
    <w:p w14:paraId="00000019">
      <w:pPr>
        <w:numPr>
          <w:ilvl w:val="0"/>
          <w:numId w:val="1"/>
        </w:numPr>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To assess the strategies and challenges to the diagnosis of Kearns-Sayre Syndrome.</w:t>
      </w:r>
      <w:r>
        <w:rPr>
          <w:rFonts w:ascii="Times New Roman" w:hAnsi="Times New Roman" w:eastAsia="Times New Roman" w:cs="Times New Roman"/>
          <w:sz w:val="24"/>
          <w:szCs w:val="24"/>
          <w:rtl w:val="0"/>
        </w:rPr>
        <w:br w:type="textWrapping"/>
      </w:r>
    </w:p>
    <w:p w14:paraId="0000001A">
      <w:pPr>
        <w:numPr>
          <w:ilvl w:val="0"/>
          <w:numId w:val="1"/>
        </w:numPr>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To evaluate management and treatment strategies and challenges applied to endocrine complications in Kearns–Sayre Syndrome.</w:t>
      </w:r>
      <w:r>
        <w:rPr>
          <w:rFonts w:ascii="Times New Roman" w:hAnsi="Times New Roman" w:eastAsia="Times New Roman" w:cs="Times New Roman"/>
          <w:sz w:val="24"/>
          <w:szCs w:val="24"/>
          <w:rtl w:val="0"/>
        </w:rPr>
        <w:br w:type="textWrapping"/>
      </w:r>
    </w:p>
    <w:p w14:paraId="0000001B">
      <w:pPr>
        <w:jc w:val="both"/>
        <w:rPr>
          <w:rFonts w:ascii="Times New Roman" w:hAnsi="Times New Roman" w:eastAsia="Times New Roman" w:cs="Times New Roman"/>
          <w:color w:val="4472C4"/>
          <w:sz w:val="24"/>
          <w:szCs w:val="24"/>
        </w:rPr>
      </w:pPr>
      <w:r>
        <w:rPr>
          <w:rFonts w:ascii="Times New Roman" w:hAnsi="Times New Roman" w:eastAsia="Times New Roman" w:cs="Times New Roman"/>
          <w:b/>
          <w:color w:val="4472C4"/>
          <w:sz w:val="24"/>
          <w:szCs w:val="24"/>
          <w:rtl w:val="0"/>
        </w:rPr>
        <w:t xml:space="preserve">Research Questions </w:t>
      </w:r>
    </w:p>
    <w:p w14:paraId="0000001C">
      <w:pPr>
        <w:jc w:val="both"/>
        <w:rPr>
          <w:rFonts w:ascii="Times New Roman" w:hAnsi="Times New Roman" w:eastAsia="Times New Roman" w:cs="Times New Roman"/>
          <w:sz w:val="24"/>
          <w:szCs w:val="24"/>
        </w:rPr>
      </w:pPr>
    </w:p>
    <w:p w14:paraId="0000001D">
      <w:pPr>
        <w:numPr>
          <w:ilvl w:val="0"/>
          <w:numId w:val="2"/>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What endocrine manifestations have been reported in patients with Kearns–Sayre   Syndrome ?</w:t>
      </w:r>
      <w:r>
        <w:rPr>
          <w:rFonts w:ascii="Times New Roman" w:hAnsi="Times New Roman" w:eastAsia="Times New Roman" w:cs="Times New Roman"/>
          <w:sz w:val="24"/>
          <w:szCs w:val="24"/>
          <w:rtl w:val="0"/>
        </w:rPr>
        <w:br w:type="textWrapping"/>
      </w:r>
    </w:p>
    <w:p w14:paraId="0000001E">
      <w:pPr>
        <w:numPr>
          <w:ilvl w:val="0"/>
          <w:numId w:val="2"/>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What diagnostic strategies have been described for Kearns–Sayre Syndrome, and what challenges have been reported in identifying endocrine involvement?</w:t>
      </w:r>
      <w:r>
        <w:rPr>
          <w:rFonts w:ascii="Times New Roman" w:hAnsi="Times New Roman" w:eastAsia="Times New Roman" w:cs="Times New Roman"/>
          <w:sz w:val="24"/>
          <w:szCs w:val="24"/>
          <w:rtl w:val="0"/>
        </w:rPr>
        <w:br w:type="textWrapping"/>
      </w:r>
    </w:p>
    <w:p w14:paraId="0000001F">
      <w:pPr>
        <w:numPr>
          <w:ilvl w:val="0"/>
          <w:numId w:val="2"/>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What management and treatment approaches have been applied to endocrine complications in Kearns–Sayre Syndrome, and what challenges are encountered in their implementation?</w:t>
      </w:r>
    </w:p>
    <w:p w14:paraId="00000020">
      <w:pPr>
        <w:jc w:val="both"/>
        <w:rPr>
          <w:rFonts w:ascii="Times New Roman" w:hAnsi="Times New Roman" w:eastAsia="Times New Roman" w:cs="Times New Roman"/>
          <w:sz w:val="24"/>
          <w:szCs w:val="24"/>
        </w:rPr>
      </w:pPr>
    </w:p>
    <w:p w14:paraId="00000021">
      <w:pPr>
        <w:jc w:val="both"/>
        <w:rPr>
          <w:rFonts w:ascii="Times New Roman" w:hAnsi="Times New Roman" w:eastAsia="Times New Roman" w:cs="Times New Roman"/>
          <w:sz w:val="24"/>
          <w:szCs w:val="24"/>
        </w:rPr>
      </w:pPr>
    </w:p>
    <w:p w14:paraId="00000022">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 xml:space="preserve"> Methods</w:t>
      </w:r>
    </w:p>
    <w:p w14:paraId="00000023">
      <w:pPr>
        <w:jc w:val="both"/>
        <w:rPr>
          <w:rFonts w:ascii="Times New Roman" w:hAnsi="Times New Roman" w:eastAsia="Times New Roman" w:cs="Times New Roman"/>
          <w:b/>
          <w:color w:val="0000FF"/>
          <w:sz w:val="24"/>
          <w:szCs w:val="24"/>
        </w:rPr>
      </w:pPr>
    </w:p>
    <w:p w14:paraId="00000024">
      <w:pPr>
        <w:rPr>
          <w:rFonts w:ascii="Times New Roman" w:hAnsi="Times New Roman" w:eastAsia="Times New Roman" w:cs="Times New Roman"/>
          <w:color w:val="538135"/>
          <w:sz w:val="24"/>
          <w:szCs w:val="24"/>
        </w:rPr>
      </w:pPr>
      <w:r>
        <w:rPr>
          <w:rFonts w:ascii="Times New Roman" w:hAnsi="Times New Roman" w:eastAsia="Times New Roman" w:cs="Times New Roman"/>
          <w:color w:val="538135"/>
          <w:sz w:val="24"/>
          <w:szCs w:val="24"/>
          <w:rtl w:val="0"/>
        </w:rPr>
        <w:t>Condition or Domain Being Studied</w:t>
      </w:r>
    </w:p>
    <w:p w14:paraId="000000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This study shall be conducted in accordance with the guidelines of the </w:t>
      </w:r>
      <w:r>
        <w:rPr>
          <w:rFonts w:ascii="Times New Roman" w:hAnsi="Times New Roman" w:eastAsia="Times New Roman" w:cs="Times New Roman"/>
          <w:b/>
          <w:sz w:val="24"/>
          <w:szCs w:val="24"/>
          <w:rtl w:val="0"/>
        </w:rPr>
        <w:t>Preferred Reporting Items for Systematic Reviews and Meta-Analyses</w:t>
      </w:r>
      <w:r>
        <w:rPr>
          <w:rFonts w:ascii="Times New Roman" w:hAnsi="Times New Roman" w:eastAsia="Times New Roman" w:cs="Times New Roman"/>
          <w:sz w:val="24"/>
          <w:szCs w:val="24"/>
          <w:rtl w:val="0"/>
        </w:rPr>
        <w:t xml:space="preserve"> (PRISMA) (https://doi.org/10.7326/m18-0850). To identify the clinical spectrum, diagnostic pathways, and management approaches, we shall utilize the population, context, and concept (PCC) framework work for a systematic review of case report that aims to  (i)identify and synthesize the types of endocrine manifestations described in KSS, (ii) assess diagnostic strategies and challenges in recognizing endocrine involvement, and (iii) evaluate management approaches and treatment challenges for endocrine complications in KSS (Table 1)</w:t>
      </w:r>
    </w:p>
    <w:p w14:paraId="00000026">
      <w:pPr>
        <w:jc w:val="both"/>
        <w:rPr>
          <w:b/>
          <w:color w:val="4472C4"/>
          <w:sz w:val="24"/>
          <w:szCs w:val="24"/>
        </w:rPr>
      </w:pPr>
    </w:p>
    <w:p w14:paraId="00000027">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Outcome</w:t>
      </w:r>
    </w:p>
    <w:p w14:paraId="00000028">
      <w:pPr>
        <w:jc w:val="both"/>
        <w:rPr>
          <w:b/>
          <w:color w:val="4472C4"/>
          <w:sz w:val="28"/>
          <w:szCs w:val="28"/>
        </w:rPr>
      </w:pPr>
    </w:p>
    <w:p w14:paraId="00000029">
      <w:pPr>
        <w:jc w:val="both"/>
        <w:rPr>
          <w:rFonts w:ascii="Times New Roman" w:hAnsi="Times New Roman" w:eastAsia="Times New Roman" w:cs="Times New Roman"/>
          <w:color w:val="0000FF"/>
          <w:sz w:val="26"/>
          <w:szCs w:val="26"/>
        </w:rPr>
      </w:pPr>
      <w:r>
        <w:rPr>
          <w:rFonts w:ascii="Times New Roman" w:hAnsi="Times New Roman" w:eastAsia="Times New Roman" w:cs="Times New Roman"/>
          <w:color w:val="0D7F25"/>
          <w:sz w:val="24"/>
          <w:szCs w:val="24"/>
          <w:rtl w:val="0"/>
        </w:rPr>
        <w:t>Main outcome(s)</w:t>
      </w:r>
    </w:p>
    <w:p w14:paraId="0000002A">
      <w:pPr>
        <w:numPr>
          <w:ilvl w:val="0"/>
          <w:numId w:val="3"/>
        </w:numPr>
        <w:spacing w:before="24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Types of endocrine glands affected (diabetes mellitus, hypothyroidism, hypoparathyroidism, hypogonadism, growth hormone deficiency, adrenal insufficiency, other reported endocrinopathies)</w:t>
      </w:r>
      <w:r>
        <w:rPr>
          <w:rFonts w:ascii="Times New Roman" w:hAnsi="Times New Roman" w:eastAsia="Times New Roman" w:cs="Times New Roman"/>
          <w:sz w:val="24"/>
          <w:szCs w:val="24"/>
          <w:rtl w:val="0"/>
        </w:rPr>
        <w:br w:type="textWrapping"/>
      </w:r>
    </w:p>
    <w:p w14:paraId="0000002B">
      <w:pPr>
        <w:numPr>
          <w:ilvl w:val="0"/>
          <w:numId w:val="3"/>
        </w:numPr>
        <w:spacing w:before="0" w:beforeAutospacing="0" w:after="240"/>
        <w:ind w:left="72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Associated clinical manifestations (delayed puberty, growth failure, metabolic disturbances such as impaired glucose tolerance, dyslipidemia, adrenal crisis, hypocalcemia, obesity)</w:t>
      </w:r>
      <w:r>
        <w:rPr>
          <w:b/>
          <w:color w:val="0000FF"/>
          <w:sz w:val="24"/>
          <w:szCs w:val="24"/>
          <w:rtl w:val="0"/>
        </w:rPr>
        <w:br w:type="textWrapping"/>
      </w:r>
    </w:p>
    <w:p w14:paraId="0000002C">
      <w:pPr>
        <w:rPr>
          <w:rFonts w:ascii="Times New Roman" w:hAnsi="Times New Roman" w:eastAsia="Times New Roman" w:cs="Times New Roman"/>
          <w:color w:val="0000FF"/>
          <w:sz w:val="26"/>
          <w:szCs w:val="26"/>
        </w:rPr>
      </w:pPr>
      <w:r>
        <w:rPr>
          <w:rFonts w:ascii="Times New Roman" w:hAnsi="Times New Roman" w:eastAsia="Times New Roman" w:cs="Times New Roman"/>
          <w:color w:val="0D7F25"/>
          <w:sz w:val="24"/>
          <w:szCs w:val="24"/>
          <w:rtl w:val="0"/>
        </w:rPr>
        <w:t>Additional outcome(s)</w:t>
      </w:r>
    </w:p>
    <w:p w14:paraId="0000002D">
      <w:pPr>
        <w:numPr>
          <w:ilvl w:val="0"/>
          <w:numId w:val="4"/>
        </w:numPr>
        <w:spacing w:before="24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Age of onset of endocrine dysfunction</w:t>
      </w:r>
      <w:r>
        <w:rPr>
          <w:rFonts w:ascii="Times New Roman" w:hAnsi="Times New Roman" w:eastAsia="Times New Roman" w:cs="Times New Roman"/>
          <w:sz w:val="24"/>
          <w:szCs w:val="24"/>
          <w:rtl w:val="0"/>
        </w:rPr>
        <w:br w:type="textWrapping"/>
      </w:r>
    </w:p>
    <w:p w14:paraId="0000002E">
      <w:pPr>
        <w:numPr>
          <w:ilvl w:val="0"/>
          <w:numId w:val="4"/>
        </w:numPr>
        <w:spacing w:before="0" w:beforeAutospacing="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Symptom progression and variability in severity</w:t>
      </w:r>
      <w:r>
        <w:rPr>
          <w:rFonts w:ascii="Times New Roman" w:hAnsi="Times New Roman" w:eastAsia="Times New Roman" w:cs="Times New Roman"/>
          <w:sz w:val="24"/>
          <w:szCs w:val="24"/>
          <w:rtl w:val="0"/>
        </w:rPr>
        <w:br w:type="textWrapping"/>
      </w:r>
    </w:p>
    <w:p w14:paraId="0000002F">
      <w:pPr>
        <w:numPr>
          <w:ilvl w:val="0"/>
          <w:numId w:val="4"/>
        </w:numPr>
        <w:spacing w:before="0" w:beforeAutospacing="0" w:after="240"/>
        <w:ind w:left="72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Diagnostic approaches (laboratory tests, genetic testing, imaging, dynamic function tests) and diagnostic challenges</w:t>
      </w:r>
    </w:p>
    <w:p w14:paraId="00000030">
      <w:pPr>
        <w:jc w:val="both"/>
        <w:rPr>
          <w:b/>
          <w:color w:val="0000FF"/>
          <w:sz w:val="24"/>
          <w:szCs w:val="24"/>
          <w:highlight w:val="yellow"/>
        </w:rPr>
      </w:pPr>
      <w:r>
        <w:rPr>
          <w:b/>
          <w:color w:val="0000FF"/>
          <w:sz w:val="24"/>
          <w:szCs w:val="24"/>
          <w:highlight w:val="yellow"/>
          <w:rtl w:val="0"/>
        </w:rPr>
        <w:t xml:space="preserve"> </w:t>
      </w:r>
    </w:p>
    <w:p w14:paraId="000000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sz w:val="24"/>
          <w:szCs w:val="24"/>
          <w:highlight w:val="yellow"/>
        </w:rPr>
      </w:pPr>
    </w:p>
    <w:p w14:paraId="00000032">
      <w:pPr>
        <w:spacing w:before="240" w:after="16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Table 1: PCC - Framework</w:t>
      </w:r>
    </w:p>
    <w:tbl>
      <w:tblPr>
        <w:tblStyle w:val="14"/>
        <w:tblW w:w="8459"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100" w:type="dxa"/>
          <w:left w:w="100" w:type="dxa"/>
          <w:bottom w:w="100" w:type="dxa"/>
          <w:right w:w="100" w:type="dxa"/>
        </w:tblCellMar>
      </w:tblPr>
      <w:tblGrid>
        <w:gridCol w:w="3383"/>
        <w:gridCol w:w="5075"/>
      </w:tblGrid>
      <w:tr w14:paraId="524DE8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540" w:hRule="atLeast"/>
        </w:trPr>
        <w:tc>
          <w:tcPr>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vAlign w:val="top"/>
          </w:tcPr>
          <w:p w14:paraId="00000033">
            <w:pPr>
              <w:spacing w:before="240" w:after="160" w:line="360" w:lineRule="auto"/>
              <w:ind w:left="120" w:firstLine="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Element</w:t>
            </w:r>
          </w:p>
        </w:tc>
        <w:tc>
          <w:tcPr>
            <w:tcBorders>
              <w:top w:val="single" w:color="000000" w:sz="6" w:space="0"/>
              <w:left w:val="nil"/>
              <w:bottom w:val="single" w:color="000000" w:sz="6" w:space="0"/>
              <w:right w:val="single" w:color="000000" w:sz="6" w:space="0"/>
            </w:tcBorders>
            <w:tcMar>
              <w:top w:w="0" w:type="dxa"/>
              <w:left w:w="100" w:type="dxa"/>
              <w:bottom w:w="0" w:type="dxa"/>
              <w:right w:w="100" w:type="dxa"/>
            </w:tcMar>
            <w:vAlign w:val="top"/>
          </w:tcPr>
          <w:p w14:paraId="00000034">
            <w:pPr>
              <w:spacing w:before="240" w:after="160" w:line="360" w:lineRule="auto"/>
              <w:ind w:lef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Definition/components</w:t>
            </w:r>
          </w:p>
        </w:tc>
      </w:tr>
      <w:tr w14:paraId="6E4267C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1260" w:hRule="atLeast"/>
        </w:trPr>
        <w:tc>
          <w:tcPr>
            <w:tcBorders>
              <w:top w:val="nil"/>
              <w:left w:val="single" w:color="000000" w:sz="6" w:space="0"/>
              <w:bottom w:val="single" w:color="000000" w:sz="6" w:space="0"/>
              <w:right w:val="single" w:color="000000" w:sz="6" w:space="0"/>
            </w:tcBorders>
            <w:tcMar>
              <w:top w:w="0" w:type="dxa"/>
              <w:left w:w="100" w:type="dxa"/>
              <w:bottom w:w="0" w:type="dxa"/>
              <w:right w:w="100" w:type="dxa"/>
            </w:tcMar>
            <w:vAlign w:val="top"/>
          </w:tcPr>
          <w:p w14:paraId="00000035">
            <w:pPr>
              <w:spacing w:before="240" w:after="160" w:line="360" w:lineRule="auto"/>
              <w:ind w:left="120" w:firstLine="0"/>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Population/Participants</w:t>
            </w:r>
            <w:r>
              <w:rPr>
                <w:rFonts w:ascii="Times New Roman" w:hAnsi="Times New Roman" w:eastAsia="Times New Roman" w:cs="Times New Roman"/>
                <w:sz w:val="24"/>
                <w:szCs w:val="24"/>
                <w:rtl w:val="0"/>
              </w:rPr>
              <w:t>:</w:t>
            </w:r>
          </w:p>
        </w:tc>
        <w:tc>
          <w:tcPr>
            <w:tcBorders>
              <w:top w:val="nil"/>
              <w:left w:val="nil"/>
              <w:bottom w:val="single" w:color="000000" w:sz="6" w:space="0"/>
              <w:right w:val="single" w:color="000000" w:sz="6" w:space="0"/>
            </w:tcBorders>
            <w:tcMar>
              <w:top w:w="0" w:type="dxa"/>
              <w:left w:w="100" w:type="dxa"/>
              <w:bottom w:w="0" w:type="dxa"/>
              <w:right w:w="100" w:type="dxa"/>
            </w:tcMar>
            <w:vAlign w:val="top"/>
          </w:tcPr>
          <w:p w14:paraId="00000036">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Patients of any age and sex with a confirmed diagnosis of </w:t>
            </w:r>
            <w:r>
              <w:rPr>
                <w:rFonts w:ascii="Times New Roman" w:hAnsi="Times New Roman" w:eastAsia="Times New Roman" w:cs="Times New Roman"/>
                <w:b/>
                <w:sz w:val="24"/>
                <w:szCs w:val="24"/>
                <w:rtl w:val="0"/>
              </w:rPr>
              <w:t>Kearns–Sayre Syndrome either clinical or Genetic</w:t>
            </w:r>
          </w:p>
        </w:tc>
      </w:tr>
      <w:tr w14:paraId="00E0CA6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1620" w:hRule="atLeast"/>
        </w:trPr>
        <w:tc>
          <w:tcPr>
            <w:tcBorders>
              <w:top w:val="nil"/>
              <w:left w:val="single" w:color="000000" w:sz="6" w:space="0"/>
              <w:bottom w:val="single" w:color="000000" w:sz="6" w:space="0"/>
              <w:right w:val="single" w:color="000000" w:sz="6" w:space="0"/>
            </w:tcBorders>
            <w:tcMar>
              <w:top w:w="0" w:type="dxa"/>
              <w:left w:w="100" w:type="dxa"/>
              <w:bottom w:w="0" w:type="dxa"/>
              <w:right w:w="100" w:type="dxa"/>
            </w:tcMar>
            <w:vAlign w:val="top"/>
          </w:tcPr>
          <w:p w14:paraId="00000037">
            <w:pPr>
              <w:spacing w:before="240" w:after="160" w:line="360" w:lineRule="auto"/>
              <w:ind w:left="120" w:firstLine="0"/>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Concept</w:t>
            </w:r>
            <w:r>
              <w:rPr>
                <w:rFonts w:ascii="Times New Roman" w:hAnsi="Times New Roman" w:eastAsia="Times New Roman" w:cs="Times New Roman"/>
                <w:sz w:val="24"/>
                <w:szCs w:val="24"/>
                <w:rtl w:val="0"/>
              </w:rPr>
              <w:t>:</w:t>
            </w:r>
          </w:p>
        </w:tc>
        <w:tc>
          <w:tcPr>
            <w:tcBorders>
              <w:top w:val="nil"/>
              <w:left w:val="nil"/>
              <w:bottom w:val="single" w:color="000000" w:sz="6" w:space="0"/>
              <w:right w:val="single" w:color="000000" w:sz="6" w:space="0"/>
            </w:tcBorders>
            <w:tcMar>
              <w:top w:w="0" w:type="dxa"/>
              <w:left w:w="100" w:type="dxa"/>
              <w:bottom w:w="0" w:type="dxa"/>
              <w:right w:w="100" w:type="dxa"/>
            </w:tcMar>
            <w:vAlign w:val="top"/>
          </w:tcPr>
          <w:p w14:paraId="00000038">
            <w:pPr>
              <w:spacing w:before="240" w:after="160" w:line="360" w:lineRule="auto"/>
              <w:ind w:lef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Reported Endocrine manifestations including but not limited to (Diabetes mellitus, hypothyroidism, hypoparathyroidism, hypogonadism, growth hormone deficiency, adrenal insufficiency/adrenal suppression and other reported endocrine/metabolic features (e.g., dyslipidemia, obesity, impaired glucose tolerance, multiple endocrinopathies in the same patient), This also includes associated diagnostic approaches, management strategies, and challenges reported in the literature.</w:t>
            </w:r>
            <w:r>
              <w:rPr>
                <w:rFonts w:ascii="Times New Roman" w:hAnsi="Times New Roman" w:eastAsia="Times New Roman" w:cs="Times New Roman"/>
                <w:sz w:val="24"/>
                <w:szCs w:val="24"/>
                <w:rtl w:val="0"/>
              </w:rPr>
              <w:br w:type="textWrapping"/>
            </w:r>
          </w:p>
        </w:tc>
      </w:tr>
      <w:tr w14:paraId="5DE244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540" w:hRule="atLeast"/>
        </w:trPr>
        <w:tc>
          <w:tcPr>
            <w:tcBorders>
              <w:top w:val="nil"/>
              <w:left w:val="single" w:color="000000" w:sz="6" w:space="0"/>
              <w:bottom w:val="single" w:color="000000" w:sz="6" w:space="0"/>
              <w:right w:val="single" w:color="000000" w:sz="6" w:space="0"/>
            </w:tcBorders>
            <w:tcMar>
              <w:top w:w="0" w:type="dxa"/>
              <w:left w:w="100" w:type="dxa"/>
              <w:bottom w:w="0" w:type="dxa"/>
              <w:right w:w="100" w:type="dxa"/>
            </w:tcMar>
            <w:vAlign w:val="top"/>
          </w:tcPr>
          <w:p w14:paraId="00000039">
            <w:pPr>
              <w:spacing w:before="240" w:after="160" w:line="360" w:lineRule="auto"/>
              <w:ind w:left="120" w:firstLine="0"/>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Context</w:t>
            </w:r>
            <w:r>
              <w:rPr>
                <w:rFonts w:ascii="Times New Roman" w:hAnsi="Times New Roman" w:eastAsia="Times New Roman" w:cs="Times New Roman"/>
                <w:sz w:val="24"/>
                <w:szCs w:val="24"/>
                <w:rtl w:val="0"/>
              </w:rPr>
              <w:t>:</w:t>
            </w:r>
          </w:p>
        </w:tc>
        <w:tc>
          <w:tcPr>
            <w:tcBorders>
              <w:top w:val="nil"/>
              <w:left w:val="nil"/>
              <w:bottom w:val="single" w:color="000000" w:sz="6" w:space="0"/>
              <w:right w:val="single" w:color="000000" w:sz="6" w:space="0"/>
            </w:tcBorders>
            <w:tcMar>
              <w:top w:w="0" w:type="dxa"/>
              <w:left w:w="100" w:type="dxa"/>
              <w:bottom w:w="0" w:type="dxa"/>
              <w:right w:w="100" w:type="dxa"/>
            </w:tcMar>
            <w:vAlign w:val="top"/>
          </w:tcPr>
          <w:p w14:paraId="0000003A">
            <w:pPr>
              <w:spacing w:before="240" w:after="160" w:line="360" w:lineRule="auto"/>
              <w:ind w:lef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Global</w:t>
            </w:r>
          </w:p>
        </w:tc>
      </w:tr>
    </w:tbl>
    <w:p w14:paraId="0000003B">
      <w:pPr>
        <w:rPr>
          <w:rFonts w:ascii="Times New Roman" w:hAnsi="Times New Roman" w:eastAsia="Times New Roman" w:cs="Times New Roman"/>
          <w:sz w:val="24"/>
          <w:szCs w:val="24"/>
        </w:rPr>
      </w:pPr>
    </w:p>
    <w:p w14:paraId="0000003C">
      <w:pPr>
        <w:rPr>
          <w:rFonts w:ascii="Times New Roman" w:hAnsi="Times New Roman" w:eastAsia="Times New Roman" w:cs="Times New Roman"/>
          <w:b/>
          <w:color w:val="0000FF"/>
          <w:sz w:val="24"/>
          <w:szCs w:val="24"/>
        </w:rPr>
      </w:pPr>
    </w:p>
    <w:p w14:paraId="0000003D">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Inclusion Criteria</w:t>
      </w:r>
    </w:p>
    <w:p w14:paraId="0000003E">
      <w:pPr>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tl w:val="0"/>
        </w:rPr>
        <w:t>We shall include case reports and case series studies reporting endocrine dysfunction in KSS, published in the English language.</w:t>
      </w:r>
    </w:p>
    <w:p w14:paraId="0000003F">
      <w:pPr>
        <w:jc w:val="both"/>
        <w:rPr>
          <w:rFonts w:ascii="Times New Roman" w:hAnsi="Times New Roman" w:eastAsia="Times New Roman" w:cs="Times New Roman"/>
          <w:b/>
          <w:color w:val="0000FF"/>
          <w:sz w:val="24"/>
          <w:szCs w:val="24"/>
        </w:rPr>
      </w:pPr>
    </w:p>
    <w:p w14:paraId="00000040">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Exclusion Criteria</w:t>
      </w:r>
    </w:p>
    <w:p w14:paraId="00000041">
      <w:pPr>
        <w:rPr>
          <w:rFonts w:ascii="Times New Roman" w:hAnsi="Times New Roman" w:eastAsia="Times New Roman" w:cs="Times New Roman"/>
          <w:color w:val="5B9BD5"/>
          <w:sz w:val="24"/>
          <w:szCs w:val="24"/>
        </w:rPr>
      </w:pPr>
      <w:r>
        <w:rPr>
          <w:rFonts w:ascii="Times New Roman" w:hAnsi="Times New Roman" w:eastAsia="Times New Roman" w:cs="Times New Roman"/>
          <w:sz w:val="24"/>
          <w:szCs w:val="24"/>
          <w:rtl w:val="0"/>
        </w:rPr>
        <w:t>Studies focusing on KSS with other co-morbidities, or that do not capture our outcome of interest, shall be excluded. Also, s</w:t>
      </w:r>
      <w:r>
        <w:rPr>
          <w:rFonts w:ascii="Times New Roman" w:hAnsi="Times New Roman" w:eastAsia="Times New Roman" w:cs="Times New Roman"/>
          <w:color w:val="000000"/>
          <w:sz w:val="24"/>
          <w:szCs w:val="24"/>
          <w:rtl w:val="0"/>
        </w:rPr>
        <w:t>econdary evidence</w:t>
      </w:r>
      <w:r>
        <w:rPr>
          <w:rFonts w:ascii="Times New Roman" w:hAnsi="Times New Roman" w:eastAsia="Times New Roman" w:cs="Times New Roman"/>
          <w:sz w:val="24"/>
          <w:szCs w:val="24"/>
          <w:rtl w:val="0"/>
        </w:rPr>
        <w:t>,</w:t>
      </w:r>
      <w:r>
        <w:rPr>
          <w:rFonts w:ascii="Times New Roman" w:hAnsi="Times New Roman" w:eastAsia="Times New Roman" w:cs="Times New Roman"/>
          <w:color w:val="000000"/>
          <w:sz w:val="24"/>
          <w:szCs w:val="24"/>
          <w:rtl w:val="0"/>
        </w:rPr>
        <w:t xml:space="preserve"> including observational studies, experimental studies, reviews,</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 xml:space="preserve">conference abstracts, letters, commentaries, </w:t>
      </w:r>
      <w:r>
        <w:rPr>
          <w:rFonts w:ascii="Times New Roman" w:hAnsi="Times New Roman" w:eastAsia="Times New Roman" w:cs="Times New Roman"/>
          <w:sz w:val="24"/>
          <w:szCs w:val="24"/>
          <w:rtl w:val="0"/>
        </w:rPr>
        <w:t>opinion papers, editorial articles</w:t>
      </w:r>
      <w:r>
        <w:rPr>
          <w:rFonts w:ascii="Times New Roman" w:hAnsi="Times New Roman" w:eastAsia="Times New Roman" w:cs="Times New Roman"/>
          <w:color w:val="000000"/>
          <w:sz w:val="24"/>
          <w:szCs w:val="24"/>
          <w:rtl w:val="0"/>
        </w:rPr>
        <w:t xml:space="preserve">, unpublished studies, </w:t>
      </w:r>
      <w:r>
        <w:rPr>
          <w:rFonts w:ascii="Times New Roman" w:hAnsi="Times New Roman" w:eastAsia="Times New Roman" w:cs="Times New Roman"/>
          <w:sz w:val="24"/>
          <w:szCs w:val="24"/>
          <w:rtl w:val="0"/>
        </w:rPr>
        <w:t xml:space="preserve">and </w:t>
      </w:r>
      <w:r>
        <w:rPr>
          <w:rFonts w:ascii="Times New Roman" w:hAnsi="Times New Roman" w:eastAsia="Times New Roman" w:cs="Times New Roman"/>
          <w:color w:val="000000"/>
          <w:sz w:val="24"/>
          <w:szCs w:val="24"/>
          <w:rtl w:val="0"/>
        </w:rPr>
        <w:t>animal studies</w:t>
      </w:r>
      <w:r>
        <w:rPr>
          <w:rFonts w:ascii="Times New Roman" w:hAnsi="Times New Roman" w:eastAsia="Times New Roman" w:cs="Times New Roman"/>
          <w:sz w:val="24"/>
          <w:szCs w:val="24"/>
          <w:rtl w:val="0"/>
        </w:rPr>
        <w:t>,</w:t>
      </w:r>
      <w:r>
        <w:rPr>
          <w:rFonts w:ascii="Times New Roman" w:hAnsi="Times New Roman" w:eastAsia="Times New Roman" w:cs="Times New Roman"/>
          <w:color w:val="000000"/>
          <w:sz w:val="24"/>
          <w:szCs w:val="24"/>
          <w:rtl w:val="0"/>
        </w:rPr>
        <w:t xml:space="preserve"> shall be excluded.</w:t>
      </w:r>
    </w:p>
    <w:p w14:paraId="00000042">
      <w:pPr>
        <w:jc w:val="both"/>
        <w:rPr>
          <w:rFonts w:ascii="Times New Roman" w:hAnsi="Times New Roman" w:eastAsia="Times New Roman" w:cs="Times New Roman"/>
          <w:b/>
          <w:sz w:val="24"/>
          <w:szCs w:val="24"/>
        </w:rPr>
      </w:pPr>
    </w:p>
    <w:p w14:paraId="00000043">
      <w:pPr>
        <w:rPr>
          <w:rFonts w:ascii="Times New Roman" w:hAnsi="Times New Roman" w:eastAsia="Times New Roman" w:cs="Times New Roman"/>
          <w:color w:val="5B9BD5"/>
          <w:sz w:val="24"/>
          <w:szCs w:val="24"/>
        </w:rPr>
      </w:pPr>
    </w:p>
    <w:p w14:paraId="00000044">
      <w:pPr>
        <w:rPr>
          <w:rFonts w:ascii="Times New Roman" w:hAnsi="Times New Roman" w:eastAsia="Times New Roman" w:cs="Times New Roman"/>
          <w:color w:val="5B9BD5"/>
          <w:sz w:val="24"/>
          <w:szCs w:val="24"/>
        </w:rPr>
      </w:pPr>
    </w:p>
    <w:p w14:paraId="00000045">
      <w:pPr>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 xml:space="preserve">Data Searches </w:t>
      </w:r>
    </w:p>
    <w:p w14:paraId="00000046">
      <w:pPr>
        <w:keepNext w:val="0"/>
        <w:keepLines w:val="0"/>
        <w:widowControl/>
        <w:suppressLineNumbers w:val="0"/>
        <w:jc w:val="left"/>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tl w:val="0"/>
        </w:rPr>
        <w:t>We shall conduct a data search for relevant articles across various electronic databases, including EMBASE, MEDLINE, Scopus</w:t>
      </w:r>
      <w:r>
        <w:rPr>
          <w:rFonts w:hint="default" w:ascii="Times New Roman" w:hAnsi="Times New Roman" w:eastAsia="Times New Roman" w:cs="Times New Roman"/>
          <w:sz w:val="24"/>
          <w:szCs w:val="24"/>
          <w:rtl w:val="0"/>
          <w:lang w:val="en-US"/>
        </w:rPr>
        <w:t xml:space="preserve"> via OVID</w:t>
      </w:r>
      <w:r>
        <w:rPr>
          <w:rFonts w:ascii="Times New Roman" w:hAnsi="Times New Roman" w:eastAsia="Times New Roman" w:cs="Times New Roman"/>
          <w:sz w:val="24"/>
          <w:szCs w:val="24"/>
          <w:rtl w:val="0"/>
        </w:rPr>
        <w:t>, Web of Science, CINAHL</w:t>
      </w:r>
      <w:r>
        <w:rPr>
          <w:rFonts w:hint="default" w:ascii="Times New Roman" w:hAnsi="Times New Roman" w:eastAsia="Times New Roman" w:cs="Times New Roman"/>
          <w:sz w:val="24"/>
          <w:szCs w:val="24"/>
          <w:rtl w:val="0"/>
          <w:lang w:val="en-US"/>
        </w:rPr>
        <w:t>complete</w:t>
      </w:r>
      <w:r>
        <w:rPr>
          <w:rFonts w:ascii="Times New Roman" w:hAnsi="Times New Roman" w:eastAsia="Times New Roman" w:cs="Times New Roman"/>
          <w:sz w:val="24"/>
          <w:szCs w:val="24"/>
          <w:rtl w:val="0"/>
        </w:rPr>
        <w:t>,</w:t>
      </w:r>
      <w:r>
        <w:rPr>
          <w:rFonts w:ascii="Times New Roman" w:hAnsi="Times New Roman" w:eastAsia="Times New Roman" w:cs="Times New Roman"/>
          <w:color w:val="000000"/>
          <w:sz w:val="24"/>
          <w:szCs w:val="24"/>
          <w:rtl w:val="0"/>
        </w:rPr>
        <w:t xml:space="preserve"> PsycINFO (EBSCO), ASSIA (ProQuest),</w:t>
      </w:r>
      <w:r>
        <w:rPr>
          <w:rFonts w:hint="default" w:ascii="Times New Roman" w:hAnsi="Times New Roman" w:eastAsia="Times New Roman" w:cs="Times New Roman"/>
          <w:color w:val="000000"/>
          <w:sz w:val="24"/>
          <w:szCs w:val="24"/>
          <w:rtl w:val="0"/>
          <w:lang w:val="en-US"/>
        </w:rPr>
        <w:t>Grey litratutre ( BASE,CORE,OPEN DOAR,OPEN GREY,ISRCTN,</w:t>
      </w:r>
      <w:bookmarkStart w:id="0" w:name="_GoBack"/>
      <w:bookmarkEnd w:id="0"/>
      <w:r>
        <w:rPr>
          <w:rFonts w:hint="default"/>
        </w:rPr>
        <w:t>HEC Pakistan Repository</w:t>
      </w:r>
      <w:r>
        <w:rPr>
          <w:rFonts w:hint="default"/>
          <w:lang w:val="en-US"/>
        </w:rPr>
        <w:t>,WHO publications,UNICEF Reports</w:t>
      </w:r>
      <w:r>
        <w:rPr>
          <w:rFonts w:ascii="Times New Roman" w:hAnsi="Times New Roman" w:eastAsia="Times New Roman" w:cs="Times New Roman"/>
          <w:color w:val="000000"/>
          <w:sz w:val="24"/>
          <w:szCs w:val="24"/>
          <w:rtl w:val="0"/>
        </w:rPr>
        <w:t>. The search shall be conducted from inception t</w:t>
      </w:r>
      <w:r>
        <w:rPr>
          <w:rFonts w:ascii="Times New Roman" w:hAnsi="Times New Roman" w:eastAsia="Times New Roman" w:cs="Times New Roman"/>
          <w:sz w:val="24"/>
          <w:szCs w:val="24"/>
          <w:rtl w:val="0"/>
        </w:rPr>
        <w:t>ill 30-Sep-2025,</w:t>
      </w:r>
      <w:r>
        <w:rPr>
          <w:rFonts w:ascii="Times New Roman" w:hAnsi="Times New Roman" w:eastAsia="Times New Roman" w:cs="Times New Roman"/>
          <w:color w:val="000000"/>
          <w:sz w:val="24"/>
          <w:szCs w:val="24"/>
          <w:rtl w:val="0"/>
        </w:rPr>
        <w:t xml:space="preserve"> using keywords: </w:t>
      </w:r>
      <w:r>
        <w:rPr>
          <w:rFonts w:ascii="Times New Roman" w:hAnsi="Times New Roman" w:eastAsia="Times New Roman" w:cs="Times New Roman"/>
          <w:sz w:val="24"/>
          <w:szCs w:val="24"/>
          <w:rtl w:val="0"/>
        </w:rPr>
        <w:t>“</w:t>
      </w:r>
      <w:r>
        <w:rPr>
          <w:rFonts w:ascii="Times New Roman" w:hAnsi="Times New Roman" w:eastAsia="Times New Roman" w:cs="Times New Roman"/>
          <w:color w:val="000000"/>
          <w:sz w:val="24"/>
          <w:szCs w:val="24"/>
          <w:rtl w:val="0"/>
        </w:rPr>
        <w:t>Kearns–Sayre Syndrome,” “mitochondrial disease,” and specific endocrine disorders (e.g., diabetes, hypothyroidism, adrenal insufficiency, hypoparathyroidism, growth hormone deficiency)</w:t>
      </w:r>
      <w:r>
        <w:rPr>
          <w:rFonts w:ascii="Times New Roman" w:hAnsi="Times New Roman" w:eastAsia="Times New Roman" w:cs="Times New Roman"/>
          <w:sz w:val="24"/>
          <w:szCs w:val="24"/>
          <w:rtl w:val="0"/>
        </w:rPr>
        <w:t xml:space="preserve"> and using truncations, wildcards, phrase searching, keywords, and subject headings (MeSH)</w:t>
      </w:r>
      <w:r>
        <w:rPr>
          <w:rFonts w:ascii="Times New Roman" w:hAnsi="Times New Roman" w:eastAsia="Times New Roman" w:cs="Times New Roman"/>
          <w:color w:val="000000"/>
          <w:sz w:val="24"/>
          <w:szCs w:val="24"/>
          <w:rtl w:val="0"/>
        </w:rPr>
        <w:t xml:space="preserve">. </w:t>
      </w:r>
      <w:r>
        <w:rPr>
          <w:rFonts w:ascii="Times New Roman" w:hAnsi="Times New Roman" w:eastAsia="Times New Roman" w:cs="Times New Roman"/>
          <w:sz w:val="24"/>
          <w:szCs w:val="24"/>
          <w:rtl w:val="0"/>
        </w:rPr>
        <w:t>Additionally, we will review the reference lists of included studies to identify</w:t>
      </w:r>
      <w:r>
        <w:rPr>
          <w:rFonts w:ascii="Times New Roman" w:hAnsi="Times New Roman" w:eastAsia="Times New Roman" w:cs="Times New Roman"/>
          <w:color w:val="000000"/>
          <w:sz w:val="24"/>
          <w:szCs w:val="24"/>
          <w:rtl w:val="0"/>
        </w:rPr>
        <w:t xml:space="preserve"> potential </w:t>
      </w:r>
      <w:r>
        <w:rPr>
          <w:rFonts w:ascii="Times New Roman" w:hAnsi="Times New Roman" w:eastAsia="Times New Roman" w:cs="Times New Roman"/>
          <w:sz w:val="24"/>
          <w:szCs w:val="24"/>
          <w:rtl w:val="0"/>
        </w:rPr>
        <w:t>case reports for inclusion in the study</w:t>
      </w:r>
      <w:r>
        <w:rPr>
          <w:rFonts w:ascii="Times New Roman" w:hAnsi="Times New Roman" w:eastAsia="Times New Roman" w:cs="Times New Roman"/>
          <w:color w:val="000000"/>
          <w:sz w:val="24"/>
          <w:szCs w:val="24"/>
          <w:rtl w:val="0"/>
        </w:rPr>
        <w:t xml:space="preserve">. </w:t>
      </w:r>
    </w:p>
    <w:p w14:paraId="00000047">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w:t>
      </w:r>
    </w:p>
    <w:p w14:paraId="00000048">
      <w:pPr>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Search Strategy</w:t>
      </w:r>
    </w:p>
    <w:p w14:paraId="00000049">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preliminary PubMed/MEDLINE strategy is shown below and will be adapted for other databases:</w:t>
      </w:r>
    </w:p>
    <w:p w14:paraId="0000004A">
      <w:pPr>
        <w:rPr>
          <w:b/>
        </w:rPr>
      </w:pPr>
      <w:r>
        <w:rPr>
          <w:b/>
          <w:rtl w:val="0"/>
        </w:rPr>
        <w:t>“Kearns-Sayre syndrome” OR "KSS" OR" mitochondrial mutation "OR "mitochondrial disorder", “kearns -sayre mitochondria cytopathy”, “oculocraniosomatic syndrome” AND “Endocrine Manifestations” OR ("Endocrine System Diseases" OR endocrine  OR "endocrine dysfunction"  OR "hormonal disorder*"OR "endocrinopathy OR diabetes OR "hypothyroidism" OR "hypoparathyroidism" OR "hypogonadism" OR "growth hormone deficiency" OR "adrenal insufficiency") AND “Diagnosis” OR “diagnostic approach” OR “diagnostic strategy” OR “screening” OR “clinical evaluation” OR “laboratory tests” OR “genetic testing” AND “Challenges” OR “limitations” OR “barriers” OR “difficulties” AND “ Therapeutics” OR “management” OR treatment OR interventions OR hormone replacementOR thyroxine OR insulin OR testosterone OR hydrocortisone OR growth hormone</w:t>
      </w:r>
    </w:p>
    <w:p w14:paraId="0000004B">
      <w:pPr>
        <w:rPr>
          <w:rFonts w:ascii="Times New Roman" w:hAnsi="Times New Roman" w:eastAsia="Times New Roman" w:cs="Times New Roman"/>
          <w:sz w:val="24"/>
          <w:szCs w:val="24"/>
        </w:rPr>
      </w:pPr>
    </w:p>
    <w:p w14:paraId="0000004C">
      <w:pPr>
        <w:rPr>
          <w:rFonts w:ascii="Times New Roman" w:hAnsi="Times New Roman" w:eastAsia="Times New Roman" w:cs="Times New Roman"/>
          <w:sz w:val="24"/>
          <w:szCs w:val="24"/>
        </w:rPr>
      </w:pPr>
    </w:p>
    <w:p w14:paraId="0000004D">
      <w:pPr>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 xml:space="preserve">International prospective register of systematic reviews </w:t>
      </w:r>
    </w:p>
    <w:p w14:paraId="0000004E">
      <w:pP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PROSPERO</w:t>
      </w:r>
      <w:r>
        <w:rPr>
          <w:rFonts w:ascii="Times New Roman" w:hAnsi="Times New Roman" w:eastAsia="Times New Roman" w:cs="Times New Roman"/>
          <w:sz w:val="24"/>
          <w:szCs w:val="24"/>
          <w:rtl w:val="0"/>
        </w:rPr>
        <w:t xml:space="preserve">  :  ID -1077564</w:t>
      </w:r>
    </w:p>
    <w:p w14:paraId="0000004F">
      <w:pPr>
        <w:rPr>
          <w:rFonts w:ascii="Times New Roman" w:hAnsi="Times New Roman" w:eastAsia="Times New Roman" w:cs="Times New Roman"/>
          <w:sz w:val="24"/>
          <w:szCs w:val="24"/>
        </w:rPr>
      </w:pPr>
    </w:p>
    <w:p w14:paraId="00000050">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Study Selection</w:t>
      </w:r>
    </w:p>
    <w:p w14:paraId="00000051">
      <w:pPr>
        <w:jc w:val="both"/>
        <w:rPr>
          <w:rFonts w:ascii="Times New Roman" w:hAnsi="Times New Roman" w:eastAsia="Times New Roman" w:cs="Times New Roman"/>
          <w:b/>
          <w:color w:val="0000FF"/>
          <w:sz w:val="24"/>
          <w:szCs w:val="24"/>
        </w:rPr>
      </w:pPr>
    </w:p>
    <w:p w14:paraId="00000052">
      <w:pPr>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1-Title and Abstract Screening:</w:t>
      </w:r>
      <w:r>
        <w:rPr>
          <w:rFonts w:ascii="Times New Roman" w:hAnsi="Times New Roman" w:eastAsia="Times New Roman" w:cs="Times New Roman"/>
          <w:sz w:val="24"/>
          <w:szCs w:val="24"/>
          <w:rtl w:val="0"/>
        </w:rPr>
        <w:br w:type="textWrapping"/>
      </w:r>
      <w:r>
        <w:rPr>
          <w:rFonts w:ascii="Times New Roman" w:hAnsi="Times New Roman" w:eastAsia="Times New Roman" w:cs="Times New Roman"/>
          <w:sz w:val="24"/>
          <w:szCs w:val="24"/>
          <w:rtl w:val="0"/>
        </w:rPr>
        <w:t>By two independent reviewers using pre-defined inclusion and exclusion criteria. This will be done using Rayyan (</w:t>
      </w:r>
      <w:r>
        <w:fldChar w:fldCharType="begin"/>
      </w:r>
      <w:r>
        <w:instrText xml:space="preserve"> HYPERLINK "about:blank" \h </w:instrText>
      </w:r>
      <w:r>
        <w:fldChar w:fldCharType="separate"/>
      </w:r>
      <w:r>
        <w:rPr>
          <w:rFonts w:ascii="Times New Roman" w:hAnsi="Times New Roman" w:eastAsia="Times New Roman" w:cs="Times New Roman"/>
          <w:color w:val="0000FF"/>
          <w:sz w:val="24"/>
          <w:szCs w:val="24"/>
          <w:u w:val="single"/>
          <w:rtl w:val="0"/>
        </w:rPr>
        <w:t>https://rayyan.ai)</w:t>
      </w:r>
      <w:r>
        <w:rPr>
          <w:rFonts w:ascii="Times New Roman" w:hAnsi="Times New Roman" w:eastAsia="Times New Roman" w:cs="Times New Roman"/>
          <w:color w:val="0000FF"/>
          <w:sz w:val="24"/>
          <w:szCs w:val="24"/>
          <w:u w:val="single"/>
          <w:rtl w:val="0"/>
        </w:rPr>
        <w:fldChar w:fldCharType="end"/>
      </w:r>
      <w:r>
        <w:rPr>
          <w:rFonts w:ascii="Times New Roman" w:hAnsi="Times New Roman" w:eastAsia="Times New Roman" w:cs="Times New Roman"/>
          <w:sz w:val="24"/>
          <w:szCs w:val="24"/>
          <w:rtl w:val="0"/>
        </w:rPr>
        <w:t>. Discrepancies between reviewers will be resolved through discussion. If consensus cannot be reached, a third reviewer will adjudicate.</w:t>
      </w:r>
    </w:p>
    <w:p w14:paraId="00000053">
      <w:pPr>
        <w:jc w:val="both"/>
        <w:rPr>
          <w:rFonts w:ascii="Times New Roman" w:hAnsi="Times New Roman" w:eastAsia="Times New Roman" w:cs="Times New Roman"/>
          <w:sz w:val="24"/>
          <w:szCs w:val="24"/>
        </w:rPr>
      </w:pPr>
    </w:p>
    <w:p w14:paraId="00000054">
      <w:pPr>
        <w:jc w:val="both"/>
        <w:rPr>
          <w:rFonts w:ascii="Times New Roman" w:hAnsi="Times New Roman" w:eastAsia="Times New Roman" w:cs="Times New Roman"/>
          <w:b/>
          <w:sz w:val="24"/>
          <w:szCs w:val="24"/>
        </w:rPr>
      </w:pPr>
    </w:p>
    <w:p w14:paraId="00000055">
      <w:pPr>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2 -Full-Text Review:</w:t>
      </w:r>
      <w:r>
        <w:rPr>
          <w:rFonts w:ascii="Times New Roman" w:hAnsi="Times New Roman" w:eastAsia="Times New Roman" w:cs="Times New Roman"/>
          <w:sz w:val="24"/>
          <w:szCs w:val="24"/>
          <w:rtl w:val="0"/>
        </w:rPr>
        <w:br w:type="textWrapping"/>
      </w:r>
      <w:r>
        <w:rPr>
          <w:rFonts w:ascii="Times New Roman" w:hAnsi="Times New Roman" w:eastAsia="Times New Roman" w:cs="Times New Roman"/>
          <w:sz w:val="24"/>
          <w:szCs w:val="24"/>
          <w:rtl w:val="0"/>
        </w:rPr>
        <w:t>Articles deemed potentially eligible will be retrieved in full and independently reviewed by the same two reviewers. Eligibility will again be assessed against the inclusion/exclusion criteria. Reasons for exclusion at this stage will be recorded and documented for the PRISMA flow diagram. Any disagreements will be resolved through discussion or, if necessary, by consulting a third reviewer.</w:t>
      </w:r>
    </w:p>
    <w:p w14:paraId="00000056">
      <w:pPr>
        <w:jc w:val="both"/>
        <w:rPr>
          <w:rFonts w:ascii="Times New Roman" w:hAnsi="Times New Roman" w:eastAsia="Times New Roman" w:cs="Times New Roman"/>
          <w:sz w:val="24"/>
          <w:szCs w:val="24"/>
        </w:rPr>
      </w:pPr>
    </w:p>
    <w:p w14:paraId="00000057">
      <w:pPr>
        <w:jc w:val="both"/>
        <w:rPr>
          <w:rFonts w:ascii="Times New Roman" w:hAnsi="Times New Roman" w:eastAsia="Times New Roman" w:cs="Times New Roman"/>
          <w:sz w:val="24"/>
          <w:szCs w:val="24"/>
          <w:shd w:val="clear" w:fill="auto"/>
        </w:rPr>
      </w:pPr>
      <w:r>
        <w:rPr>
          <w:rFonts w:ascii="Times New Roman" w:hAnsi="Times New Roman" w:eastAsia="Times New Roman" w:cs="Times New Roman"/>
          <w:sz w:val="24"/>
          <w:szCs w:val="24"/>
          <w:shd w:val="clear" w:fill="auto"/>
          <w:rtl w:val="0"/>
        </w:rPr>
        <w:t>Throughout the process, a log of included and excluded studies will be maintained. The final set of included studies will be reviewed collectively by the team to ensure consistency and accuracy before data extraction begins.</w:t>
      </w:r>
    </w:p>
    <w:p w14:paraId="00000058">
      <w:pPr>
        <w:jc w:val="both"/>
        <w:rPr>
          <w:rFonts w:ascii="Times New Roman" w:hAnsi="Times New Roman" w:eastAsia="Times New Roman" w:cs="Times New Roman"/>
          <w:color w:val="4472C4"/>
          <w:sz w:val="24"/>
          <w:szCs w:val="24"/>
        </w:rPr>
      </w:pPr>
    </w:p>
    <w:p w14:paraId="00000059">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Data Extraction</w:t>
      </w:r>
    </w:p>
    <w:p w14:paraId="0000005A">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Data for assessment of study quality and evidence synthesis will be extracted into </w:t>
      </w:r>
      <w:r>
        <w:rPr>
          <w:rFonts w:ascii="Times New Roman" w:hAnsi="Times New Roman" w:eastAsia="Times New Roman" w:cs="Times New Roman"/>
          <w:sz w:val="24"/>
          <w:szCs w:val="24"/>
          <w:rtl w:val="0"/>
        </w:rPr>
        <w:t xml:space="preserve">a </w:t>
      </w:r>
      <w:r>
        <w:rPr>
          <w:rFonts w:ascii="Times New Roman" w:hAnsi="Times New Roman" w:eastAsia="Times New Roman" w:cs="Times New Roman"/>
          <w:color w:val="000000"/>
          <w:sz w:val="24"/>
          <w:szCs w:val="24"/>
          <w:rtl w:val="0"/>
        </w:rPr>
        <w:t>pre-designed and tested Excel spreadsheet. Data for all review questions will be extracted by two researchers, then checked independently by a senior researcher.</w:t>
      </w:r>
    </w:p>
    <w:p w14:paraId="0000005B">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The sheet will capture:</w:t>
      </w:r>
    </w:p>
    <w:p w14:paraId="0000005C">
      <w:pPr>
        <w:spacing w:line="120" w:lineRule="auto"/>
        <w:jc w:val="both"/>
        <w:rPr>
          <w:rFonts w:ascii="Times New Roman" w:hAnsi="Times New Roman" w:eastAsia="Times New Roman" w:cs="Times New Roman"/>
          <w:sz w:val="24"/>
          <w:szCs w:val="24"/>
        </w:rPr>
      </w:pPr>
    </w:p>
    <w:p w14:paraId="0000005D">
      <w:pPr>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Study characteristics : </w:t>
      </w:r>
      <w:r>
        <w:rPr>
          <w:rFonts w:ascii="Times New Roman" w:hAnsi="Times New Roman" w:eastAsia="Times New Roman" w:cs="Times New Roman"/>
          <w:sz w:val="24"/>
          <w:szCs w:val="24"/>
          <w:rtl w:val="0"/>
        </w:rPr>
        <w:t>(</w:t>
      </w:r>
      <w:r>
        <w:rPr>
          <w:rFonts w:ascii="Times New Roman" w:hAnsi="Times New Roman" w:eastAsia="Times New Roman" w:cs="Times New Roman"/>
          <w:color w:val="000000"/>
          <w:sz w:val="24"/>
          <w:szCs w:val="24"/>
          <w:rtl w:val="0"/>
        </w:rPr>
        <w:t xml:space="preserve">Study ID, title, </w:t>
      </w:r>
      <w:r>
        <w:rPr>
          <w:rFonts w:ascii="Times New Roman" w:hAnsi="Times New Roman" w:eastAsia="Times New Roman" w:cs="Times New Roman"/>
          <w:sz w:val="24"/>
          <w:szCs w:val="24"/>
          <w:rtl w:val="0"/>
        </w:rPr>
        <w:t>authors'</w:t>
      </w:r>
      <w:r>
        <w:rPr>
          <w:rFonts w:ascii="Times New Roman" w:hAnsi="Times New Roman" w:eastAsia="Times New Roman" w:cs="Times New Roman"/>
          <w:color w:val="000000"/>
          <w:sz w:val="24"/>
          <w:szCs w:val="24"/>
          <w:rtl w:val="0"/>
        </w:rPr>
        <w:t xml:space="preserve"> details, country, publication year,</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Study setting)</w:t>
      </w:r>
    </w:p>
    <w:p w14:paraId="0000005E">
      <w:pPr>
        <w:jc w:val="both"/>
        <w:rPr>
          <w:rFonts w:ascii="Times New Roman" w:hAnsi="Times New Roman" w:eastAsia="Times New Roman" w:cs="Times New Roman"/>
          <w:sz w:val="24"/>
          <w:szCs w:val="24"/>
        </w:rPr>
      </w:pPr>
    </w:p>
    <w:p w14:paraId="0000005F">
      <w:pPr>
        <w:numPr>
          <w:ilvl w:val="0"/>
          <w:numId w:val="5"/>
        </w:numPr>
        <w:spacing w:before="24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Participant characteristics</w:t>
      </w:r>
      <w:r>
        <w:rPr>
          <w:rFonts w:ascii="Times New Roman" w:hAnsi="Times New Roman" w:eastAsia="Times New Roman" w:cs="Times New Roman"/>
          <w:b/>
          <w:sz w:val="24"/>
          <w:szCs w:val="24"/>
          <w:rtl w:val="0"/>
        </w:rPr>
        <w:br w:type="textWrapping"/>
      </w:r>
    </w:p>
    <w:p w14:paraId="00000060">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Age, sex, and baseline demographic information</w:t>
      </w:r>
      <w:r>
        <w:rPr>
          <w:rFonts w:ascii="Times New Roman" w:hAnsi="Times New Roman" w:eastAsia="Times New Roman" w:cs="Times New Roman"/>
          <w:sz w:val="24"/>
          <w:szCs w:val="24"/>
          <w:rtl w:val="0"/>
        </w:rPr>
        <w:br w:type="textWrapping"/>
      </w:r>
    </w:p>
    <w:p w14:paraId="00000061">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Diagnostic method for Kearns–Sayre Syndrome (clinical criteria, muscle biopsy, genetic confirmation)</w:t>
      </w:r>
      <w:r>
        <w:rPr>
          <w:rFonts w:ascii="Times New Roman" w:hAnsi="Times New Roman" w:eastAsia="Times New Roman" w:cs="Times New Roman"/>
          <w:sz w:val="24"/>
          <w:szCs w:val="24"/>
          <w:rtl w:val="0"/>
        </w:rPr>
        <w:br w:type="textWrapping"/>
      </w:r>
    </w:p>
    <w:p w14:paraId="00000062">
      <w:pPr>
        <w:numPr>
          <w:ilvl w:val="0"/>
          <w:numId w:val="5"/>
        </w:numPr>
        <w:spacing w:before="0" w:beforeAutospacing="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Endocrine manifestations</w:t>
      </w:r>
      <w:r>
        <w:rPr>
          <w:rFonts w:ascii="Times New Roman" w:hAnsi="Times New Roman" w:eastAsia="Times New Roman" w:cs="Times New Roman"/>
          <w:b/>
          <w:sz w:val="24"/>
          <w:szCs w:val="24"/>
          <w:rtl w:val="0"/>
        </w:rPr>
        <w:br w:type="textWrapping"/>
      </w:r>
    </w:p>
    <w:p w14:paraId="00000063">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Type of endocrine abnormality reported (e.g., diabetes mellitus, hypothyroidism, hypogonadism, hypoparathyroidism, growth hormone deficiency, adrenal insufficiency, multiple endocrinopathies)</w:t>
      </w:r>
      <w:r>
        <w:rPr>
          <w:rFonts w:ascii="Times New Roman" w:hAnsi="Times New Roman" w:eastAsia="Times New Roman" w:cs="Times New Roman"/>
          <w:sz w:val="24"/>
          <w:szCs w:val="24"/>
          <w:rtl w:val="0"/>
        </w:rPr>
        <w:br w:type="textWrapping"/>
      </w:r>
    </w:p>
    <w:p w14:paraId="00000064">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Number of glands affected per case</w:t>
      </w:r>
      <w:r>
        <w:rPr>
          <w:rFonts w:ascii="Times New Roman" w:hAnsi="Times New Roman" w:eastAsia="Times New Roman" w:cs="Times New Roman"/>
          <w:sz w:val="24"/>
          <w:szCs w:val="24"/>
          <w:rtl w:val="0"/>
        </w:rPr>
        <w:br w:type="textWrapping"/>
      </w:r>
    </w:p>
    <w:p w14:paraId="00000065">
      <w:pPr>
        <w:numPr>
          <w:ilvl w:val="0"/>
          <w:numId w:val="5"/>
        </w:numPr>
        <w:spacing w:before="0" w:beforeAutospacing="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Clinical features</w:t>
      </w:r>
      <w:r>
        <w:rPr>
          <w:rFonts w:ascii="Times New Roman" w:hAnsi="Times New Roman" w:eastAsia="Times New Roman" w:cs="Times New Roman"/>
          <w:b/>
          <w:sz w:val="24"/>
          <w:szCs w:val="24"/>
          <w:rtl w:val="0"/>
        </w:rPr>
        <w:br w:type="textWrapping"/>
      </w:r>
    </w:p>
    <w:p w14:paraId="00000066">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Endocrine-related clinical manifestations (e.g., delayed puberty, growth failure, metabolic disturbances, hypocalcemia, adrenal crisis)</w:t>
      </w:r>
      <w:r>
        <w:rPr>
          <w:rFonts w:ascii="Times New Roman" w:hAnsi="Times New Roman" w:eastAsia="Times New Roman" w:cs="Times New Roman"/>
          <w:sz w:val="24"/>
          <w:szCs w:val="24"/>
          <w:rtl w:val="0"/>
        </w:rPr>
        <w:br w:type="textWrapping"/>
      </w:r>
    </w:p>
    <w:p w14:paraId="00000067">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Systemic KSS features associated with endocrine dysfunction</w:t>
      </w:r>
      <w:r>
        <w:rPr>
          <w:rFonts w:ascii="Times New Roman" w:hAnsi="Times New Roman" w:eastAsia="Times New Roman" w:cs="Times New Roman"/>
          <w:sz w:val="24"/>
          <w:szCs w:val="24"/>
          <w:rtl w:val="0"/>
        </w:rPr>
        <w:br w:type="textWrapping"/>
      </w:r>
    </w:p>
    <w:p w14:paraId="00000068">
      <w:pPr>
        <w:numPr>
          <w:ilvl w:val="0"/>
          <w:numId w:val="5"/>
        </w:numPr>
        <w:spacing w:before="0" w:beforeAutospacing="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Diagnostic approaches and challenges</w:t>
      </w:r>
      <w:r>
        <w:rPr>
          <w:rFonts w:ascii="Times New Roman" w:hAnsi="Times New Roman" w:eastAsia="Times New Roman" w:cs="Times New Roman"/>
          <w:b/>
          <w:sz w:val="24"/>
          <w:szCs w:val="24"/>
          <w:rtl w:val="0"/>
        </w:rPr>
        <w:br w:type="textWrapping"/>
      </w:r>
    </w:p>
    <w:p w14:paraId="00000069">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Investigations used to confirm endocrine dysfunction (laboratory assays, imaging, genetic tests, dynamic function tests)</w:t>
      </w:r>
      <w:r>
        <w:rPr>
          <w:rFonts w:ascii="Times New Roman" w:hAnsi="Times New Roman" w:eastAsia="Times New Roman" w:cs="Times New Roman"/>
          <w:sz w:val="24"/>
          <w:szCs w:val="24"/>
          <w:rtl w:val="0"/>
        </w:rPr>
        <w:br w:type="textWrapping"/>
      </w:r>
    </w:p>
    <w:p w14:paraId="0000006A">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Reported diagnostic difficulties or delays</w:t>
      </w:r>
      <w:r>
        <w:rPr>
          <w:rFonts w:ascii="Times New Roman" w:hAnsi="Times New Roman" w:eastAsia="Times New Roman" w:cs="Times New Roman"/>
          <w:sz w:val="24"/>
          <w:szCs w:val="24"/>
          <w:rtl w:val="0"/>
        </w:rPr>
        <w:br w:type="textWrapping"/>
      </w:r>
    </w:p>
    <w:p w14:paraId="0000006B">
      <w:pPr>
        <w:numPr>
          <w:ilvl w:val="0"/>
          <w:numId w:val="5"/>
        </w:numPr>
        <w:spacing w:before="0" w:beforeAutospacing="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Management strategies and challenges</w:t>
      </w:r>
      <w:r>
        <w:rPr>
          <w:rFonts w:ascii="Times New Roman" w:hAnsi="Times New Roman" w:eastAsia="Times New Roman" w:cs="Times New Roman"/>
          <w:b/>
          <w:sz w:val="24"/>
          <w:szCs w:val="24"/>
          <w:rtl w:val="0"/>
        </w:rPr>
        <w:br w:type="textWrapping"/>
      </w:r>
    </w:p>
    <w:p w14:paraId="0000006C">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Endocrine treatments applied (e.g., hormone replacement, insulin therapy, GH therapy, hydrocortisone, calcium/vitamin D)</w:t>
      </w:r>
      <w:r>
        <w:rPr>
          <w:rFonts w:ascii="Times New Roman" w:hAnsi="Times New Roman" w:eastAsia="Times New Roman" w:cs="Times New Roman"/>
          <w:sz w:val="24"/>
          <w:szCs w:val="24"/>
          <w:rtl w:val="0"/>
        </w:rPr>
        <w:br w:type="textWrapping"/>
      </w:r>
    </w:p>
    <w:p w14:paraId="0000006D">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Challenges in management (e.g., treatment resistance, recurrence, complications, limited follow-up)</w:t>
      </w:r>
      <w:r>
        <w:rPr>
          <w:rFonts w:ascii="Times New Roman" w:hAnsi="Times New Roman" w:eastAsia="Times New Roman" w:cs="Times New Roman"/>
          <w:sz w:val="24"/>
          <w:szCs w:val="24"/>
          <w:rtl w:val="0"/>
        </w:rPr>
        <w:br w:type="textWrapping"/>
      </w:r>
    </w:p>
    <w:p w14:paraId="0000006E">
      <w:pPr>
        <w:numPr>
          <w:ilvl w:val="0"/>
          <w:numId w:val="5"/>
        </w:numPr>
        <w:spacing w:before="0" w:beforeAutospacing="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Subgroup information</w:t>
      </w:r>
      <w:r>
        <w:rPr>
          <w:rFonts w:ascii="Times New Roman" w:hAnsi="Times New Roman" w:eastAsia="Times New Roman" w:cs="Times New Roman"/>
          <w:b/>
          <w:sz w:val="24"/>
          <w:szCs w:val="24"/>
          <w:rtl w:val="0"/>
        </w:rPr>
        <w:br w:type="textWrapping"/>
      </w:r>
    </w:p>
    <w:p w14:paraId="0000006F">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Age of onset of endocrine dysfunction</w:t>
      </w:r>
      <w:r>
        <w:rPr>
          <w:rFonts w:ascii="Times New Roman" w:hAnsi="Times New Roman" w:eastAsia="Times New Roman" w:cs="Times New Roman"/>
          <w:sz w:val="24"/>
          <w:szCs w:val="24"/>
          <w:rtl w:val="0"/>
        </w:rPr>
        <w:br w:type="textWrapping"/>
      </w:r>
    </w:p>
    <w:p w14:paraId="00000070">
      <w:pPr>
        <w:numPr>
          <w:ilvl w:val="1"/>
          <w:numId w:val="5"/>
        </w:numPr>
        <w:spacing w:before="0" w:beforeAutospacing="0" w:after="0" w:afterAutospacing="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Severity of KSS features (isolated vs. multisystem involvement)</w:t>
      </w:r>
      <w:r>
        <w:rPr>
          <w:rFonts w:ascii="Times New Roman" w:hAnsi="Times New Roman" w:eastAsia="Times New Roman" w:cs="Times New Roman"/>
          <w:sz w:val="24"/>
          <w:szCs w:val="24"/>
          <w:rtl w:val="0"/>
        </w:rPr>
        <w:br w:type="textWrapping"/>
      </w:r>
    </w:p>
    <w:p w14:paraId="00000071">
      <w:pPr>
        <w:numPr>
          <w:ilvl w:val="1"/>
          <w:numId w:val="5"/>
        </w:numPr>
        <w:spacing w:before="0" w:beforeAutospacing="0" w:after="240"/>
        <w:ind w:left="144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Outcomes where available (response to therapy, long-term prognosis)</w:t>
      </w:r>
      <w:r>
        <w:rPr>
          <w:rFonts w:ascii="Times New Roman" w:hAnsi="Times New Roman" w:eastAsia="Times New Roman" w:cs="Times New Roman"/>
          <w:sz w:val="24"/>
          <w:szCs w:val="24"/>
          <w:rtl w:val="0"/>
        </w:rPr>
        <w:br w:type="textWrapping"/>
      </w:r>
    </w:p>
    <w:p w14:paraId="00000072">
      <w:pPr>
        <w:jc w:val="both"/>
        <w:rPr>
          <w:rFonts w:ascii="Times New Roman" w:hAnsi="Times New Roman" w:eastAsia="Times New Roman" w:cs="Times New Roman"/>
          <w:sz w:val="24"/>
          <w:szCs w:val="24"/>
        </w:rPr>
      </w:pPr>
    </w:p>
    <w:p w14:paraId="00000073">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Data Synthesis</w:t>
      </w:r>
    </w:p>
    <w:p w14:paraId="00000074">
      <w:pPr>
        <w:jc w:val="both"/>
        <w:rPr>
          <w:rFonts w:ascii="Times New Roman" w:hAnsi="Times New Roman" w:eastAsia="Times New Roman" w:cs="Times New Roman"/>
          <w:b/>
          <w:color w:val="4472C4"/>
          <w:sz w:val="24"/>
          <w:szCs w:val="24"/>
        </w:rPr>
      </w:pPr>
    </w:p>
    <w:p w14:paraId="00000075">
      <w:pPr>
        <w:numPr>
          <w:ilvl w:val="0"/>
          <w:numId w:val="6"/>
        </w:numPr>
        <w:spacing w:before="24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Descriptive Analysis</w:t>
      </w:r>
      <w:r>
        <w:rPr>
          <w:rFonts w:ascii="Times New Roman" w:hAnsi="Times New Roman" w:eastAsia="Times New Roman" w:cs="Times New Roman"/>
          <w:b/>
          <w:sz w:val="24"/>
          <w:szCs w:val="24"/>
          <w:rtl w:val="0"/>
        </w:rPr>
        <w:br w:type="textWrapping"/>
      </w:r>
    </w:p>
    <w:p w14:paraId="00000076">
      <w:pPr>
        <w:numPr>
          <w:ilvl w:val="1"/>
          <w:numId w:val="6"/>
        </w:numPr>
        <w:spacing w:before="0" w:beforeAutospacing="0" w:after="0" w:afterAutospacing="0"/>
        <w:ind w:left="1440" w:hanging="360"/>
        <w:rPr>
          <w:sz w:val="24"/>
          <w:szCs w:val="24"/>
        </w:rPr>
      </w:pPr>
      <w:r>
        <w:rPr>
          <w:rFonts w:ascii="Times New Roman" w:hAnsi="Times New Roman" w:eastAsia="Times New Roman" w:cs="Times New Roman"/>
          <w:b/>
          <w:sz w:val="24"/>
          <w:szCs w:val="24"/>
          <w:rtl w:val="0"/>
        </w:rPr>
        <w:t>Categorical variables</w:t>
      </w:r>
      <w:r>
        <w:rPr>
          <w:rFonts w:ascii="Times New Roman" w:hAnsi="Times New Roman" w:eastAsia="Times New Roman" w:cs="Times New Roman"/>
          <w:sz w:val="24"/>
          <w:szCs w:val="24"/>
          <w:rtl w:val="0"/>
        </w:rPr>
        <w:t xml:space="preserve"> (e.g., type of endocrine dysfunction, specific glands affected, diagnostic methods, management strategies applied, challenges reported) will be summarized using </w:t>
      </w:r>
      <w:r>
        <w:rPr>
          <w:rFonts w:ascii="Times New Roman" w:hAnsi="Times New Roman" w:eastAsia="Times New Roman" w:cs="Times New Roman"/>
          <w:b/>
          <w:sz w:val="24"/>
          <w:szCs w:val="24"/>
          <w:rtl w:val="0"/>
        </w:rPr>
        <w:t>frequencies and percentages</w:t>
      </w:r>
      <w:r>
        <w:rPr>
          <w:rFonts w:ascii="Times New Roman" w:hAnsi="Times New Roman" w:eastAsia="Times New Roman" w:cs="Times New Roman"/>
          <w:sz w:val="24"/>
          <w:szCs w:val="24"/>
          <w:rtl w:val="0"/>
        </w:rPr>
        <w:t>.</w:t>
      </w:r>
      <w:r>
        <w:rPr>
          <w:rFonts w:ascii="Times New Roman" w:hAnsi="Times New Roman" w:eastAsia="Times New Roman" w:cs="Times New Roman"/>
          <w:sz w:val="24"/>
          <w:szCs w:val="24"/>
          <w:rtl w:val="0"/>
        </w:rPr>
        <w:br w:type="textWrapping"/>
      </w:r>
    </w:p>
    <w:p w14:paraId="00000077">
      <w:pPr>
        <w:numPr>
          <w:ilvl w:val="1"/>
          <w:numId w:val="6"/>
        </w:numPr>
        <w:spacing w:before="0" w:beforeAutospacing="0" w:after="0" w:afterAutospacing="0"/>
        <w:ind w:left="1440" w:hanging="360"/>
        <w:rPr>
          <w:sz w:val="24"/>
          <w:szCs w:val="24"/>
        </w:rPr>
      </w:pPr>
      <w:r>
        <w:rPr>
          <w:rFonts w:ascii="Times New Roman" w:hAnsi="Times New Roman" w:eastAsia="Times New Roman" w:cs="Times New Roman"/>
          <w:b/>
          <w:sz w:val="24"/>
          <w:szCs w:val="24"/>
          <w:rtl w:val="0"/>
        </w:rPr>
        <w:t>Continuous variables</w:t>
      </w:r>
      <w:r>
        <w:rPr>
          <w:rFonts w:ascii="Times New Roman" w:hAnsi="Times New Roman" w:eastAsia="Times New Roman" w:cs="Times New Roman"/>
          <w:sz w:val="24"/>
          <w:szCs w:val="24"/>
          <w:rtl w:val="0"/>
        </w:rPr>
        <w:t xml:space="preserve"> (e.g., age at diagnosis, age of onset of endocrine dysfunction, follow-up duration) will be reported as </w:t>
      </w:r>
      <w:r>
        <w:rPr>
          <w:rFonts w:ascii="Times New Roman" w:hAnsi="Times New Roman" w:eastAsia="Times New Roman" w:cs="Times New Roman"/>
          <w:b/>
          <w:sz w:val="24"/>
          <w:szCs w:val="24"/>
          <w:rtl w:val="0"/>
        </w:rPr>
        <w:t>means, medians, and ranges</w:t>
      </w:r>
      <w:r>
        <w:rPr>
          <w:rFonts w:ascii="Times New Roman" w:hAnsi="Times New Roman" w:eastAsia="Times New Roman" w:cs="Times New Roman"/>
          <w:sz w:val="24"/>
          <w:szCs w:val="24"/>
          <w:rtl w:val="0"/>
        </w:rPr>
        <w:t xml:space="preserve"> where available.</w:t>
      </w:r>
      <w:r>
        <w:rPr>
          <w:rFonts w:ascii="Times New Roman" w:hAnsi="Times New Roman" w:eastAsia="Times New Roman" w:cs="Times New Roman"/>
          <w:sz w:val="24"/>
          <w:szCs w:val="24"/>
          <w:rtl w:val="0"/>
        </w:rPr>
        <w:br w:type="textWrapping"/>
      </w:r>
    </w:p>
    <w:p w14:paraId="00000078">
      <w:pPr>
        <w:numPr>
          <w:ilvl w:val="0"/>
          <w:numId w:val="6"/>
        </w:numPr>
        <w:spacing w:before="0" w:beforeAutospacing="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Data Synthesis</w:t>
      </w:r>
      <w:r>
        <w:rPr>
          <w:rFonts w:ascii="Times New Roman" w:hAnsi="Times New Roman" w:eastAsia="Times New Roman" w:cs="Times New Roman"/>
          <w:b/>
          <w:sz w:val="24"/>
          <w:szCs w:val="24"/>
          <w:rtl w:val="0"/>
        </w:rPr>
        <w:br w:type="textWrapping"/>
      </w:r>
    </w:p>
    <w:p w14:paraId="00000079">
      <w:pPr>
        <w:numPr>
          <w:ilvl w:val="1"/>
          <w:numId w:val="6"/>
        </w:numPr>
        <w:spacing w:before="0" w:beforeAutospacing="0" w:after="0" w:afterAutospacing="0"/>
        <w:ind w:left="1440" w:hanging="360"/>
        <w:rPr>
          <w:sz w:val="24"/>
          <w:szCs w:val="24"/>
        </w:rPr>
      </w:pPr>
      <w:r>
        <w:rPr>
          <w:rFonts w:ascii="Times New Roman" w:hAnsi="Times New Roman" w:eastAsia="Times New Roman" w:cs="Times New Roman"/>
          <w:sz w:val="24"/>
          <w:szCs w:val="24"/>
          <w:rtl w:val="0"/>
        </w:rPr>
        <w:t xml:space="preserve">A </w:t>
      </w:r>
      <w:r>
        <w:rPr>
          <w:rFonts w:ascii="Times New Roman" w:hAnsi="Times New Roman" w:eastAsia="Times New Roman" w:cs="Times New Roman"/>
          <w:b/>
          <w:sz w:val="24"/>
          <w:szCs w:val="24"/>
          <w:rtl w:val="0"/>
        </w:rPr>
        <w:t>narrative synthesis</w:t>
      </w:r>
      <w:r>
        <w:rPr>
          <w:rFonts w:ascii="Times New Roman" w:hAnsi="Times New Roman" w:eastAsia="Times New Roman" w:cs="Times New Roman"/>
          <w:sz w:val="24"/>
          <w:szCs w:val="24"/>
          <w:rtl w:val="0"/>
        </w:rPr>
        <w:t xml:space="preserve"> will be conducted to summarize findings across included studies, structured around the review objectives:</w:t>
      </w:r>
      <w:r>
        <w:rPr>
          <w:rFonts w:ascii="Times New Roman" w:hAnsi="Times New Roman" w:eastAsia="Times New Roman" w:cs="Times New Roman"/>
          <w:sz w:val="24"/>
          <w:szCs w:val="24"/>
          <w:rtl w:val="0"/>
        </w:rPr>
        <w:br w:type="textWrapping"/>
      </w:r>
    </w:p>
    <w:p w14:paraId="0000007A">
      <w:pPr>
        <w:numPr>
          <w:ilvl w:val="2"/>
          <w:numId w:val="6"/>
        </w:numPr>
        <w:spacing w:before="0" w:beforeAutospacing="0" w:after="0" w:afterAutospacing="0"/>
        <w:ind w:left="216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Types of endocrine manifestations and associated clinical features</w:t>
      </w:r>
      <w:r>
        <w:rPr>
          <w:rFonts w:ascii="Times New Roman" w:hAnsi="Times New Roman" w:eastAsia="Times New Roman" w:cs="Times New Roman"/>
          <w:sz w:val="24"/>
          <w:szCs w:val="24"/>
          <w:rtl w:val="0"/>
        </w:rPr>
        <w:br w:type="textWrapping"/>
      </w:r>
    </w:p>
    <w:p w14:paraId="0000007B">
      <w:pPr>
        <w:numPr>
          <w:ilvl w:val="2"/>
          <w:numId w:val="6"/>
        </w:numPr>
        <w:spacing w:before="0" w:beforeAutospacing="0" w:after="0" w:afterAutospacing="0"/>
        <w:ind w:left="216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Diagnostic approaches and reported challenges</w:t>
      </w:r>
      <w:r>
        <w:rPr>
          <w:rFonts w:ascii="Times New Roman" w:hAnsi="Times New Roman" w:eastAsia="Times New Roman" w:cs="Times New Roman"/>
          <w:sz w:val="24"/>
          <w:szCs w:val="24"/>
          <w:rtl w:val="0"/>
        </w:rPr>
        <w:br w:type="textWrapping"/>
      </w:r>
    </w:p>
    <w:p w14:paraId="0000007C">
      <w:pPr>
        <w:numPr>
          <w:ilvl w:val="2"/>
          <w:numId w:val="6"/>
        </w:numPr>
        <w:spacing w:before="0" w:beforeAutospacing="0" w:after="0" w:afterAutospacing="0"/>
        <w:ind w:left="2160" w:hanging="36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Management strategies and treatment challenges</w:t>
      </w:r>
      <w:r>
        <w:rPr>
          <w:rFonts w:ascii="Times New Roman" w:hAnsi="Times New Roman" w:eastAsia="Times New Roman" w:cs="Times New Roman"/>
          <w:sz w:val="24"/>
          <w:szCs w:val="24"/>
          <w:rtl w:val="0"/>
        </w:rPr>
        <w:br w:type="textWrapping"/>
      </w:r>
    </w:p>
    <w:p w14:paraId="0000007D">
      <w:pPr>
        <w:numPr>
          <w:ilvl w:val="1"/>
          <w:numId w:val="6"/>
        </w:numPr>
        <w:spacing w:before="0" w:beforeAutospacing="0" w:after="0" w:afterAutospacing="0"/>
        <w:ind w:left="1440" w:hanging="360"/>
        <w:rPr>
          <w:sz w:val="24"/>
          <w:szCs w:val="24"/>
        </w:rPr>
      </w:pPr>
      <w:r>
        <w:rPr>
          <w:rFonts w:ascii="Times New Roman" w:hAnsi="Times New Roman" w:eastAsia="Times New Roman" w:cs="Times New Roman"/>
          <w:sz w:val="24"/>
          <w:szCs w:val="24"/>
          <w:rtl w:val="0"/>
        </w:rPr>
        <w:t xml:space="preserve">Where sufficient comparable data are available, </w:t>
      </w:r>
      <w:r>
        <w:rPr>
          <w:rFonts w:ascii="Times New Roman" w:hAnsi="Times New Roman" w:eastAsia="Times New Roman" w:cs="Times New Roman"/>
          <w:b/>
          <w:sz w:val="24"/>
          <w:szCs w:val="24"/>
          <w:rtl w:val="0"/>
        </w:rPr>
        <w:t>cross-tabulation</w:t>
      </w:r>
      <w:r>
        <w:rPr>
          <w:rFonts w:ascii="Times New Roman" w:hAnsi="Times New Roman" w:eastAsia="Times New Roman" w:cs="Times New Roman"/>
          <w:sz w:val="24"/>
          <w:szCs w:val="24"/>
          <w:rtl w:val="0"/>
        </w:rPr>
        <w:t xml:space="preserve"> (e.g., type of endocrine dysfunction by age group, or management strategy by outcome) will be used to explore potential patterns.</w:t>
      </w:r>
      <w:r>
        <w:rPr>
          <w:rFonts w:ascii="Times New Roman" w:hAnsi="Times New Roman" w:eastAsia="Times New Roman" w:cs="Times New Roman"/>
          <w:sz w:val="24"/>
          <w:szCs w:val="24"/>
          <w:rtl w:val="0"/>
        </w:rPr>
        <w:br w:type="textWrapping"/>
      </w:r>
    </w:p>
    <w:p w14:paraId="0000007E">
      <w:pPr>
        <w:numPr>
          <w:ilvl w:val="0"/>
          <w:numId w:val="6"/>
        </w:numPr>
        <w:spacing w:before="0" w:beforeAutospacing="0" w:after="0" w:afterAutospacing="0"/>
        <w:ind w:left="720" w:hanging="36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Qualitative Analysis</w:t>
      </w:r>
      <w:r>
        <w:rPr>
          <w:rFonts w:ascii="Times New Roman" w:hAnsi="Times New Roman" w:eastAsia="Times New Roman" w:cs="Times New Roman"/>
          <w:b/>
          <w:sz w:val="24"/>
          <w:szCs w:val="24"/>
          <w:rtl w:val="0"/>
        </w:rPr>
        <w:br w:type="textWrapping"/>
      </w:r>
    </w:p>
    <w:p w14:paraId="0000007F">
      <w:pPr>
        <w:numPr>
          <w:ilvl w:val="1"/>
          <w:numId w:val="6"/>
        </w:numPr>
        <w:spacing w:before="0" w:beforeAutospacing="0" w:after="240"/>
        <w:ind w:left="1440" w:hanging="360"/>
        <w:rPr>
          <w:sz w:val="24"/>
          <w:szCs w:val="24"/>
        </w:rPr>
      </w:pPr>
      <w:r>
        <w:rPr>
          <w:rFonts w:ascii="Times New Roman" w:hAnsi="Times New Roman" w:eastAsia="Times New Roman" w:cs="Times New Roman"/>
          <w:sz w:val="24"/>
          <w:szCs w:val="24"/>
          <w:rtl w:val="0"/>
        </w:rPr>
        <w:t xml:space="preserve">Descriptive thematic grouping will be applied to categorize reported </w:t>
      </w:r>
      <w:r>
        <w:rPr>
          <w:rFonts w:ascii="Times New Roman" w:hAnsi="Times New Roman" w:eastAsia="Times New Roman" w:cs="Times New Roman"/>
          <w:b/>
          <w:sz w:val="24"/>
          <w:szCs w:val="24"/>
          <w:rtl w:val="0"/>
        </w:rPr>
        <w:t>diagnostic challenges</w:t>
      </w:r>
      <w:r>
        <w:rPr>
          <w:rFonts w:ascii="Times New Roman" w:hAnsi="Times New Roman" w:eastAsia="Times New Roman" w:cs="Times New Roman"/>
          <w:sz w:val="24"/>
          <w:szCs w:val="24"/>
          <w:rtl w:val="0"/>
        </w:rPr>
        <w:t xml:space="preserve"> and </w:t>
      </w:r>
      <w:r>
        <w:rPr>
          <w:rFonts w:ascii="Times New Roman" w:hAnsi="Times New Roman" w:eastAsia="Times New Roman" w:cs="Times New Roman"/>
          <w:b/>
          <w:sz w:val="24"/>
          <w:szCs w:val="24"/>
          <w:rtl w:val="0"/>
        </w:rPr>
        <w:t>management difficulties</w:t>
      </w:r>
      <w:r>
        <w:rPr>
          <w:rFonts w:ascii="Times New Roman" w:hAnsi="Times New Roman" w:eastAsia="Times New Roman" w:cs="Times New Roman"/>
          <w:sz w:val="24"/>
          <w:szCs w:val="24"/>
          <w:rtl w:val="0"/>
        </w:rPr>
        <w:t xml:space="preserve"> in KSS patients with endocrine dysfunction.</w:t>
      </w:r>
      <w:r>
        <w:rPr>
          <w:rFonts w:ascii="Times New Roman" w:hAnsi="Times New Roman" w:eastAsia="Times New Roman" w:cs="Times New Roman"/>
          <w:sz w:val="24"/>
          <w:szCs w:val="24"/>
          <w:rtl w:val="0"/>
        </w:rPr>
        <w:br w:type="textWrapping"/>
      </w:r>
    </w:p>
    <w:p w14:paraId="00000080">
      <w:pPr>
        <w:jc w:val="both"/>
        <w:rPr>
          <w:rFonts w:ascii="Times New Roman" w:hAnsi="Times New Roman" w:eastAsia="Times New Roman" w:cs="Times New Roman"/>
          <w:b/>
          <w:color w:val="4472C4"/>
          <w:sz w:val="24"/>
          <w:szCs w:val="24"/>
        </w:rPr>
      </w:pPr>
    </w:p>
    <w:p w14:paraId="00000081">
      <w:pPr>
        <w:jc w:val="both"/>
        <w:rPr>
          <w:rFonts w:ascii="Times New Roman" w:hAnsi="Times New Roman" w:eastAsia="Times New Roman" w:cs="Times New Roman"/>
          <w:b/>
          <w:color w:val="0000FF"/>
          <w:sz w:val="24"/>
          <w:szCs w:val="24"/>
        </w:rPr>
      </w:pPr>
    </w:p>
    <w:p w14:paraId="00000082">
      <w:pPr>
        <w:jc w:val="both"/>
        <w:rPr>
          <w:rFonts w:ascii="Times New Roman" w:hAnsi="Times New Roman" w:eastAsia="Times New Roman" w:cs="Times New Roman"/>
          <w:b/>
          <w:color w:val="0000FF"/>
          <w:sz w:val="24"/>
          <w:szCs w:val="24"/>
        </w:rPr>
      </w:pPr>
    </w:p>
    <w:p w14:paraId="00000083">
      <w:pPr>
        <w:jc w:val="both"/>
        <w:rPr>
          <w:rFonts w:ascii="Times New Roman" w:hAnsi="Times New Roman" w:eastAsia="Times New Roman" w:cs="Times New Roman"/>
          <w:b/>
          <w:color w:val="0000FF"/>
          <w:sz w:val="24"/>
          <w:szCs w:val="24"/>
        </w:rPr>
      </w:pPr>
    </w:p>
    <w:p w14:paraId="00000084">
      <w:pPr>
        <w:jc w:val="both"/>
        <w:rPr>
          <w:rFonts w:ascii="Times New Roman" w:hAnsi="Times New Roman" w:eastAsia="Times New Roman" w:cs="Times New Roman"/>
          <w:b/>
          <w:color w:val="4472C4"/>
          <w:sz w:val="24"/>
          <w:szCs w:val="24"/>
          <w:shd w:val="clear" w:fill="auto"/>
        </w:rPr>
      </w:pPr>
      <w:r>
        <w:rPr>
          <w:rFonts w:ascii="Times New Roman" w:hAnsi="Times New Roman" w:eastAsia="Times New Roman" w:cs="Times New Roman"/>
          <w:b/>
          <w:color w:val="4472C4"/>
          <w:sz w:val="24"/>
          <w:szCs w:val="24"/>
          <w:shd w:val="clear" w:fill="auto"/>
          <w:rtl w:val="0"/>
        </w:rPr>
        <w:t xml:space="preserve">Quality Assessment </w:t>
      </w:r>
    </w:p>
    <w:p w14:paraId="00000085">
      <w:pPr>
        <w:jc w:val="both"/>
        <w:rPr>
          <w:rFonts w:ascii="Times New Roman" w:hAnsi="Times New Roman" w:eastAsia="Times New Roman" w:cs="Times New Roman"/>
          <w:sz w:val="24"/>
          <w:szCs w:val="24"/>
          <w:highlight w:val="yellow"/>
        </w:rPr>
      </w:pPr>
    </w:p>
    <w:p w14:paraId="0000008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methodological quality and risk of bias of all included studies will be assessed using the Joanna Briggs Institute (JBI) Critical Appraisal checklist appropriate for Case reports and case series. The results of the appraisal will be summarized in a table, and disagreements between reviewers will be resolved through discussion or consultation with a third reviewer. Studies will not be excluded based solely on quality scores, but the risk of bias will be taken into account during the interpretation of findings.</w:t>
      </w:r>
    </w:p>
    <w:p w14:paraId="0000008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fill="FBFBFB"/>
          <w:rtl w:val="0"/>
        </w:rPr>
        <w:t>Risk of bias due to missing results will be assessed,</w:t>
      </w:r>
      <w:r>
        <w:rPr>
          <w:rFonts w:ascii="Times New Roman" w:hAnsi="Times New Roman" w:eastAsia="Times New Roman" w:cs="Times New Roman"/>
          <w:sz w:val="24"/>
          <w:szCs w:val="24"/>
          <w:highlight w:val="white"/>
          <w:rtl w:val="0"/>
        </w:rPr>
        <w:t>selective reporting will be considered narratively by checking for missing outcome data and inconsistencies across sources</w:t>
      </w:r>
      <w:r>
        <w:rPr>
          <w:rFonts w:ascii="Times New Roman" w:hAnsi="Times New Roman" w:eastAsia="Times New Roman" w:cs="Times New Roman"/>
          <w:sz w:val="23"/>
          <w:szCs w:val="23"/>
          <w:highlight w:val="white"/>
          <w:rtl w:val="0"/>
        </w:rPr>
        <w:t>.</w:t>
      </w:r>
    </w:p>
    <w:p w14:paraId="00000088">
      <w:pPr>
        <w:jc w:val="both"/>
        <w:rPr>
          <w:rFonts w:ascii="Times New Roman" w:hAnsi="Times New Roman" w:eastAsia="Times New Roman" w:cs="Times New Roman"/>
          <w:sz w:val="24"/>
          <w:szCs w:val="24"/>
        </w:rPr>
      </w:pPr>
    </w:p>
    <w:p w14:paraId="00000089">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Certainty of evidence will be assessed using the GRADE approach, adapted for rare diseases and case-based evidence. The domains of risk of bias, inconsistency, indirectness, imprecision, and publication bias will be considered. Where evidence derives mainly from case reports and case series, the overall certainty will be rated as very low to low, but important clinical signals will still be summarized narratively.</w:t>
      </w:r>
    </w:p>
    <w:p w14:paraId="0000008A">
      <w:pPr>
        <w:jc w:val="both"/>
        <w:rPr>
          <w:rFonts w:ascii="Times New Roman" w:hAnsi="Times New Roman" w:eastAsia="Times New Roman" w:cs="Times New Roman"/>
          <w:sz w:val="24"/>
          <w:szCs w:val="24"/>
        </w:rPr>
      </w:pPr>
    </w:p>
    <w:p w14:paraId="0000008B">
      <w:pPr>
        <w:jc w:val="both"/>
        <w:rPr>
          <w:rFonts w:ascii="Times New Roman" w:hAnsi="Times New Roman" w:eastAsia="Times New Roman" w:cs="Times New Roman"/>
          <w:sz w:val="24"/>
          <w:szCs w:val="24"/>
        </w:rPr>
      </w:pPr>
    </w:p>
    <w:p w14:paraId="0000008C">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 xml:space="preserve">Significance of study </w:t>
      </w:r>
    </w:p>
    <w:p w14:paraId="0000008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Kearns-Sayre Syndrome (KSS) is a rare multisystem mitochondrial disorder with well-documented neurological and cardiac features, yet its endocrine dysfunctions are underreported and poorly understood, often overlooked in early diagnosis and management (Boles et al., 2017; Lynch et al., 2018). Given that endocrine complications such as diabetes mellitus, hypothyroidism, and hypogonadism can significantly impact quality of life, growth, metabolism, and fertility, their early recognition is essential for optimizing care.</w:t>
      </w:r>
    </w:p>
    <w:p w14:paraId="0000008E">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Although individual case reports and small case series have described various endocrine abnormalities in KSS, there is currently </w:t>
      </w:r>
      <w:r>
        <w:rPr>
          <w:rFonts w:ascii="Times New Roman" w:hAnsi="Times New Roman" w:eastAsia="Times New Roman" w:cs="Times New Roman"/>
          <w:b/>
          <w:sz w:val="24"/>
          <w:szCs w:val="24"/>
          <w:rtl w:val="0"/>
        </w:rPr>
        <w:t>no comprehensive synthesis</w:t>
      </w:r>
      <w:r>
        <w:rPr>
          <w:rFonts w:ascii="Times New Roman" w:hAnsi="Times New Roman" w:eastAsia="Times New Roman" w:cs="Times New Roman"/>
          <w:sz w:val="24"/>
          <w:szCs w:val="24"/>
          <w:rtl w:val="0"/>
        </w:rPr>
        <w:t xml:space="preserve"> of the literature that systematically reviews:</w:t>
      </w:r>
    </w:p>
    <w:p w14:paraId="0000008F">
      <w:pPr>
        <w:numPr>
          <w:ilvl w:val="0"/>
          <w:numId w:val="7"/>
        </w:numPr>
        <w:spacing w:before="240" w:after="0" w:afterAutospacing="0"/>
        <w:ind w:left="720" w:hanging="360"/>
        <w:rPr>
          <w:sz w:val="24"/>
          <w:szCs w:val="24"/>
        </w:rPr>
      </w:pP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sz w:val="24"/>
          <w:szCs w:val="24"/>
          <w:rtl w:val="0"/>
        </w:rPr>
        <w:t>spectrum of endocrine gland involvement and associated clinical manifestations</w:t>
      </w:r>
      <w:r>
        <w:rPr>
          <w:rFonts w:ascii="Times New Roman" w:hAnsi="Times New Roman" w:eastAsia="Times New Roman" w:cs="Times New Roman"/>
          <w:sz w:val="24"/>
          <w:szCs w:val="24"/>
          <w:rtl w:val="0"/>
        </w:rPr>
        <w:t>.</w:t>
      </w:r>
      <w:r>
        <w:rPr>
          <w:rFonts w:ascii="Times New Roman" w:hAnsi="Times New Roman" w:eastAsia="Times New Roman" w:cs="Times New Roman"/>
          <w:sz w:val="24"/>
          <w:szCs w:val="24"/>
          <w:rtl w:val="0"/>
        </w:rPr>
        <w:br w:type="textWrapping"/>
      </w:r>
    </w:p>
    <w:p w14:paraId="00000090">
      <w:pPr>
        <w:numPr>
          <w:ilvl w:val="0"/>
          <w:numId w:val="7"/>
        </w:numPr>
        <w:spacing w:before="0" w:beforeAutospacing="0" w:after="0" w:afterAutospacing="0"/>
        <w:ind w:left="720" w:hanging="360"/>
        <w:rPr>
          <w:sz w:val="24"/>
          <w:szCs w:val="24"/>
        </w:rPr>
      </w:pP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sz w:val="24"/>
          <w:szCs w:val="24"/>
          <w:rtl w:val="0"/>
        </w:rPr>
        <w:t>diagnostic approaches and challenges</w:t>
      </w:r>
      <w:r>
        <w:rPr>
          <w:rFonts w:ascii="Times New Roman" w:hAnsi="Times New Roman" w:eastAsia="Times New Roman" w:cs="Times New Roman"/>
          <w:sz w:val="24"/>
          <w:szCs w:val="24"/>
          <w:rtl w:val="0"/>
        </w:rPr>
        <w:t xml:space="preserve"> faced by clinicians in identifying these complications within the broader context of KSS.</w:t>
      </w:r>
      <w:r>
        <w:rPr>
          <w:rFonts w:ascii="Times New Roman" w:hAnsi="Times New Roman" w:eastAsia="Times New Roman" w:cs="Times New Roman"/>
          <w:sz w:val="24"/>
          <w:szCs w:val="24"/>
          <w:rtl w:val="0"/>
        </w:rPr>
        <w:br w:type="textWrapping"/>
      </w:r>
    </w:p>
    <w:p w14:paraId="00000091">
      <w:pPr>
        <w:numPr>
          <w:ilvl w:val="0"/>
          <w:numId w:val="7"/>
        </w:numPr>
        <w:spacing w:before="0" w:beforeAutospacing="0" w:after="240"/>
        <w:ind w:left="720" w:hanging="360"/>
        <w:rPr>
          <w:sz w:val="24"/>
          <w:szCs w:val="24"/>
        </w:rPr>
      </w:pPr>
      <w:r>
        <w:rPr>
          <w:rFonts w:ascii="Times New Roman" w:hAnsi="Times New Roman" w:eastAsia="Times New Roman" w:cs="Times New Roman"/>
          <w:sz w:val="24"/>
          <w:szCs w:val="24"/>
          <w:rtl w:val="0"/>
        </w:rPr>
        <w:t xml:space="preserve">The </w:t>
      </w:r>
      <w:r>
        <w:rPr>
          <w:rFonts w:ascii="Times New Roman" w:hAnsi="Times New Roman" w:eastAsia="Times New Roman" w:cs="Times New Roman"/>
          <w:b/>
          <w:sz w:val="24"/>
          <w:szCs w:val="24"/>
          <w:rtl w:val="0"/>
        </w:rPr>
        <w:t>management strategies and therapeutic challenges</w:t>
      </w:r>
      <w:r>
        <w:rPr>
          <w:rFonts w:ascii="Times New Roman" w:hAnsi="Times New Roman" w:eastAsia="Times New Roman" w:cs="Times New Roman"/>
          <w:sz w:val="24"/>
          <w:szCs w:val="24"/>
          <w:rtl w:val="0"/>
        </w:rPr>
        <w:t xml:space="preserve"> reported, including variable treatment responses and long-term care needs.</w:t>
      </w:r>
      <w:r>
        <w:rPr>
          <w:rFonts w:ascii="Times New Roman" w:hAnsi="Times New Roman" w:eastAsia="Times New Roman" w:cs="Times New Roman"/>
          <w:sz w:val="24"/>
          <w:szCs w:val="24"/>
          <w:rtl w:val="0"/>
        </w:rPr>
        <w:br w:type="textWrapping"/>
      </w:r>
    </w:p>
    <w:p w14:paraId="00000092">
      <w:pPr>
        <w:spacing w:before="240"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This knowledge gap contributes to:</w:t>
      </w:r>
    </w:p>
    <w:p w14:paraId="00000093">
      <w:pPr>
        <w:numPr>
          <w:ilvl w:val="0"/>
          <w:numId w:val="8"/>
        </w:numPr>
        <w:spacing w:before="240" w:after="0" w:afterAutospacing="0"/>
        <w:ind w:left="720" w:hanging="360"/>
        <w:rPr>
          <w:sz w:val="24"/>
          <w:szCs w:val="24"/>
        </w:rPr>
      </w:pPr>
      <w:r>
        <w:rPr>
          <w:rFonts w:ascii="Times New Roman" w:hAnsi="Times New Roman" w:eastAsia="Times New Roman" w:cs="Times New Roman"/>
          <w:b/>
          <w:sz w:val="24"/>
          <w:szCs w:val="24"/>
          <w:rtl w:val="0"/>
        </w:rPr>
        <w:t>Lack of consolidated clinical guidance</w:t>
      </w:r>
      <w:r>
        <w:rPr>
          <w:rFonts w:ascii="Times New Roman" w:hAnsi="Times New Roman" w:eastAsia="Times New Roman" w:cs="Times New Roman"/>
          <w:sz w:val="24"/>
          <w:szCs w:val="24"/>
          <w:rtl w:val="0"/>
        </w:rPr>
        <w:t xml:space="preserve"> on screening and management of endocrine complications in KSS.</w:t>
      </w:r>
      <w:r>
        <w:rPr>
          <w:rFonts w:ascii="Times New Roman" w:hAnsi="Times New Roman" w:eastAsia="Times New Roman" w:cs="Times New Roman"/>
          <w:sz w:val="24"/>
          <w:szCs w:val="24"/>
          <w:rtl w:val="0"/>
        </w:rPr>
        <w:br w:type="textWrapping"/>
      </w:r>
    </w:p>
    <w:p w14:paraId="00000094">
      <w:pPr>
        <w:numPr>
          <w:ilvl w:val="0"/>
          <w:numId w:val="8"/>
        </w:numPr>
        <w:spacing w:before="0" w:beforeAutospacing="0" w:after="0" w:afterAutospacing="0"/>
        <w:ind w:left="720" w:hanging="360"/>
        <w:rPr>
          <w:sz w:val="24"/>
          <w:szCs w:val="24"/>
        </w:rPr>
      </w:pPr>
      <w:r>
        <w:rPr>
          <w:rFonts w:ascii="Times New Roman" w:hAnsi="Times New Roman" w:eastAsia="Times New Roman" w:cs="Times New Roman"/>
          <w:b/>
          <w:sz w:val="24"/>
          <w:szCs w:val="24"/>
          <w:rtl w:val="0"/>
        </w:rPr>
        <w:t>Delays in diagnosis and treatment</w:t>
      </w:r>
      <w:r>
        <w:rPr>
          <w:rFonts w:ascii="Times New Roman" w:hAnsi="Times New Roman" w:eastAsia="Times New Roman" w:cs="Times New Roman"/>
          <w:sz w:val="24"/>
          <w:szCs w:val="24"/>
          <w:rtl w:val="0"/>
        </w:rPr>
        <w:t>, often leading to mismanagement of potentially treatable conditions.</w:t>
      </w:r>
      <w:r>
        <w:rPr>
          <w:rFonts w:ascii="Times New Roman" w:hAnsi="Times New Roman" w:eastAsia="Times New Roman" w:cs="Times New Roman"/>
          <w:sz w:val="24"/>
          <w:szCs w:val="24"/>
          <w:rtl w:val="0"/>
        </w:rPr>
        <w:br w:type="textWrapping"/>
      </w:r>
    </w:p>
    <w:p w14:paraId="00000095">
      <w:pPr>
        <w:numPr>
          <w:ilvl w:val="0"/>
          <w:numId w:val="8"/>
        </w:numPr>
        <w:spacing w:before="0" w:beforeAutospacing="0" w:after="240"/>
        <w:ind w:left="720" w:hanging="360"/>
        <w:rPr>
          <w:sz w:val="24"/>
          <w:szCs w:val="24"/>
        </w:rPr>
      </w:pPr>
      <w:r>
        <w:rPr>
          <w:rFonts w:ascii="Times New Roman" w:hAnsi="Times New Roman" w:eastAsia="Times New Roman" w:cs="Times New Roman"/>
          <w:b/>
          <w:sz w:val="24"/>
          <w:szCs w:val="24"/>
          <w:rtl w:val="0"/>
        </w:rPr>
        <w:t>Fragmented research evidence</w:t>
      </w:r>
      <w:r>
        <w:rPr>
          <w:rFonts w:ascii="Times New Roman" w:hAnsi="Times New Roman" w:eastAsia="Times New Roman" w:cs="Times New Roman"/>
          <w:sz w:val="24"/>
          <w:szCs w:val="24"/>
          <w:rtl w:val="0"/>
        </w:rPr>
        <w:t>, preventing recognition of recurring patterns that could guide clinical protocols and future research.</w:t>
      </w:r>
      <w:r>
        <w:rPr>
          <w:rFonts w:ascii="Times New Roman" w:hAnsi="Times New Roman" w:eastAsia="Times New Roman" w:cs="Times New Roman"/>
          <w:sz w:val="24"/>
          <w:szCs w:val="24"/>
          <w:rtl w:val="0"/>
        </w:rPr>
        <w:br w:type="textWrapping"/>
      </w:r>
    </w:p>
    <w:p w14:paraId="00000096">
      <w:pPr>
        <w:spacing w:before="240"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By conducting this systematic review, we aim to address these gaps, providing an </w:t>
      </w:r>
      <w:r>
        <w:rPr>
          <w:rFonts w:ascii="Times New Roman" w:hAnsi="Times New Roman" w:eastAsia="Times New Roman" w:cs="Times New Roman"/>
          <w:b/>
          <w:sz w:val="24"/>
          <w:szCs w:val="24"/>
          <w:rtl w:val="0"/>
        </w:rPr>
        <w:t>evidence-based foundation</w:t>
      </w:r>
      <w:r>
        <w:rPr>
          <w:rFonts w:ascii="Times New Roman" w:hAnsi="Times New Roman" w:eastAsia="Times New Roman" w:cs="Times New Roman"/>
          <w:sz w:val="24"/>
          <w:szCs w:val="24"/>
          <w:rtl w:val="0"/>
        </w:rPr>
        <w:t xml:space="preserve"> to support early diagnosis, optimize endocrine management, and inform </w:t>
      </w:r>
      <w:r>
        <w:rPr>
          <w:rFonts w:ascii="Times New Roman" w:hAnsi="Times New Roman" w:eastAsia="Times New Roman" w:cs="Times New Roman"/>
          <w:b/>
          <w:sz w:val="24"/>
          <w:szCs w:val="24"/>
          <w:rtl w:val="0"/>
        </w:rPr>
        <w:t>interdisciplinary care strategies</w:t>
      </w:r>
      <w:r>
        <w:rPr>
          <w:rFonts w:ascii="Times New Roman" w:hAnsi="Times New Roman" w:eastAsia="Times New Roman" w:cs="Times New Roman"/>
          <w:sz w:val="24"/>
          <w:szCs w:val="24"/>
          <w:rtl w:val="0"/>
        </w:rPr>
        <w:t xml:space="preserve"> involving neurologists, endocrinologists, and geneticists. The review will also highlight diagnostic and therapeutic challenges, guiding areas for </w:t>
      </w:r>
      <w:r>
        <w:rPr>
          <w:rFonts w:ascii="Times New Roman" w:hAnsi="Times New Roman" w:eastAsia="Times New Roman" w:cs="Times New Roman"/>
          <w:b/>
          <w:sz w:val="24"/>
          <w:szCs w:val="24"/>
          <w:rtl w:val="0"/>
        </w:rPr>
        <w:t>future clinical research and surveillance protocols</w:t>
      </w:r>
      <w:r>
        <w:rPr>
          <w:rFonts w:ascii="Times New Roman" w:hAnsi="Times New Roman" w:eastAsia="Times New Roman" w:cs="Times New Roman"/>
          <w:sz w:val="24"/>
          <w:szCs w:val="24"/>
          <w:rtl w:val="0"/>
        </w:rPr>
        <w:t>.</w:t>
      </w:r>
    </w:p>
    <w:p w14:paraId="00000097">
      <w:pPr>
        <w:jc w:val="both"/>
        <w:rPr>
          <w:rFonts w:ascii="Times New Roman" w:hAnsi="Times New Roman" w:eastAsia="Times New Roman" w:cs="Times New Roman"/>
          <w:sz w:val="24"/>
          <w:szCs w:val="24"/>
        </w:rPr>
      </w:pPr>
    </w:p>
    <w:p w14:paraId="00000098">
      <w:pPr>
        <w:jc w:val="both"/>
        <w:rPr>
          <w:rFonts w:ascii="Times New Roman" w:hAnsi="Times New Roman" w:eastAsia="Times New Roman" w:cs="Times New Roman"/>
          <w:color w:val="0000FF"/>
          <w:sz w:val="24"/>
          <w:szCs w:val="24"/>
        </w:rPr>
      </w:pPr>
    </w:p>
    <w:p w14:paraId="00000099">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Dissemination:</w:t>
      </w:r>
    </w:p>
    <w:p w14:paraId="0000009A">
      <w:pPr>
        <w:jc w:val="both"/>
        <w:rPr>
          <w:rFonts w:ascii="Times New Roman" w:hAnsi="Times New Roman" w:eastAsia="Times New Roman" w:cs="Times New Roman"/>
          <w:b/>
          <w:color w:val="2E75B5"/>
          <w:sz w:val="24"/>
          <w:szCs w:val="24"/>
        </w:rPr>
      </w:pPr>
    </w:p>
    <w:p w14:paraId="0000009B">
      <w:pPr>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The finding of this review will be disseminated through Multiple channels to maximize impact</w:t>
      </w:r>
    </w:p>
    <w:p w14:paraId="0000009C">
      <w:pPr>
        <w:jc w:val="both"/>
        <w:rPr>
          <w:rFonts w:ascii="Times New Roman" w:hAnsi="Times New Roman" w:eastAsia="Times New Roman" w:cs="Times New Roman"/>
          <w:color w:val="000000"/>
          <w:sz w:val="24"/>
          <w:szCs w:val="24"/>
        </w:rPr>
      </w:pPr>
    </w:p>
    <w:p w14:paraId="0000009D">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both"/>
        <w:rPr>
          <w:rFonts w:ascii="Times New Roman" w:hAnsi="Times New Roman" w:eastAsia="Times New Roman" w:cs="Times New Roman"/>
          <w:i w:val="0"/>
          <w:smallCaps w:val="0"/>
          <w:strike w:val="0"/>
          <w:color w:val="000000"/>
          <w:sz w:val="24"/>
          <w:szCs w:val="24"/>
          <w:shd w:val="clear" w:fill="auto"/>
          <w:vertAlign w:val="baseline"/>
        </w:rPr>
      </w:pPr>
      <w:r>
        <w:rPr>
          <w:rFonts w:ascii="Times New Roman" w:hAnsi="Times New Roman" w:eastAsia="Times New Roman" w:cs="Times New Roman"/>
          <w:i w:val="0"/>
          <w:smallCaps w:val="0"/>
          <w:strike w:val="0"/>
          <w:color w:val="000000"/>
          <w:sz w:val="24"/>
          <w:szCs w:val="24"/>
          <w:u w:val="none"/>
          <w:shd w:val="clear" w:fill="auto"/>
          <w:vertAlign w:val="baseline"/>
          <w:rtl w:val="0"/>
        </w:rPr>
        <w:t>systematic review will be submitted for publication in Peer-reviewed Journals.</w:t>
      </w:r>
    </w:p>
    <w:p w14:paraId="0000009E">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both"/>
        <w:rPr>
          <w:rFonts w:ascii="Calibri" w:hAnsi="Calibri" w:eastAsia="Calibri" w:cs="Calibri"/>
          <w:b w:val="0"/>
          <w:i w:val="0"/>
          <w:smallCaps w:val="0"/>
          <w:strike w:val="0"/>
          <w:color w:val="000000"/>
          <w:sz w:val="24"/>
          <w:szCs w:val="24"/>
          <w:shd w:val="clear" w:fill="auto"/>
          <w:vertAlign w:val="baseline"/>
        </w:rPr>
      </w:pPr>
      <w:r>
        <w:rPr>
          <w:rFonts w:ascii="Times New Roman" w:hAnsi="Times New Roman" w:eastAsia="Times New Roman" w:cs="Times New Roman"/>
          <w:i w:val="0"/>
          <w:smallCaps w:val="0"/>
          <w:strike w:val="0"/>
          <w:color w:val="000000"/>
          <w:sz w:val="24"/>
          <w:szCs w:val="24"/>
          <w:u w:val="none"/>
          <w:shd w:val="clear" w:fill="auto"/>
          <w:vertAlign w:val="baseline"/>
          <w:rtl w:val="0"/>
        </w:rPr>
        <w:t xml:space="preserve">The findings of review will be shared with </w:t>
      </w:r>
      <w:r>
        <w:rPr>
          <w:rFonts w:ascii="Times New Roman" w:hAnsi="Times New Roman" w:eastAsia="Times New Roman" w:cs="Times New Roman"/>
          <w:b/>
          <w:i w:val="0"/>
          <w:smallCaps w:val="0"/>
          <w:strike w:val="0"/>
          <w:color w:val="000000"/>
          <w:sz w:val="24"/>
          <w:szCs w:val="24"/>
          <w:u w:val="none"/>
          <w:shd w:val="clear" w:fill="auto"/>
          <w:vertAlign w:val="baseline"/>
          <w:rtl w:val="0"/>
        </w:rPr>
        <w:t>clinicians</w:t>
      </w:r>
      <w:r>
        <w:rPr>
          <w:rFonts w:ascii="Times New Roman" w:hAnsi="Times New Roman" w:eastAsia="Times New Roman" w:cs="Times New Roman"/>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sz w:val="24"/>
          <w:szCs w:val="24"/>
          <w:rtl w:val="0"/>
        </w:rPr>
        <w:t>endocrinologists, neurologists, and genetic specialists</w:t>
      </w:r>
      <w:r>
        <w:rPr>
          <w:rFonts w:ascii="Times New Roman" w:hAnsi="Times New Roman" w:eastAsia="Times New Roman" w:cs="Times New Roman"/>
          <w:sz w:val="24"/>
          <w:szCs w:val="24"/>
          <w:rtl w:val="0"/>
        </w:rPr>
        <w:t xml:space="preserve"> through professional networks and academic platforms. This dissemination will help promote </w:t>
      </w:r>
      <w:r>
        <w:rPr>
          <w:rFonts w:ascii="Times New Roman" w:hAnsi="Times New Roman" w:eastAsia="Times New Roman" w:cs="Times New Roman"/>
          <w:b/>
          <w:sz w:val="24"/>
          <w:szCs w:val="24"/>
          <w:rtl w:val="0"/>
        </w:rPr>
        <w:t>early recognition, interdisciplinary care, and improved management protocols</w:t>
      </w:r>
      <w:r>
        <w:rPr>
          <w:rFonts w:ascii="Times New Roman" w:hAnsi="Times New Roman" w:eastAsia="Times New Roman" w:cs="Times New Roman"/>
          <w:sz w:val="24"/>
          <w:szCs w:val="24"/>
          <w:rtl w:val="0"/>
        </w:rPr>
        <w:t xml:space="preserve"> for patients with Kearns–Sayre Syndrome.</w:t>
      </w:r>
    </w:p>
    <w:p w14:paraId="0000009F">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both"/>
        <w:rPr>
          <w:rFonts w:ascii="Calibri" w:hAnsi="Calibri" w:eastAsia="Calibri" w:cs="Calibri"/>
          <w:b w:val="0"/>
          <w:i w:val="0"/>
          <w:smallCaps w:val="0"/>
          <w:strike w:val="0"/>
          <w:color w:val="000000"/>
          <w:sz w:val="24"/>
          <w:szCs w:val="24"/>
          <w:shd w:val="clear" w:fill="auto"/>
          <w:vertAlign w:val="baseline"/>
        </w:rPr>
      </w:pPr>
      <w:r>
        <w:rPr>
          <w:rFonts w:ascii="Times New Roman" w:hAnsi="Times New Roman" w:eastAsia="Times New Roman" w:cs="Times New Roman"/>
          <w:sz w:val="24"/>
          <w:szCs w:val="24"/>
          <w:rtl w:val="0"/>
        </w:rPr>
        <w:t xml:space="preserve">Where possible, findings will also be communicated via </w:t>
      </w:r>
      <w:r>
        <w:rPr>
          <w:rFonts w:ascii="Times New Roman" w:hAnsi="Times New Roman" w:eastAsia="Times New Roman" w:cs="Times New Roman"/>
          <w:b/>
          <w:sz w:val="24"/>
          <w:szCs w:val="24"/>
          <w:rtl w:val="0"/>
        </w:rPr>
        <w:t>research repositories, institutional newsletters, and professional societies</w:t>
      </w:r>
      <w:r>
        <w:rPr>
          <w:rFonts w:ascii="Times New Roman" w:hAnsi="Times New Roman" w:eastAsia="Times New Roman" w:cs="Times New Roman"/>
          <w:sz w:val="24"/>
          <w:szCs w:val="24"/>
          <w:rtl w:val="0"/>
        </w:rPr>
        <w:t>, ensuring accessibility to both researchers and healthcare providers.</w:t>
      </w:r>
    </w:p>
    <w:p w14:paraId="000000A0">
      <w:pPr>
        <w:jc w:val="both"/>
        <w:rPr>
          <w:rFonts w:ascii="Times New Roman" w:hAnsi="Times New Roman" w:eastAsia="Times New Roman" w:cs="Times New Roman"/>
          <w:b/>
          <w:color w:val="2E75B5"/>
          <w:sz w:val="24"/>
          <w:szCs w:val="24"/>
        </w:rPr>
      </w:pPr>
    </w:p>
    <w:p w14:paraId="000000A1">
      <w:pPr>
        <w:jc w:val="both"/>
        <w:rPr>
          <w:rFonts w:ascii="Times New Roman" w:hAnsi="Times New Roman" w:eastAsia="Times New Roman" w:cs="Times New Roman"/>
          <w:color w:val="0000FF"/>
          <w:sz w:val="24"/>
          <w:szCs w:val="24"/>
        </w:rPr>
      </w:pPr>
    </w:p>
    <w:p w14:paraId="000000A2">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 xml:space="preserve"> Timeline </w:t>
      </w:r>
    </w:p>
    <w:p w14:paraId="000000A3">
      <w:pPr>
        <w:jc w:val="both"/>
        <w:rPr>
          <w:rFonts w:ascii="Times New Roman" w:hAnsi="Times New Roman" w:eastAsia="Times New Roman" w:cs="Times New Roman"/>
          <w:color w:val="2E75B5"/>
          <w:sz w:val="24"/>
          <w:szCs w:val="24"/>
        </w:rPr>
      </w:pPr>
    </w:p>
    <w:p w14:paraId="000000A4">
      <w:pPr>
        <w:numPr>
          <w:ilvl w:val="0"/>
          <w:numId w:val="10"/>
        </w:numPr>
        <w:spacing w:before="280" w:after="0"/>
        <w:ind w:left="720" w:hanging="360"/>
        <w:jc w:val="both"/>
        <w:rPr>
          <w:sz w:val="24"/>
          <w:szCs w:val="24"/>
        </w:rPr>
      </w:pPr>
      <w:r>
        <w:rPr>
          <w:rFonts w:ascii="Times New Roman" w:hAnsi="Times New Roman" w:eastAsia="Times New Roman" w:cs="Times New Roman"/>
          <w:b/>
          <w:sz w:val="24"/>
          <w:szCs w:val="24"/>
          <w:rtl w:val="0"/>
        </w:rPr>
        <w:t>Protocol Development &amp; Registration:</w:t>
      </w:r>
      <w:r>
        <w:rPr>
          <w:rFonts w:ascii="Times New Roman" w:hAnsi="Times New Roman" w:eastAsia="Times New Roman" w:cs="Times New Roman"/>
          <w:sz w:val="24"/>
          <w:szCs w:val="24"/>
          <w:rtl w:val="0"/>
        </w:rPr>
        <w:t xml:space="preserve"> 1 month</w:t>
      </w:r>
    </w:p>
    <w:p w14:paraId="000000A5">
      <w:pPr>
        <w:numPr>
          <w:ilvl w:val="0"/>
          <w:numId w:val="10"/>
        </w:numPr>
        <w:spacing w:before="0" w:after="0"/>
        <w:ind w:left="720" w:hanging="360"/>
        <w:jc w:val="both"/>
        <w:rPr>
          <w:sz w:val="24"/>
          <w:szCs w:val="24"/>
        </w:rPr>
      </w:pPr>
      <w:r>
        <w:rPr>
          <w:rFonts w:ascii="Times New Roman" w:hAnsi="Times New Roman" w:eastAsia="Times New Roman" w:cs="Times New Roman"/>
          <w:b/>
          <w:sz w:val="24"/>
          <w:szCs w:val="24"/>
          <w:rtl w:val="0"/>
        </w:rPr>
        <w:t xml:space="preserve">Literature Search &amp; Study Screening: </w:t>
      </w:r>
      <w:r>
        <w:rPr>
          <w:rFonts w:ascii="Times New Roman" w:hAnsi="Times New Roman" w:eastAsia="Times New Roman" w:cs="Times New Roman"/>
          <w:sz w:val="24"/>
          <w:szCs w:val="24"/>
          <w:rtl w:val="0"/>
        </w:rPr>
        <w:t>1 month</w:t>
      </w:r>
    </w:p>
    <w:p w14:paraId="000000A6">
      <w:pPr>
        <w:numPr>
          <w:ilvl w:val="0"/>
          <w:numId w:val="10"/>
        </w:numPr>
        <w:spacing w:before="0" w:after="0"/>
        <w:ind w:left="720" w:hanging="360"/>
        <w:jc w:val="both"/>
        <w:rPr>
          <w:sz w:val="24"/>
          <w:szCs w:val="24"/>
        </w:rPr>
      </w:pPr>
      <w:r>
        <w:rPr>
          <w:rFonts w:ascii="Times New Roman" w:hAnsi="Times New Roman" w:eastAsia="Times New Roman" w:cs="Times New Roman"/>
          <w:b/>
          <w:sz w:val="24"/>
          <w:szCs w:val="24"/>
          <w:rtl w:val="0"/>
        </w:rPr>
        <w:t>Data Extraction &amp; Quality Assessment:</w:t>
      </w:r>
      <w:r>
        <w:rPr>
          <w:rFonts w:ascii="Times New Roman" w:hAnsi="Times New Roman" w:eastAsia="Times New Roman" w:cs="Times New Roman"/>
          <w:sz w:val="24"/>
          <w:szCs w:val="24"/>
          <w:rtl w:val="0"/>
        </w:rPr>
        <w:t xml:space="preserve"> 1 month</w:t>
      </w:r>
    </w:p>
    <w:p w14:paraId="000000A7">
      <w:pPr>
        <w:numPr>
          <w:ilvl w:val="0"/>
          <w:numId w:val="10"/>
        </w:numPr>
        <w:spacing w:before="0" w:after="0"/>
        <w:ind w:left="720" w:hanging="360"/>
        <w:jc w:val="both"/>
        <w:rPr>
          <w:sz w:val="24"/>
          <w:szCs w:val="24"/>
        </w:rPr>
      </w:pPr>
      <w:r>
        <w:rPr>
          <w:rFonts w:ascii="Times New Roman" w:hAnsi="Times New Roman" w:eastAsia="Times New Roman" w:cs="Times New Roman"/>
          <w:b/>
          <w:sz w:val="24"/>
          <w:szCs w:val="24"/>
          <w:rtl w:val="0"/>
        </w:rPr>
        <w:t xml:space="preserve">Data Synthesis &amp; Analysis: </w:t>
      </w:r>
      <w:r>
        <w:rPr>
          <w:rFonts w:ascii="Times New Roman" w:hAnsi="Times New Roman" w:eastAsia="Times New Roman" w:cs="Times New Roman"/>
          <w:sz w:val="24"/>
          <w:szCs w:val="24"/>
          <w:rtl w:val="0"/>
        </w:rPr>
        <w:t xml:space="preserve"> 2 month</w:t>
      </w:r>
    </w:p>
    <w:p w14:paraId="000000A8">
      <w:pPr>
        <w:numPr>
          <w:ilvl w:val="0"/>
          <w:numId w:val="10"/>
        </w:numPr>
        <w:spacing w:before="0" w:after="280"/>
        <w:ind w:left="720" w:hanging="360"/>
        <w:jc w:val="both"/>
        <w:rPr>
          <w:sz w:val="24"/>
          <w:szCs w:val="24"/>
        </w:rPr>
      </w:pPr>
      <w:r>
        <w:rPr>
          <w:rFonts w:ascii="Times New Roman" w:hAnsi="Times New Roman" w:eastAsia="Times New Roman" w:cs="Times New Roman"/>
          <w:b/>
          <w:sz w:val="24"/>
          <w:szCs w:val="24"/>
          <w:rtl w:val="0"/>
        </w:rPr>
        <w:t>Manuscript Preparation &amp; Submission:</w:t>
      </w:r>
      <w:r>
        <w:rPr>
          <w:rFonts w:ascii="Times New Roman" w:hAnsi="Times New Roman" w:eastAsia="Times New Roman" w:cs="Times New Roman"/>
          <w:sz w:val="24"/>
          <w:szCs w:val="24"/>
          <w:rtl w:val="0"/>
        </w:rPr>
        <w:t xml:space="preserve"> 2 months</w:t>
      </w:r>
    </w:p>
    <w:p w14:paraId="000000A9">
      <w:pPr>
        <w:keepNext w:val="0"/>
        <w:keepLines w:val="0"/>
        <w:widowControl/>
        <w:jc w:val="left"/>
        <w:rPr>
          <w:rFonts w:ascii="Times New Roman" w:hAnsi="Times New Roman" w:eastAsia="Times New Roman" w:cs="Times New Roman"/>
          <w:sz w:val="24"/>
          <w:szCs w:val="24"/>
        </w:rPr>
      </w:pPr>
      <w:r>
        <w:rPr>
          <w:rFonts w:ascii="Times New Roman" w:hAnsi="Times New Roman" w:eastAsia="Times New Roman" w:cs="Times New Roman"/>
          <w:color w:val="0D7F25"/>
          <w:sz w:val="24"/>
          <w:szCs w:val="24"/>
          <w:rtl w:val="0"/>
        </w:rPr>
        <w:t xml:space="preserve">Anticipated or actual start date </w:t>
      </w:r>
    </w:p>
    <w:p w14:paraId="000000AA">
      <w:pPr>
        <w:keepNext w:val="0"/>
        <w:keepLines w:val="0"/>
        <w:widowControl/>
        <w:numPr>
          <w:ilvl w:val="0"/>
          <w:numId w:val="11"/>
        </w:numPr>
        <w:jc w:val="lef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sep-2025</w:t>
      </w:r>
    </w:p>
    <w:p w14:paraId="000000AB">
      <w:pPr>
        <w:keepNext w:val="0"/>
        <w:keepLines w:val="0"/>
        <w:widowControl/>
        <w:jc w:val="left"/>
        <w:rPr>
          <w:rFonts w:ascii="Times New Roman" w:hAnsi="Times New Roman" w:eastAsia="Times New Roman" w:cs="Times New Roman"/>
          <w:sz w:val="24"/>
          <w:szCs w:val="24"/>
        </w:rPr>
      </w:pPr>
    </w:p>
    <w:p w14:paraId="000000AC">
      <w:pPr>
        <w:keepNext w:val="0"/>
        <w:keepLines w:val="0"/>
        <w:widowControl/>
        <w:jc w:val="left"/>
        <w:rPr>
          <w:rFonts w:ascii="Times New Roman" w:hAnsi="Times New Roman" w:eastAsia="Times New Roman" w:cs="Times New Roman"/>
          <w:sz w:val="24"/>
          <w:szCs w:val="24"/>
        </w:rPr>
      </w:pPr>
      <w:r>
        <w:rPr>
          <w:rFonts w:ascii="Times New Roman" w:hAnsi="Times New Roman" w:eastAsia="Times New Roman" w:cs="Times New Roman"/>
          <w:color w:val="0D7F25"/>
          <w:sz w:val="24"/>
          <w:szCs w:val="24"/>
          <w:rtl w:val="0"/>
        </w:rPr>
        <w:t xml:space="preserve">Anticipated completion date </w:t>
      </w:r>
    </w:p>
    <w:p w14:paraId="000000AD">
      <w:pPr>
        <w:keepNext w:val="0"/>
        <w:keepLines w:val="0"/>
        <w:widowControl/>
        <w:numPr>
          <w:ilvl w:val="0"/>
          <w:numId w:val="11"/>
        </w:numPr>
        <w:ind w:left="0" w:firstLine="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Feb-2026</w:t>
      </w:r>
    </w:p>
    <w:p w14:paraId="000000AE">
      <w:pPr>
        <w:keepNext w:val="0"/>
        <w:keepLines w:val="0"/>
        <w:widowControl/>
        <w:jc w:val="left"/>
        <w:rPr>
          <w:rFonts w:ascii="Times New Roman" w:hAnsi="Times New Roman" w:eastAsia="Times New Roman" w:cs="Times New Roman"/>
          <w:sz w:val="24"/>
          <w:szCs w:val="24"/>
          <w:highlight w:val="white"/>
        </w:rPr>
      </w:pPr>
    </w:p>
    <w:p w14:paraId="000000AF">
      <w:pPr>
        <w:keepNext w:val="0"/>
        <w:keepLines w:val="0"/>
        <w:widowControl/>
        <w:jc w:val="left"/>
        <w:rPr>
          <w:rFonts w:ascii="Times New Roman" w:hAnsi="Times New Roman" w:eastAsia="Times New Roman" w:cs="Times New Roman"/>
          <w:color w:val="0D7F25"/>
          <w:sz w:val="24"/>
          <w:szCs w:val="24"/>
          <w:highlight w:val="white"/>
        </w:rPr>
      </w:pPr>
      <w:r>
        <w:rPr>
          <w:rFonts w:ascii="Times New Roman" w:hAnsi="Times New Roman" w:eastAsia="Times New Roman" w:cs="Times New Roman"/>
          <w:color w:val="0D7F25"/>
          <w:sz w:val="24"/>
          <w:szCs w:val="24"/>
          <w:highlight w:val="white"/>
          <w:rtl w:val="0"/>
        </w:rPr>
        <w:t xml:space="preserve">Funding sources/sponsors </w:t>
      </w:r>
    </w:p>
    <w:p w14:paraId="000000B0">
      <w:pPr>
        <w:keepNext w:val="0"/>
        <w:keepLines w:val="0"/>
        <w:widowControl/>
        <w:jc w:val="left"/>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National Institute For Health Research</w:t>
      </w:r>
    </w:p>
    <w:p w14:paraId="000000B1">
      <w:pPr>
        <w:keepNext w:val="0"/>
        <w:keepLines w:val="0"/>
        <w:widowControl/>
        <w:jc w:val="left"/>
        <w:rPr>
          <w:rFonts w:ascii="Times New Roman" w:hAnsi="Times New Roman" w:eastAsia="Times New Roman" w:cs="Times New Roman"/>
          <w:sz w:val="24"/>
          <w:szCs w:val="24"/>
        </w:rPr>
      </w:pPr>
    </w:p>
    <w:p w14:paraId="000000B2">
      <w:pPr>
        <w:rPr>
          <w:rFonts w:ascii="Times New Roman" w:hAnsi="Times New Roman" w:eastAsia="Times New Roman" w:cs="Times New Roman"/>
          <w:color w:val="0D7F25"/>
          <w:sz w:val="24"/>
          <w:szCs w:val="24"/>
        </w:rPr>
      </w:pPr>
      <w:r>
        <w:rPr>
          <w:rFonts w:ascii="Times New Roman" w:hAnsi="Times New Roman" w:eastAsia="Times New Roman" w:cs="Times New Roman"/>
          <w:color w:val="0D7F25"/>
          <w:sz w:val="24"/>
          <w:szCs w:val="24"/>
          <w:rtl w:val="0"/>
        </w:rPr>
        <w:t xml:space="preserve">Conflicts of interest </w:t>
      </w:r>
    </w:p>
    <w:p w14:paraId="000000B3">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None</w:t>
      </w:r>
    </w:p>
    <w:p w14:paraId="000000B4">
      <w:pPr>
        <w:rPr>
          <w:rFonts w:ascii="Times New Roman" w:hAnsi="Times New Roman" w:eastAsia="Times New Roman" w:cs="Times New Roman"/>
          <w:sz w:val="24"/>
          <w:szCs w:val="24"/>
        </w:rPr>
      </w:pPr>
      <w:r>
        <w:rPr>
          <w:rFonts w:ascii="Times New Roman" w:hAnsi="Times New Roman" w:eastAsia="Times New Roman" w:cs="Times New Roman"/>
          <w:color w:val="0D7F25"/>
          <w:sz w:val="24"/>
          <w:szCs w:val="24"/>
          <w:rtl w:val="0"/>
        </w:rPr>
        <w:t xml:space="preserve">Language </w:t>
      </w:r>
    </w:p>
    <w:p w14:paraId="000000B5">
      <w:pP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 xml:space="preserve">English </w:t>
      </w:r>
    </w:p>
    <w:p w14:paraId="000000B6">
      <w:pPr>
        <w:rPr>
          <w:rFonts w:ascii="Times New Roman" w:hAnsi="Times New Roman" w:eastAsia="Times New Roman" w:cs="Times New Roman"/>
          <w:sz w:val="24"/>
          <w:szCs w:val="24"/>
        </w:rPr>
      </w:pPr>
      <w:r>
        <w:rPr>
          <w:rFonts w:ascii="Times New Roman" w:hAnsi="Times New Roman" w:eastAsia="Times New Roman" w:cs="Times New Roman"/>
          <w:color w:val="0D7F25"/>
          <w:sz w:val="24"/>
          <w:szCs w:val="24"/>
          <w:rtl w:val="0"/>
        </w:rPr>
        <w:t xml:space="preserve">Country </w:t>
      </w:r>
    </w:p>
    <w:p w14:paraId="000000B7">
      <w:pP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UK, Pakistan</w:t>
      </w:r>
      <w:r>
        <w:rPr>
          <w:rFonts w:ascii="Times New Roman" w:hAnsi="Times New Roman" w:eastAsia="Times New Roman" w:cs="Times New Roman"/>
          <w:sz w:val="24"/>
          <w:szCs w:val="24"/>
          <w:rtl w:val="0"/>
        </w:rPr>
        <w:t>,Afghanistan</w:t>
      </w:r>
    </w:p>
    <w:p w14:paraId="000000B8">
      <w:pPr>
        <w:rPr>
          <w:rFonts w:ascii="Times New Roman" w:hAnsi="Times New Roman" w:eastAsia="Times New Roman" w:cs="Times New Roman"/>
          <w:sz w:val="24"/>
          <w:szCs w:val="24"/>
        </w:rPr>
      </w:pPr>
      <w:r>
        <w:rPr>
          <w:rFonts w:ascii="Times New Roman" w:hAnsi="Times New Roman" w:eastAsia="Times New Roman" w:cs="Times New Roman"/>
          <w:color w:val="0D7F25"/>
          <w:sz w:val="24"/>
          <w:szCs w:val="24"/>
          <w:rtl w:val="0"/>
        </w:rPr>
        <w:t xml:space="preserve">Subject index terms status </w:t>
      </w:r>
    </w:p>
    <w:p w14:paraId="000000B9">
      <w:pP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 xml:space="preserve">Subject indexing assigned by CRD </w:t>
      </w:r>
    </w:p>
    <w:p w14:paraId="000000BA">
      <w:pPr>
        <w:rPr>
          <w:rFonts w:ascii="Times New Roman" w:hAnsi="Times New Roman" w:eastAsia="Times New Roman" w:cs="Times New Roman"/>
          <w:sz w:val="24"/>
          <w:szCs w:val="24"/>
        </w:rPr>
      </w:pPr>
      <w:r>
        <w:rPr>
          <w:rFonts w:ascii="Times New Roman" w:hAnsi="Times New Roman" w:eastAsia="Times New Roman" w:cs="Times New Roman"/>
          <w:color w:val="0D7F25"/>
          <w:sz w:val="24"/>
          <w:szCs w:val="24"/>
          <w:rtl w:val="0"/>
        </w:rPr>
        <w:t xml:space="preserve">Subject index terms </w:t>
      </w:r>
    </w:p>
    <w:p w14:paraId="000000BB">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Kearns–Sayre Syndrome,Mitochondrial Diseases,Endocrine Manifestations,Endocrine System Diseases</w:t>
      </w:r>
      <w:r>
        <w:rPr>
          <w:rFonts w:ascii="Times New Roman" w:hAnsi="Times New Roman" w:eastAsia="Times New Roman" w:cs="Times New Roman"/>
          <w:sz w:val="24"/>
          <w:szCs w:val="24"/>
          <w:rtl w:val="0"/>
        </w:rPr>
        <w:br w:type="textWrapping"/>
      </w:r>
      <w:r>
        <w:rPr>
          <w:rFonts w:ascii="Times New Roman" w:hAnsi="Times New Roman" w:eastAsia="Times New Roman" w:cs="Times New Roman"/>
          <w:sz w:val="24"/>
          <w:szCs w:val="24"/>
          <w:rtl w:val="0"/>
        </w:rPr>
        <w:t>Hormonal Disorders,Diagnostic Challenges,Management Strategies,Rare Diseases,Multisystem Disorders,Humans,Case Reports,Systematic Review</w:t>
      </w:r>
    </w:p>
    <w:p w14:paraId="000000BC">
      <w:pPr>
        <w:rPr>
          <w:rFonts w:ascii="Times New Roman" w:hAnsi="Times New Roman" w:eastAsia="Times New Roman" w:cs="Times New Roman"/>
          <w:sz w:val="24"/>
          <w:szCs w:val="24"/>
        </w:rPr>
      </w:pPr>
    </w:p>
    <w:p w14:paraId="000000BD">
      <w:pPr>
        <w:rPr>
          <w:rFonts w:ascii="Times New Roman" w:hAnsi="Times New Roman" w:eastAsia="Times New Roman" w:cs="Times New Roman"/>
          <w:sz w:val="24"/>
          <w:szCs w:val="24"/>
        </w:rPr>
      </w:pPr>
    </w:p>
    <w:p w14:paraId="000000BE">
      <w:pPr>
        <w:keepNext w:val="0"/>
        <w:keepLines w:val="0"/>
        <w:widowControl/>
        <w:jc w:val="left"/>
        <w:rPr>
          <w:rFonts w:ascii="Times New Roman" w:hAnsi="Times New Roman" w:eastAsia="Times New Roman" w:cs="Times New Roman"/>
          <w:color w:val="0D7F25"/>
          <w:sz w:val="24"/>
          <w:szCs w:val="24"/>
        </w:rPr>
      </w:pPr>
      <w:r>
        <w:rPr>
          <w:rFonts w:ascii="Times New Roman" w:hAnsi="Times New Roman" w:eastAsia="Times New Roman" w:cs="Times New Roman"/>
          <w:color w:val="0D7F25"/>
          <w:sz w:val="24"/>
          <w:szCs w:val="24"/>
          <w:rtl w:val="0"/>
        </w:rPr>
        <w:t xml:space="preserve">Contact details for further information </w:t>
      </w:r>
    </w:p>
    <w:p w14:paraId="000000BF">
      <w:pPr>
        <w:keepNext w:val="0"/>
        <w:keepLines w:val="0"/>
        <w:widowControl/>
        <w:jc w:val="left"/>
        <w:rPr>
          <w:rFonts w:ascii="Times New Roman" w:hAnsi="Times New Roman" w:eastAsia="Times New Roman" w:cs="Times New Roman"/>
          <w:color w:val="4472C4"/>
          <w:sz w:val="24"/>
          <w:szCs w:val="24"/>
        </w:rPr>
      </w:pPr>
      <w:r>
        <w:rPr>
          <w:rFonts w:ascii="Times New Roman" w:hAnsi="Times New Roman" w:eastAsia="Times New Roman" w:cs="Times New Roman"/>
          <w:color w:val="000000"/>
          <w:sz w:val="24"/>
          <w:szCs w:val="24"/>
          <w:rtl w:val="0"/>
        </w:rPr>
        <w:t>Dr Mahdia Babak,</w:t>
      </w:r>
      <w:r>
        <w:rPr>
          <w:rFonts w:ascii="Times New Roman" w:hAnsi="Times New Roman" w:eastAsia="Times New Roman" w:cs="Times New Roman"/>
          <w:color w:val="4472C4"/>
          <w:sz w:val="24"/>
          <w:szCs w:val="24"/>
          <w:rtl w:val="0"/>
        </w:rPr>
        <w:t>mahdia.iph@kmu.edu.pk</w:t>
      </w:r>
    </w:p>
    <w:p w14:paraId="000000C0">
      <w:pPr>
        <w:keepNext w:val="0"/>
        <w:keepLines w:val="0"/>
        <w:widowControl/>
        <w:jc w:val="left"/>
        <w:rPr>
          <w:rFonts w:ascii="Times New Roman" w:hAnsi="Times New Roman" w:eastAsia="Times New Roman" w:cs="Times New Roman"/>
          <w:color w:val="4472C4"/>
          <w:sz w:val="24"/>
          <w:szCs w:val="24"/>
        </w:rPr>
      </w:pPr>
      <w:r>
        <w:rPr>
          <w:rFonts w:ascii="Times New Roman" w:hAnsi="Times New Roman" w:eastAsia="Times New Roman" w:cs="Times New Roman"/>
          <w:sz w:val="24"/>
          <w:szCs w:val="24"/>
          <w:rtl w:val="0"/>
        </w:rPr>
        <w:t>Tolulope Joseph Ogunniy,</w:t>
      </w:r>
      <w:r>
        <w:rPr>
          <w:rFonts w:ascii="Times New Roman" w:hAnsi="Times New Roman" w:eastAsia="Times New Roman" w:cs="Times New Roman"/>
          <w:color w:val="4472C4"/>
          <w:sz w:val="24"/>
          <w:szCs w:val="24"/>
          <w:rtl w:val="0"/>
        </w:rPr>
        <w:t xml:space="preserve"> josephtolulopeogunniyi@gmail.com</w:t>
      </w:r>
    </w:p>
    <w:p w14:paraId="000000C1">
      <w:pPr>
        <w:keepNext w:val="0"/>
        <w:keepLines w:val="0"/>
        <w:widowControl/>
        <w:jc w:val="left"/>
        <w:rPr>
          <w:rFonts w:ascii="Times New Roman" w:hAnsi="Times New Roman" w:eastAsia="Times New Roman" w:cs="Times New Roman"/>
          <w:color w:val="4472C4"/>
          <w:sz w:val="24"/>
          <w:szCs w:val="24"/>
        </w:rPr>
      </w:pPr>
      <w:r>
        <w:rPr>
          <w:rFonts w:ascii="Times New Roman" w:hAnsi="Times New Roman" w:eastAsia="Times New Roman" w:cs="Times New Roman"/>
          <w:color w:val="000000"/>
          <w:sz w:val="24"/>
          <w:szCs w:val="24"/>
          <w:rtl w:val="0"/>
        </w:rPr>
        <w:t>Muhammad Haris,</w:t>
      </w:r>
      <w:r>
        <w:rPr>
          <w:rFonts w:ascii="Times New Roman" w:hAnsi="Times New Roman" w:eastAsia="Times New Roman" w:cs="Times New Roman"/>
          <w:color w:val="4472C4"/>
          <w:sz w:val="24"/>
          <w:szCs w:val="24"/>
          <w:rtl w:val="0"/>
        </w:rPr>
        <w:t>mhariskhankhattak@gmail.com</w:t>
      </w:r>
    </w:p>
    <w:p w14:paraId="000000C2">
      <w:pPr>
        <w:keepNext w:val="0"/>
        <w:keepLines w:val="0"/>
        <w:widowControl/>
        <w:jc w:val="left"/>
        <w:rPr>
          <w:rFonts w:ascii="Times New Roman" w:hAnsi="Times New Roman" w:eastAsia="Times New Roman" w:cs="Times New Roman"/>
          <w:color w:val="000000"/>
          <w:sz w:val="24"/>
          <w:szCs w:val="24"/>
        </w:rPr>
      </w:pPr>
    </w:p>
    <w:p w14:paraId="000000C3">
      <w:pPr>
        <w:keepNext w:val="0"/>
        <w:keepLines w:val="0"/>
        <w:widowControl/>
        <w:jc w:val="left"/>
        <w:rPr>
          <w:rFonts w:ascii="Times New Roman" w:hAnsi="Times New Roman" w:eastAsia="Times New Roman" w:cs="Times New Roman"/>
          <w:color w:val="0D7F25"/>
          <w:sz w:val="24"/>
          <w:szCs w:val="24"/>
        </w:rPr>
      </w:pPr>
    </w:p>
    <w:p w14:paraId="000000C4">
      <w:pPr>
        <w:keepNext w:val="0"/>
        <w:keepLines w:val="0"/>
        <w:widowControl/>
        <w:jc w:val="left"/>
        <w:rPr>
          <w:rFonts w:ascii="Times New Roman" w:hAnsi="Times New Roman" w:eastAsia="Times New Roman" w:cs="Times New Roman"/>
          <w:color w:val="0D7F25"/>
          <w:sz w:val="24"/>
          <w:szCs w:val="24"/>
        </w:rPr>
      </w:pPr>
      <w:r>
        <w:rPr>
          <w:rFonts w:ascii="Times New Roman" w:hAnsi="Times New Roman" w:eastAsia="Times New Roman" w:cs="Times New Roman"/>
          <w:color w:val="0D7F25"/>
          <w:sz w:val="24"/>
          <w:szCs w:val="24"/>
          <w:rtl w:val="0"/>
        </w:rPr>
        <w:t xml:space="preserve">Organisational affiliation of the review </w:t>
      </w:r>
    </w:p>
    <w:p w14:paraId="000000C5">
      <w:pPr>
        <w:keepNext w:val="0"/>
        <w:keepLines w:val="0"/>
        <w:widowControl/>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National Institute for Health and Care Research</w:t>
      </w:r>
    </w:p>
    <w:p w14:paraId="000000C6">
      <w:pPr>
        <w:keepNext w:val="0"/>
        <w:keepLines w:val="0"/>
        <w:widowControl/>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National Medical Research Association</w:t>
      </w:r>
    </w:p>
    <w:p w14:paraId="000000C7">
      <w:pPr>
        <w:keepNext w:val="0"/>
        <w:keepLines w:val="0"/>
        <w:widowControl/>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Khyber Medical University </w:t>
      </w:r>
    </w:p>
    <w:p w14:paraId="000000C8">
      <w:pPr>
        <w:keepNext w:val="0"/>
        <w:keepLines w:val="0"/>
        <w:widowControl/>
        <w:jc w:val="left"/>
        <w:rPr>
          <w:rFonts w:ascii="Times New Roman" w:hAnsi="Times New Roman" w:eastAsia="Times New Roman" w:cs="Times New Roman"/>
          <w:color w:val="000000"/>
          <w:sz w:val="24"/>
          <w:szCs w:val="24"/>
        </w:rPr>
      </w:pPr>
      <w:r>
        <w:fldChar w:fldCharType="begin"/>
      </w:r>
      <w:r>
        <w:instrText xml:space="preserve"> HYPERLINK "about:blank" \h </w:instrText>
      </w:r>
      <w:r>
        <w:fldChar w:fldCharType="separate"/>
      </w:r>
      <w:r>
        <w:rPr>
          <w:rFonts w:ascii="Times New Roman" w:hAnsi="Times New Roman" w:eastAsia="Times New Roman" w:cs="Times New Roman"/>
          <w:color w:val="0000FF"/>
          <w:sz w:val="24"/>
          <w:szCs w:val="24"/>
          <w:u w:val="single"/>
          <w:rtl w:val="0"/>
        </w:rPr>
        <w:t>https://www.nihr.ac.uk</w:t>
      </w:r>
      <w:r>
        <w:rPr>
          <w:rFonts w:ascii="Times New Roman" w:hAnsi="Times New Roman" w:eastAsia="Times New Roman" w:cs="Times New Roman"/>
          <w:color w:val="0000FF"/>
          <w:sz w:val="24"/>
          <w:szCs w:val="24"/>
          <w:u w:val="single"/>
          <w:rtl w:val="0"/>
        </w:rPr>
        <w:fldChar w:fldCharType="end"/>
      </w:r>
    </w:p>
    <w:p w14:paraId="000000C9">
      <w:pPr>
        <w:keepNext w:val="0"/>
        <w:keepLines w:val="0"/>
        <w:widowControl/>
        <w:jc w:val="left"/>
        <w:rPr>
          <w:rFonts w:ascii="Times New Roman" w:hAnsi="Times New Roman" w:eastAsia="Times New Roman" w:cs="Times New Roman"/>
          <w:color w:val="000000"/>
          <w:sz w:val="24"/>
          <w:szCs w:val="24"/>
        </w:rPr>
      </w:pPr>
      <w:r>
        <w:fldChar w:fldCharType="begin"/>
      </w:r>
      <w:r>
        <w:instrText xml:space="preserve"> HYPERLINK "about:blank" \h </w:instrText>
      </w:r>
      <w:r>
        <w:fldChar w:fldCharType="separate"/>
      </w:r>
      <w:r>
        <w:rPr>
          <w:rFonts w:ascii="Times New Roman" w:hAnsi="Times New Roman" w:eastAsia="Times New Roman" w:cs="Times New Roman"/>
          <w:color w:val="0000FF"/>
          <w:sz w:val="24"/>
          <w:szCs w:val="24"/>
          <w:u w:val="single"/>
          <w:rtl w:val="0"/>
        </w:rPr>
        <w:t>https://www.nmra.uk/</w:t>
      </w:r>
      <w:r>
        <w:rPr>
          <w:rFonts w:ascii="Times New Roman" w:hAnsi="Times New Roman" w:eastAsia="Times New Roman" w:cs="Times New Roman"/>
          <w:color w:val="0000FF"/>
          <w:sz w:val="24"/>
          <w:szCs w:val="24"/>
          <w:u w:val="single"/>
          <w:rtl w:val="0"/>
        </w:rPr>
        <w:fldChar w:fldCharType="end"/>
      </w:r>
    </w:p>
    <w:p w14:paraId="000000CA">
      <w:pPr>
        <w:keepNext w:val="0"/>
        <w:keepLines w:val="0"/>
        <w:widowControl/>
        <w:jc w:val="left"/>
        <w:rPr>
          <w:rFonts w:ascii="Times New Roman" w:hAnsi="Times New Roman" w:eastAsia="Times New Roman" w:cs="Times New Roman"/>
          <w:color w:val="000000"/>
          <w:sz w:val="24"/>
          <w:szCs w:val="24"/>
        </w:rPr>
      </w:pPr>
      <w:r>
        <w:fldChar w:fldCharType="begin"/>
      </w:r>
      <w:r>
        <w:instrText xml:space="preserve"> HYPERLINK "https://www.kmu.edu.pk" \h </w:instrText>
      </w:r>
      <w:r>
        <w:fldChar w:fldCharType="separate"/>
      </w:r>
      <w:r>
        <w:rPr>
          <w:rFonts w:ascii="Times New Roman" w:hAnsi="Times New Roman" w:eastAsia="Times New Roman" w:cs="Times New Roman"/>
          <w:color w:val="0000FF"/>
          <w:sz w:val="24"/>
          <w:szCs w:val="24"/>
          <w:u w:val="single"/>
          <w:rtl w:val="0"/>
        </w:rPr>
        <w:t xml:space="preserve">https://www.kmu.edu.pk </w:t>
      </w:r>
      <w:r>
        <w:rPr>
          <w:rFonts w:ascii="Times New Roman" w:hAnsi="Times New Roman" w:eastAsia="Times New Roman" w:cs="Times New Roman"/>
          <w:color w:val="0000FF"/>
          <w:sz w:val="24"/>
          <w:szCs w:val="24"/>
          <w:u w:val="single"/>
          <w:rtl w:val="0"/>
        </w:rPr>
        <w:fldChar w:fldCharType="end"/>
      </w:r>
    </w:p>
    <w:p w14:paraId="000000CB">
      <w:pPr>
        <w:keepNext w:val="0"/>
        <w:keepLines w:val="0"/>
        <w:widowControl/>
        <w:jc w:val="left"/>
        <w:rPr>
          <w:rFonts w:ascii="Times New Roman" w:hAnsi="Times New Roman" w:eastAsia="Times New Roman" w:cs="Times New Roman"/>
          <w:color w:val="000000"/>
          <w:sz w:val="24"/>
          <w:szCs w:val="24"/>
        </w:rPr>
      </w:pPr>
    </w:p>
    <w:p w14:paraId="000000CC">
      <w:pPr>
        <w:keepNext w:val="0"/>
        <w:keepLines w:val="0"/>
        <w:widowControl/>
        <w:jc w:val="left"/>
        <w:rPr>
          <w:rFonts w:ascii="Times New Roman" w:hAnsi="Times New Roman" w:eastAsia="Times New Roman" w:cs="Times New Roman"/>
          <w:color w:val="0D7F25"/>
          <w:sz w:val="24"/>
          <w:szCs w:val="24"/>
        </w:rPr>
      </w:pPr>
      <w:r>
        <w:rPr>
          <w:rFonts w:ascii="Times New Roman" w:hAnsi="Times New Roman" w:eastAsia="Times New Roman" w:cs="Times New Roman"/>
          <w:color w:val="0D7F25"/>
          <w:sz w:val="24"/>
          <w:szCs w:val="24"/>
          <w:rtl w:val="0"/>
        </w:rPr>
        <w:t xml:space="preserve">Review team members and organisational affiliations </w:t>
      </w:r>
    </w:p>
    <w:p w14:paraId="000000CD">
      <w:pPr>
        <w:keepNext w:val="0"/>
        <w:keepLines w:val="0"/>
        <w:widowControl/>
        <w:jc w:val="left"/>
        <w:rPr>
          <w:rFonts w:ascii="Times New Roman" w:hAnsi="Times New Roman" w:eastAsia="Times New Roman" w:cs="Times New Roman"/>
          <w:color w:val="0D7F25"/>
          <w:sz w:val="24"/>
          <w:szCs w:val="24"/>
        </w:rPr>
      </w:pPr>
    </w:p>
    <w:p w14:paraId="000000CE">
      <w:pPr>
        <w:keepNext w:val="0"/>
        <w:keepLines w:val="0"/>
        <w:widowControl/>
        <w:jc w:val="left"/>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tl w:val="0"/>
        </w:rPr>
        <w:t>Dr Mahdia Babak,</w:t>
      </w:r>
      <w:r>
        <w:rPr>
          <w:rFonts w:ascii="Times New Roman" w:hAnsi="Times New Roman" w:eastAsia="Times New Roman" w:cs="Times New Roman"/>
          <w:color w:val="000000"/>
          <w:sz w:val="24"/>
          <w:szCs w:val="24"/>
          <w:rtl w:val="0"/>
        </w:rPr>
        <w:t xml:space="preserve"> Khyber Medical University </w:t>
      </w:r>
    </w:p>
    <w:p w14:paraId="000000CF">
      <w:pPr>
        <w:keepNext w:val="0"/>
        <w:keepLines w:val="0"/>
        <w:widowControl/>
        <w:jc w:val="left"/>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tl w:val="0"/>
        </w:rPr>
        <w:t>Dr Savera Khan</w:t>
      </w:r>
      <w:r>
        <w:rPr>
          <w:rFonts w:ascii="Times New Roman" w:hAnsi="Times New Roman" w:eastAsia="Times New Roman" w:cs="Times New Roman"/>
          <w:color w:val="000000"/>
          <w:sz w:val="24"/>
          <w:szCs w:val="24"/>
          <w:rtl w:val="0"/>
        </w:rPr>
        <w:t xml:space="preserve">, Khyber Medical University </w:t>
      </w:r>
    </w:p>
    <w:p w14:paraId="000000D0">
      <w:pPr>
        <w:keepNext w:val="0"/>
        <w:keepLines w:val="0"/>
        <w:widowControl/>
        <w:jc w:val="left"/>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Tolulope Joseph Ogunniy</w:t>
      </w:r>
      <w:r>
        <w:rPr>
          <w:rFonts w:ascii="Times New Roman" w:hAnsi="Times New Roman" w:eastAsia="Times New Roman" w:cs="Times New Roman"/>
          <w:sz w:val="24"/>
          <w:szCs w:val="24"/>
          <w:rtl w:val="0"/>
        </w:rPr>
        <w:t>, Department of Medical Laboratory Science,State Specialist Hospital,Damaturu,Yobe State,Nigeria</w:t>
      </w:r>
    </w:p>
    <w:p w14:paraId="000000D1">
      <w:pPr>
        <w:keepNext w:val="0"/>
        <w:keepLines w:val="0"/>
        <w:widowControl/>
        <w:jc w:val="left"/>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tl w:val="0"/>
        </w:rPr>
        <w:t>Muhammad Haris khattak</w:t>
      </w:r>
      <w:r>
        <w:rPr>
          <w:rFonts w:ascii="Times New Roman" w:hAnsi="Times New Roman" w:eastAsia="Times New Roman" w:cs="Times New Roman"/>
          <w:color w:val="000000"/>
          <w:sz w:val="24"/>
          <w:szCs w:val="24"/>
          <w:rtl w:val="0"/>
        </w:rPr>
        <w:t xml:space="preserve">, Khyber Medical University </w:t>
      </w:r>
    </w:p>
    <w:p w14:paraId="000000D2">
      <w:pPr>
        <w:keepNext w:val="0"/>
        <w:keepLines w:val="0"/>
        <w:widowControl/>
        <w:jc w:val="left"/>
        <w:rPr>
          <w:rFonts w:ascii="Times New Roman" w:hAnsi="Times New Roman" w:eastAsia="Times New Roman" w:cs="Times New Roman"/>
          <w:color w:val="000000"/>
          <w:sz w:val="24"/>
          <w:szCs w:val="24"/>
        </w:rPr>
      </w:pPr>
    </w:p>
    <w:p w14:paraId="000000D3">
      <w:pPr>
        <w:jc w:val="both"/>
        <w:rPr>
          <w:rFonts w:ascii="Times New Roman" w:hAnsi="Times New Roman" w:eastAsia="Times New Roman" w:cs="Times New Roman"/>
          <w:b/>
          <w:color w:val="2E75B5"/>
          <w:sz w:val="24"/>
          <w:szCs w:val="24"/>
        </w:rPr>
      </w:pPr>
    </w:p>
    <w:p w14:paraId="000000D4">
      <w:pPr>
        <w:jc w:val="both"/>
        <w:rPr>
          <w:rFonts w:ascii="Times New Roman" w:hAnsi="Times New Roman" w:eastAsia="Times New Roman" w:cs="Times New Roman"/>
          <w:b/>
          <w:color w:val="4472C4"/>
          <w:sz w:val="24"/>
          <w:szCs w:val="24"/>
        </w:rPr>
      </w:pPr>
      <w:r>
        <w:rPr>
          <w:rFonts w:ascii="Times New Roman" w:hAnsi="Times New Roman" w:eastAsia="Times New Roman" w:cs="Times New Roman"/>
          <w:b/>
          <w:color w:val="4472C4"/>
          <w:sz w:val="24"/>
          <w:szCs w:val="24"/>
          <w:rtl w:val="0"/>
        </w:rPr>
        <w:t>References:</w:t>
      </w:r>
    </w:p>
    <w:p w14:paraId="000000D5">
      <w:pPr>
        <w:jc w:val="both"/>
        <w:rPr>
          <w:rFonts w:ascii="Times New Roman" w:hAnsi="Times New Roman" w:eastAsia="Times New Roman" w:cs="Times New Roman"/>
          <w:sz w:val="24"/>
          <w:szCs w:val="24"/>
        </w:rPr>
      </w:pPr>
    </w:p>
    <w:p w14:paraId="000000D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DiMauro, S., &amp; Schon, E. A. (2003). Mitochondrial respiratory-chain diseases. New England Journal of Medicine, 348(26), 2656-2668.</w:t>
      </w:r>
    </w:p>
    <w:p w14:paraId="000000D7">
      <w:pPr>
        <w:jc w:val="both"/>
        <w:rPr>
          <w:rFonts w:ascii="Times New Roman" w:hAnsi="Times New Roman" w:eastAsia="Times New Roman" w:cs="Times New Roman"/>
          <w:sz w:val="24"/>
          <w:szCs w:val="24"/>
        </w:rPr>
      </w:pPr>
    </w:p>
    <w:p w14:paraId="000000D8">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Taylor, R. W., &amp; Turnbull, D. M. (2005). Mitochondrial DNA mutations in human disease. Nature Reviews Genetics, 6(5), 389-402.</w:t>
      </w:r>
    </w:p>
    <w:p w14:paraId="000000D9">
      <w:pPr>
        <w:spacing w:before="280" w:after="2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Boles, R. G., Smeitink, J. A., &amp; van den Heuvel, L. P. (2017). "Endocrine manifestations of mitochondrial disorders." </w:t>
      </w:r>
      <w:r>
        <w:rPr>
          <w:rFonts w:ascii="Times New Roman" w:hAnsi="Times New Roman" w:eastAsia="Times New Roman" w:cs="Times New Roman"/>
          <w:i/>
          <w:sz w:val="24"/>
          <w:szCs w:val="24"/>
          <w:rtl w:val="0"/>
        </w:rPr>
        <w:t>Molecular Genetics and Metabolism</w:t>
      </w:r>
      <w:r>
        <w:rPr>
          <w:rFonts w:ascii="Times New Roman" w:hAnsi="Times New Roman" w:eastAsia="Times New Roman" w:cs="Times New Roman"/>
          <w:sz w:val="24"/>
          <w:szCs w:val="24"/>
          <w:rtl w:val="0"/>
        </w:rPr>
        <w:t xml:space="preserve">, 121(1), 4-10. </w:t>
      </w:r>
    </w:p>
    <w:p w14:paraId="000000DA">
      <w:pPr>
        <w:spacing w:before="280" w:after="2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Forrest, C. B., Kuo, A. A., &amp; Schiff, M. (2016). "The Burden of Rare Diseases: Impact on Families and Caregivers." </w:t>
      </w:r>
      <w:r>
        <w:rPr>
          <w:rFonts w:ascii="Times New Roman" w:hAnsi="Times New Roman" w:eastAsia="Times New Roman" w:cs="Times New Roman"/>
          <w:i/>
          <w:sz w:val="24"/>
          <w:szCs w:val="24"/>
          <w:rtl w:val="0"/>
        </w:rPr>
        <w:t>American Journal of Medical Genetics</w:t>
      </w:r>
      <w:r>
        <w:rPr>
          <w:rFonts w:ascii="Times New Roman" w:hAnsi="Times New Roman" w:eastAsia="Times New Roman" w:cs="Times New Roman"/>
          <w:sz w:val="24"/>
          <w:szCs w:val="24"/>
          <w:rtl w:val="0"/>
        </w:rPr>
        <w:t xml:space="preserve">, 169(1), 1-5. </w:t>
      </w:r>
    </w:p>
    <w:p w14:paraId="000000DB">
      <w:pPr>
        <w:spacing w:before="280" w:after="2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Koenig, M. K., Murdock, S., &amp; Blakely, E. (2021). "Mitochondrial Disease and Endocrine Abnormalities: An Update." </w:t>
      </w:r>
      <w:r>
        <w:rPr>
          <w:rFonts w:ascii="Times New Roman" w:hAnsi="Times New Roman" w:eastAsia="Times New Roman" w:cs="Times New Roman"/>
          <w:i/>
          <w:sz w:val="24"/>
          <w:szCs w:val="24"/>
          <w:rtl w:val="0"/>
        </w:rPr>
        <w:t>Journal of Clinical Endocrinology &amp; Metabolism</w:t>
      </w:r>
      <w:r>
        <w:rPr>
          <w:rFonts w:ascii="Times New Roman" w:hAnsi="Times New Roman" w:eastAsia="Times New Roman" w:cs="Times New Roman"/>
          <w:sz w:val="24"/>
          <w:szCs w:val="24"/>
          <w:rtl w:val="0"/>
        </w:rPr>
        <w:t xml:space="preserve">, 106(10), 2845-2858. </w:t>
      </w:r>
    </w:p>
    <w:p w14:paraId="000000DC">
      <w:pPr>
        <w:spacing w:before="280" w:after="2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Lynch, D. S., Lax, N. Z., &amp; Fisher, R. (2018). "Endocrine Dysfunction in Mitochondrial Disease: Kearns-Sayre Syndrome and Beyond." </w:t>
      </w:r>
      <w:r>
        <w:rPr>
          <w:rFonts w:ascii="Times New Roman" w:hAnsi="Times New Roman" w:eastAsia="Times New Roman" w:cs="Times New Roman"/>
          <w:i/>
          <w:sz w:val="24"/>
          <w:szCs w:val="24"/>
          <w:rtl w:val="0"/>
        </w:rPr>
        <w:t>Endocrinology and Metabolism Clinics of North America</w:t>
      </w:r>
      <w:r>
        <w:rPr>
          <w:rFonts w:ascii="Times New Roman" w:hAnsi="Times New Roman" w:eastAsia="Times New Roman" w:cs="Times New Roman"/>
          <w:sz w:val="24"/>
          <w:szCs w:val="24"/>
          <w:rtl w:val="0"/>
        </w:rPr>
        <w:t xml:space="preserve">, 47(2), 425-440. </w:t>
      </w:r>
    </w:p>
    <w:p w14:paraId="000000DD">
      <w:pPr>
        <w:spacing w:before="280" w:after="2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López-Gallardo, E., Ruiz-Pesini, E., &amp; Pérez-Martos, A. (2015). "Kearns-Sayre Syndrome: Clinical Features and Molecular Basis." </w:t>
      </w:r>
      <w:r>
        <w:rPr>
          <w:rFonts w:ascii="Times New Roman" w:hAnsi="Times New Roman" w:eastAsia="Times New Roman" w:cs="Times New Roman"/>
          <w:i/>
          <w:sz w:val="24"/>
          <w:szCs w:val="24"/>
          <w:rtl w:val="0"/>
        </w:rPr>
        <w:t>The Journal of Clinical Investigation</w:t>
      </w:r>
      <w:r>
        <w:rPr>
          <w:rFonts w:ascii="Times New Roman" w:hAnsi="Times New Roman" w:eastAsia="Times New Roman" w:cs="Times New Roman"/>
          <w:sz w:val="24"/>
          <w:szCs w:val="24"/>
          <w:rtl w:val="0"/>
        </w:rPr>
        <w:t xml:space="preserve">, 120(10), 3502-3511. </w:t>
      </w:r>
    </w:p>
    <w:p w14:paraId="000000DE">
      <w:pPr>
        <w:jc w:val="both"/>
        <w:rPr>
          <w:rFonts w:ascii="Times New Roman" w:hAnsi="Times New Roman" w:eastAsia="Times New Roman" w:cs="Times New Roman"/>
          <w:b/>
          <w:color w:val="2E75B5"/>
          <w:sz w:val="24"/>
          <w:szCs w:val="24"/>
        </w:rPr>
      </w:pPr>
    </w:p>
    <w:p w14:paraId="000000DF">
      <w:pPr>
        <w:ind w:left="100" w:hanging="1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Boles, R. G., Smeitink, J. A., &amp; van den Heuvel, L. P. (2017). Endocrine manifestations of mitochondrial disorders*. *Molecular Genetics and Metabolism*, 121(1), 4–10.</w:t>
      </w:r>
    </w:p>
    <w:p w14:paraId="000000E0">
      <w:pPr>
        <w:jc w:val="both"/>
        <w:rPr>
          <w:rFonts w:ascii="Times New Roman" w:hAnsi="Times New Roman" w:eastAsia="Times New Roman" w:cs="Times New Roman"/>
          <w:sz w:val="24"/>
          <w:szCs w:val="24"/>
        </w:rPr>
      </w:pPr>
    </w:p>
    <w:p w14:paraId="000000E1">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Lynch, D. S., Lax, N. Z., &amp; Fisher, R. (2018). Endocrine Dysfunction in Mitochondrial Disease: Kearns-Sayre Syndrome and Beyond*. *Endocrinology and Metabolism Clinics of North America*, 47(2), 425–440.</w:t>
      </w:r>
    </w:p>
    <w:p w14:paraId="000000E2">
      <w:pPr>
        <w:jc w:val="both"/>
        <w:rPr>
          <w:rFonts w:ascii="Times New Roman" w:hAnsi="Times New Roman" w:eastAsia="Times New Roman" w:cs="Times New Roman"/>
          <w:sz w:val="24"/>
          <w:szCs w:val="24"/>
        </w:rPr>
      </w:pPr>
    </w:p>
    <w:sectPr>
      <w:headerReference r:id="rId3" w:type="default"/>
      <w:pgSz w:w="11906" w:h="16838"/>
      <w:pgMar w:top="1440" w:right="1800" w:bottom="1440" w:left="180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黑体">
    <w:panose1 w:val="02010800040101010101"/>
    <w:charset w:val="86"/>
    <w:family w:val="auto"/>
    <w:pitch w:val="default"/>
    <w:sig w:usb0="00000001" w:usb1="080F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SimSun">
    <w:altName w:val="宋体-简"/>
    <w:panose1 w:val="02010600030101010101"/>
    <w:charset w:val="86"/>
    <w:family w:val="auto"/>
    <w:pitch w:val="default"/>
    <w:sig w:usb0="00000000" w:usb1="00000000" w:usb2="00000016" w:usb3="00000000" w:csb0="00040001" w:csb1="00000000"/>
  </w:font>
  <w:font w:name="SimSun">
    <w:altName w:val="宋体-简"/>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Noto Sans Symbols">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Cambria">
    <w:altName w:val="苹方-简"/>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E3">
    <w:pPr>
      <w:keepNext w:val="0"/>
      <w:keepLines w:val="0"/>
      <w:widowControl/>
      <w:jc w:val="center"/>
      <w:rPr>
        <w:rFonts w:ascii="Helvetica Neue" w:hAnsi="Helvetica Neue" w:eastAsia="Helvetica Neue" w:cs="Helvetica Neue"/>
        <w:b/>
        <w:color w:val="193E72"/>
        <w:sz w:val="22"/>
        <w:szCs w:val="22"/>
      </w:rPr>
    </w:pPr>
  </w:p>
  <w:p w14:paraId="000000E4">
    <w:pPr>
      <w:keepNext w:val="0"/>
      <w:keepLines w:val="0"/>
      <w:widowControl/>
      <w:jc w:val="both"/>
      <w:rPr>
        <w:rFonts w:ascii="Helvetica Neue" w:hAnsi="Helvetica Neue" w:eastAsia="Helvetica Neue" w:cs="Helvetica Neue"/>
        <w:b/>
        <w:color w:val="193E72"/>
        <w:sz w:val="28"/>
        <w:szCs w:val="28"/>
      </w:rPr>
    </w:pPr>
    <w:r>
      <w:drawing>
        <wp:inline distT="0" distB="0" distL="114300" distR="114300">
          <wp:extent cx="2682875" cy="1854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2682875" cy="185420"/>
                  </a:xfrm>
                  <a:prstGeom prst="rect">
                    <a:avLst/>
                  </a:prstGeom>
                </pic:spPr>
              </pic:pic>
            </a:graphicData>
          </a:graphic>
        </wp:inline>
      </w:drawing>
    </w:r>
    <w:r>
      <w:rPr>
        <w:rtl w:val="0"/>
      </w:rPr>
      <w:t xml:space="preserve">                         </w:t>
    </w:r>
    <w:r>
      <w:rPr>
        <w:sz w:val="24"/>
        <w:szCs w:val="24"/>
        <w:rtl w:val="0"/>
      </w:rPr>
      <w:t xml:space="preserve">                </w:t>
    </w:r>
    <w:r>
      <w:rPr>
        <w:rFonts w:ascii="Helvetica Neue" w:hAnsi="Helvetica Neue" w:eastAsia="Helvetica Neue" w:cs="Helvetica Neue"/>
        <w:b/>
        <w:color w:val="193E72"/>
        <w:sz w:val="28"/>
        <w:szCs w:val="28"/>
        <w:rtl w:val="0"/>
      </w:rPr>
      <w:t>PROSPERO</w:t>
    </w:r>
  </w:p>
  <w:p w14:paraId="000000E5">
    <w:pPr>
      <w:keepNext w:val="0"/>
      <w:keepLines w:val="0"/>
      <w:widowControl/>
      <w:jc w:val="center"/>
    </w:pPr>
    <w:r>
      <w:rPr>
        <w:rFonts w:ascii="Helvetica Neue" w:hAnsi="Helvetica Neue" w:eastAsia="Helvetica Neue" w:cs="Helvetica Neue"/>
        <w:b/>
        <w:color w:val="193E72"/>
        <w:sz w:val="22"/>
        <w:szCs w:val="22"/>
        <w:rtl w:val="0"/>
      </w:rPr>
      <w:t xml:space="preserve">                                          </w:t>
    </w:r>
  </w:p>
  <w:p w14:paraId="000000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153"/>
        <w:tab w:val="right" w:pos="8306"/>
      </w:tabs>
      <w:spacing w:before="0" w:after="0" w:line="240" w:lineRule="auto"/>
      <w:ind w:left="0" w:right="0" w:firstLine="0"/>
      <w:jc w:val="center"/>
      <w:rPr>
        <w:rFonts w:ascii="Calibri" w:hAnsi="Calibri" w:eastAsia="Calibri" w:cs="Calibri"/>
        <w:b w:val="0"/>
        <w:i w:val="0"/>
        <w:smallCaps w:val="0"/>
        <w:strike w:val="0"/>
        <w:color w:val="000000"/>
        <w:sz w:val="18"/>
        <w:szCs w:val="18"/>
        <w:u w:val="none"/>
        <w:shd w:val="clear" w:fill="auto"/>
        <w:vertAlign w:val="baseline"/>
      </w:rPr>
    </w:pPr>
  </w:p>
  <w:p w14:paraId="000000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153"/>
        <w:tab w:val="right" w:pos="8306"/>
      </w:tabs>
      <w:spacing w:before="0" w:after="0" w:line="240" w:lineRule="auto"/>
      <w:ind w:left="0" w:right="0" w:firstLine="0"/>
      <w:jc w:val="center"/>
      <w:rPr>
        <w:rFonts w:ascii="Calibri" w:hAnsi="Calibri" w:eastAsia="Calibri" w:cs="Calibri"/>
        <w:b w:val="0"/>
        <w:i w:val="0"/>
        <w:smallCaps w:val="0"/>
        <w:strike w:val="0"/>
        <w:color w:val="000000"/>
        <w:sz w:val="18"/>
        <w:szCs w:val="18"/>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EE4B4"/>
    <w:multiLevelType w:val="multilevel"/>
    <w:tmpl w:val="B7FEE4B4"/>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
    <w:nsid w:val="BCDA3FA0"/>
    <w:multiLevelType w:val="multilevel"/>
    <w:tmpl w:val="BCDA3FA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DBFA282F"/>
    <w:multiLevelType w:val="multilevel"/>
    <w:tmpl w:val="DBFA282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DFDE3047"/>
    <w:multiLevelType w:val="multilevel"/>
    <w:tmpl w:val="DFDE3047"/>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lef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lef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left"/>
      <w:pPr>
        <w:ind w:left="6480" w:hanging="360"/>
      </w:pPr>
      <w:rPr>
        <w:u w:val="none"/>
      </w:rPr>
    </w:lvl>
  </w:abstractNum>
  <w:abstractNum w:abstractNumId="4">
    <w:nsid w:val="F3DE78EB"/>
    <w:multiLevelType w:val="multilevel"/>
    <w:tmpl w:val="F3DE78EB"/>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5">
    <w:nsid w:val="F97057FF"/>
    <w:multiLevelType w:val="multilevel"/>
    <w:tmpl w:val="F97057F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6">
    <w:nsid w:val="FB3BD658"/>
    <w:multiLevelType w:val="multilevel"/>
    <w:tmpl w:val="FB3BD658"/>
    <w:lvl w:ilvl="0" w:tentative="0">
      <w:start w:val="1"/>
      <w:numFmt w:val="decimal"/>
      <w:lvlText w:val="%1."/>
      <w:lvlJc w:val="left"/>
      <w:pPr>
        <w:ind w:left="720" w:hanging="360"/>
      </w:pPr>
      <w:rPr>
        <w:u w:val="none"/>
      </w:rPr>
    </w:lvl>
    <w:lvl w:ilvl="1" w:tentative="0">
      <w:start w:val="1"/>
      <w:numFmt w:val="bullet"/>
      <w:lvlText w:val="○"/>
      <w:lvlJc w:val="left"/>
      <w:pPr>
        <w:ind w:left="1440" w:hanging="360"/>
      </w:pPr>
      <w:rPr>
        <w:u w:val="none"/>
      </w:rPr>
    </w:lvl>
    <w:lvl w:ilvl="2" w:tentative="0">
      <w:start w:val="1"/>
      <w:numFmt w:val="lowerRoman"/>
      <w:lvlText w:val="%3."/>
      <w:lvlJc w:val="lef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lef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left"/>
      <w:pPr>
        <w:ind w:left="6480" w:hanging="360"/>
      </w:pPr>
      <w:rPr>
        <w:u w:val="none"/>
      </w:rPr>
    </w:lvl>
  </w:abstractNum>
  <w:abstractNum w:abstractNumId="7">
    <w:nsid w:val="FBFA15D3"/>
    <w:multiLevelType w:val="multilevel"/>
    <w:tmpl w:val="FBFA15D3"/>
    <w:lvl w:ilvl="0" w:tentative="0">
      <w:start w:val="1"/>
      <w:numFmt w:val="decimal"/>
      <w:lvlText w:val="%1."/>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lef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left"/>
      <w:pPr>
        <w:ind w:left="6480" w:hanging="360"/>
      </w:pPr>
      <w:rPr>
        <w:u w:val="none"/>
      </w:rPr>
    </w:lvl>
  </w:abstractNum>
  <w:abstractNum w:abstractNumId="8">
    <w:nsid w:val="FFB18C33"/>
    <w:multiLevelType w:val="multilevel"/>
    <w:tmpl w:val="FFB18C33"/>
    <w:lvl w:ilvl="0" w:tentative="0">
      <w:start w:val="20"/>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9">
    <w:nsid w:val="FFD18B09"/>
    <w:multiLevelType w:val="multilevel"/>
    <w:tmpl w:val="FFD18B09"/>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0">
    <w:nsid w:val="7EEE472D"/>
    <w:multiLevelType w:val="multilevel"/>
    <w:tmpl w:val="7EEE472D"/>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num w:numId="1">
    <w:abstractNumId w:val="0"/>
  </w:num>
  <w:num w:numId="2">
    <w:abstractNumId w:val="9"/>
  </w:num>
  <w:num w:numId="3">
    <w:abstractNumId w:val="5"/>
  </w:num>
  <w:num w:numId="4">
    <w:abstractNumId w:val="1"/>
  </w:num>
  <w:num w:numId="5">
    <w:abstractNumId w:val="6"/>
  </w:num>
  <w:num w:numId="6">
    <w:abstractNumId w:val="7"/>
  </w:num>
  <w:num w:numId="7">
    <w:abstractNumId w:val="3"/>
  </w:num>
  <w:num w:numId="8">
    <w:abstractNumId w:val="2"/>
  </w:num>
  <w:num w:numId="9">
    <w:abstractNumId w:val="1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documentProtection w:enforcement="0"/>
  <w:defaultTabStop w:val="720"/>
  <w:compat>
    <w:compatSetting w:name="compatibilityMode" w:uri="http://schemas.microsoft.com/office/word" w:val="15"/>
  </w:compat>
  <w:rsids>
    <w:rsidRoot w:val="00000000"/>
    <w:rsid w:val="2DF6DD78"/>
    <w:rsid w:val="35BFD746"/>
    <w:rsid w:val="37FD3942"/>
    <w:rsid w:val="73DE775B"/>
    <w:rsid w:val="7BFD7BAE"/>
    <w:rsid w:val="DBF75FF5"/>
    <w:rsid w:val="E74551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Calibri" w:eastAsia="Calibri" w:cs="Calibri"/>
      <w:lang w:val="en"/>
    </w:rPr>
  </w:style>
  <w:style w:type="paragraph" w:styleId="2">
    <w:name w:val="heading 1"/>
    <w:basedOn w:val="1"/>
    <w:next w:val="1"/>
    <w:qFormat/>
    <w:uiPriority w:val="0"/>
    <w:pPr>
      <w:keepNext/>
      <w:keepLines/>
      <w:spacing w:before="340" w:after="330" w:line="578" w:lineRule="auto"/>
    </w:pPr>
    <w:rPr>
      <w:b/>
      <w:sz w:val="44"/>
      <w:szCs w:val="44"/>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qFormat/>
    <w:uiPriority w:val="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rPr>
      <w:rFonts w:ascii="SimSun" w:hAnsi="SimSun" w:eastAsia="SimSun" w:cs="SimSun"/>
      <w:b/>
      <w:color w:val="000000"/>
      <w:sz w:val="27"/>
      <w:szCs w:val="27"/>
      <w:u w:val="none"/>
      <w:shd w:val="clear" w:fill="auto"/>
      <w:vertAlign w:val="baseline"/>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Strong"/>
    <w:basedOn w:val="8"/>
    <w:qFormat/>
    <w:uiPriority w:val="0"/>
    <w:rPr>
      <w:b/>
      <w:bCs/>
    </w:rPr>
  </w:style>
  <w:style w:type="paragraph" w:styleId="11">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paragraph" w:styleId="12">
    <w:name w:val="Title"/>
    <w:basedOn w:val="1"/>
    <w:next w:val="1"/>
    <w:uiPriority w:val="0"/>
    <w:pPr>
      <w:keepNext/>
      <w:keepLines/>
      <w:pageBreakBefore w:val="0"/>
      <w:spacing w:before="480" w:after="120"/>
    </w:pPr>
    <w:rPr>
      <w:b/>
      <w:sz w:val="72"/>
      <w:szCs w:val="72"/>
    </w:rPr>
  </w:style>
  <w:style w:type="table" w:customStyle="1" w:styleId="13">
    <w:name w:val="TableNormal"/>
    <w:uiPriority w:val="0"/>
    <w:tblPr>
      <w:tblCellMar>
        <w:top w:w="100" w:type="dxa"/>
        <w:left w:w="100" w:type="dxa"/>
        <w:bottom w:w="100" w:type="dxa"/>
        <w:right w:w="100" w:type="dxa"/>
      </w:tblCellMar>
    </w:tblPr>
  </w:style>
  <w:style w:type="table" w:customStyle="1" w:styleId="14">
    <w:name w:val="_Style 10"/>
    <w:basedOn w:val="13"/>
    <w:uiPriority w:val="0"/>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11</Pages>
  <TotalTime>0</TotalTime>
  <ScaleCrop>false</ScaleCrop>
  <LinksUpToDate>false</LinksUpToDate>
  <Application>WPS Office_6.10.1.8197_F1E327BC-269C-435d-A152-05C5408002CA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2025-10-18T21:16:39Z</dcterms:created>
  <dc:creator>Data</dc:creator>
  <cp:lastModifiedBy>Mahdia Hawa</cp:lastModifiedBy>
  <dcterms:modified xsi:type="dcterms:W3CDTF">2025-10-18T21:34:01Z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1033-6.10.1.8197</vt:lpwstr>
  </property>
  <property fmtid="{D5CDD505-2E9C-101B-9397-08002B2CF9AE}" pid="3" name="ICV">
    <vt:lpwstr>45EA9A190CEB43E379C1F36852DAAF9C_43</vt:lpwstr>
  </property>
</Properties>
</file>