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C57B4" w14:textId="77777777" w:rsidR="001938FD" w:rsidRPr="009B3236" w:rsidRDefault="001938FD" w:rsidP="001938FD">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 xml:space="preserve">Supplementary Table S1. Standardized movement-task protocol used in the </w:t>
      </w:r>
      <w:proofErr w:type="spellStart"/>
      <w:r w:rsidRPr="009B3236">
        <w:rPr>
          <w:rFonts w:ascii="Times New Roman" w:hAnsi="Times New Roman" w:cs="Times New Roman"/>
          <w:sz w:val="20"/>
          <w:szCs w:val="20"/>
        </w:rPr>
        <w:t>ReMAP</w:t>
      </w:r>
      <w:proofErr w:type="spellEnd"/>
      <w:r w:rsidRPr="009B3236">
        <w:rPr>
          <w:rFonts w:ascii="Times New Roman" w:hAnsi="Times New Roman" w:cs="Times New Roman"/>
          <w:sz w:val="20"/>
          <w:szCs w:val="20"/>
        </w:rPr>
        <w:t xml:space="preserve"> assessment.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4"/>
        <w:gridCol w:w="2552"/>
        <w:gridCol w:w="2835"/>
        <w:gridCol w:w="2268"/>
      </w:tblGrid>
      <w:tr w:rsidR="001938FD" w:rsidRPr="009B3236" w14:paraId="2476936D" w14:textId="77777777" w:rsidTr="003B228B">
        <w:trPr>
          <w:tblHeader/>
          <w:tblCellSpacing w:w="15" w:type="dxa"/>
        </w:trPr>
        <w:tc>
          <w:tcPr>
            <w:tcW w:w="1089" w:type="dxa"/>
            <w:tcBorders>
              <w:top w:val="single" w:sz="4" w:space="0" w:color="auto"/>
              <w:bottom w:val="single" w:sz="4" w:space="0" w:color="auto"/>
            </w:tcBorders>
            <w:vAlign w:val="center"/>
            <w:hideMark/>
          </w:tcPr>
          <w:p w14:paraId="7BCD5E1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Task Pair</w:t>
            </w:r>
          </w:p>
        </w:tc>
        <w:tc>
          <w:tcPr>
            <w:tcW w:w="2522" w:type="dxa"/>
            <w:tcBorders>
              <w:top w:val="single" w:sz="4" w:space="0" w:color="auto"/>
              <w:bottom w:val="single" w:sz="4" w:space="0" w:color="auto"/>
            </w:tcBorders>
            <w:vAlign w:val="center"/>
            <w:hideMark/>
          </w:tcPr>
          <w:p w14:paraId="10A09AEA"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Task</w:t>
            </w:r>
          </w:p>
        </w:tc>
        <w:tc>
          <w:tcPr>
            <w:tcW w:w="2805" w:type="dxa"/>
            <w:tcBorders>
              <w:top w:val="single" w:sz="4" w:space="0" w:color="auto"/>
              <w:bottom w:val="single" w:sz="4" w:space="0" w:color="auto"/>
            </w:tcBorders>
            <w:vAlign w:val="center"/>
            <w:hideMark/>
          </w:tcPr>
          <w:p w14:paraId="7C63B9C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Functional Demand</w:t>
            </w:r>
          </w:p>
        </w:tc>
        <w:tc>
          <w:tcPr>
            <w:tcW w:w="2223" w:type="dxa"/>
            <w:tcBorders>
              <w:top w:val="single" w:sz="4" w:space="0" w:color="auto"/>
              <w:bottom w:val="single" w:sz="4" w:space="0" w:color="auto"/>
            </w:tcBorders>
            <w:vAlign w:val="center"/>
            <w:hideMark/>
          </w:tcPr>
          <w:p w14:paraId="18DAFF08"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Camera View</w:t>
            </w:r>
          </w:p>
        </w:tc>
      </w:tr>
      <w:tr w:rsidR="001938FD" w:rsidRPr="009B3236" w14:paraId="42668C16" w14:textId="77777777" w:rsidTr="003B228B">
        <w:trPr>
          <w:tblCellSpacing w:w="15" w:type="dxa"/>
        </w:trPr>
        <w:tc>
          <w:tcPr>
            <w:tcW w:w="1089" w:type="dxa"/>
            <w:vAlign w:val="center"/>
            <w:hideMark/>
          </w:tcPr>
          <w:p w14:paraId="740274F1"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Pair 1</w:t>
            </w:r>
          </w:p>
        </w:tc>
        <w:tc>
          <w:tcPr>
            <w:tcW w:w="2522" w:type="dxa"/>
            <w:vAlign w:val="center"/>
            <w:hideMark/>
          </w:tcPr>
          <w:p w14:paraId="1D4D322C"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Weight transfer</w:t>
            </w:r>
          </w:p>
        </w:tc>
        <w:tc>
          <w:tcPr>
            <w:tcW w:w="2805" w:type="dxa"/>
            <w:vAlign w:val="center"/>
            <w:hideMark/>
          </w:tcPr>
          <w:p w14:paraId="358A75C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Dynamic balance</w:t>
            </w:r>
          </w:p>
        </w:tc>
        <w:tc>
          <w:tcPr>
            <w:tcW w:w="2223" w:type="dxa"/>
            <w:vAlign w:val="center"/>
            <w:hideMark/>
          </w:tcPr>
          <w:p w14:paraId="1BD48106"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AP</w:t>
            </w:r>
          </w:p>
        </w:tc>
      </w:tr>
      <w:tr w:rsidR="001938FD" w:rsidRPr="009B3236" w14:paraId="341057AB" w14:textId="77777777" w:rsidTr="003B228B">
        <w:trPr>
          <w:tblCellSpacing w:w="15" w:type="dxa"/>
        </w:trPr>
        <w:tc>
          <w:tcPr>
            <w:tcW w:w="1089" w:type="dxa"/>
            <w:vAlign w:val="center"/>
            <w:hideMark/>
          </w:tcPr>
          <w:p w14:paraId="7318F7B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Pair 1</w:t>
            </w:r>
          </w:p>
        </w:tc>
        <w:tc>
          <w:tcPr>
            <w:tcW w:w="2522" w:type="dxa"/>
            <w:vAlign w:val="center"/>
            <w:hideMark/>
          </w:tcPr>
          <w:p w14:paraId="1FE40B8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Reach and return</w:t>
            </w:r>
          </w:p>
        </w:tc>
        <w:tc>
          <w:tcPr>
            <w:tcW w:w="2805" w:type="dxa"/>
            <w:vAlign w:val="center"/>
            <w:hideMark/>
          </w:tcPr>
          <w:p w14:paraId="0A9A66F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Postural control</w:t>
            </w:r>
          </w:p>
        </w:tc>
        <w:tc>
          <w:tcPr>
            <w:tcW w:w="2223" w:type="dxa"/>
            <w:vAlign w:val="center"/>
            <w:hideMark/>
          </w:tcPr>
          <w:p w14:paraId="606C4141"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AP</w:t>
            </w:r>
          </w:p>
        </w:tc>
      </w:tr>
      <w:tr w:rsidR="001938FD" w:rsidRPr="009B3236" w14:paraId="6BBEF450" w14:textId="77777777" w:rsidTr="003B228B">
        <w:trPr>
          <w:tblCellSpacing w:w="15" w:type="dxa"/>
        </w:trPr>
        <w:tc>
          <w:tcPr>
            <w:tcW w:w="1089" w:type="dxa"/>
            <w:vAlign w:val="center"/>
            <w:hideMark/>
          </w:tcPr>
          <w:p w14:paraId="72001B0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Pair 2</w:t>
            </w:r>
          </w:p>
        </w:tc>
        <w:tc>
          <w:tcPr>
            <w:tcW w:w="2522" w:type="dxa"/>
            <w:vAlign w:val="center"/>
            <w:hideMark/>
          </w:tcPr>
          <w:p w14:paraId="0919C891"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Step sequence</w:t>
            </w:r>
          </w:p>
        </w:tc>
        <w:tc>
          <w:tcPr>
            <w:tcW w:w="2805" w:type="dxa"/>
            <w:vAlign w:val="center"/>
            <w:hideMark/>
          </w:tcPr>
          <w:p w14:paraId="3D30213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Coordination</w:t>
            </w:r>
          </w:p>
        </w:tc>
        <w:tc>
          <w:tcPr>
            <w:tcW w:w="2223" w:type="dxa"/>
            <w:vAlign w:val="center"/>
            <w:hideMark/>
          </w:tcPr>
          <w:p w14:paraId="7A7814B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AP</w:t>
            </w:r>
          </w:p>
        </w:tc>
      </w:tr>
      <w:tr w:rsidR="001938FD" w:rsidRPr="009B3236" w14:paraId="773527CB" w14:textId="77777777" w:rsidTr="003B228B">
        <w:trPr>
          <w:tblCellSpacing w:w="15" w:type="dxa"/>
        </w:trPr>
        <w:tc>
          <w:tcPr>
            <w:tcW w:w="1089" w:type="dxa"/>
            <w:vAlign w:val="center"/>
            <w:hideMark/>
          </w:tcPr>
          <w:p w14:paraId="17AF807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Pair 2</w:t>
            </w:r>
          </w:p>
        </w:tc>
        <w:tc>
          <w:tcPr>
            <w:tcW w:w="2522" w:type="dxa"/>
            <w:vAlign w:val="center"/>
            <w:hideMark/>
          </w:tcPr>
          <w:p w14:paraId="42DF7818"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Turning task</w:t>
            </w:r>
          </w:p>
        </w:tc>
        <w:tc>
          <w:tcPr>
            <w:tcW w:w="2805" w:type="dxa"/>
            <w:vAlign w:val="center"/>
            <w:hideMark/>
          </w:tcPr>
          <w:p w14:paraId="120F130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Motor planning</w:t>
            </w:r>
          </w:p>
        </w:tc>
        <w:tc>
          <w:tcPr>
            <w:tcW w:w="2223" w:type="dxa"/>
            <w:vAlign w:val="center"/>
            <w:hideMark/>
          </w:tcPr>
          <w:p w14:paraId="6759B301"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Lateral</w:t>
            </w:r>
          </w:p>
        </w:tc>
      </w:tr>
      <w:tr w:rsidR="001938FD" w:rsidRPr="009B3236" w14:paraId="4D25D0A6" w14:textId="77777777" w:rsidTr="003B228B">
        <w:trPr>
          <w:tblCellSpacing w:w="15" w:type="dxa"/>
        </w:trPr>
        <w:tc>
          <w:tcPr>
            <w:tcW w:w="1089" w:type="dxa"/>
            <w:tcBorders>
              <w:bottom w:val="single" w:sz="4" w:space="0" w:color="auto"/>
            </w:tcBorders>
            <w:vAlign w:val="center"/>
            <w:hideMark/>
          </w:tcPr>
          <w:p w14:paraId="4D448F4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Pair 3</w:t>
            </w:r>
          </w:p>
        </w:tc>
        <w:tc>
          <w:tcPr>
            <w:tcW w:w="2522" w:type="dxa"/>
            <w:tcBorders>
              <w:bottom w:val="single" w:sz="4" w:space="0" w:color="auto"/>
            </w:tcBorders>
            <w:vAlign w:val="center"/>
            <w:hideMark/>
          </w:tcPr>
          <w:p w14:paraId="5A3A873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Functional mobility sequence</w:t>
            </w:r>
          </w:p>
        </w:tc>
        <w:tc>
          <w:tcPr>
            <w:tcW w:w="2805" w:type="dxa"/>
            <w:tcBorders>
              <w:bottom w:val="single" w:sz="4" w:space="0" w:color="auto"/>
            </w:tcBorders>
            <w:vAlign w:val="center"/>
            <w:hideMark/>
          </w:tcPr>
          <w:p w14:paraId="126227B1"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Integrated movement</w:t>
            </w:r>
          </w:p>
        </w:tc>
        <w:tc>
          <w:tcPr>
            <w:tcW w:w="2223" w:type="dxa"/>
            <w:tcBorders>
              <w:bottom w:val="single" w:sz="4" w:space="0" w:color="auto"/>
            </w:tcBorders>
            <w:vAlign w:val="center"/>
            <w:hideMark/>
          </w:tcPr>
          <w:p w14:paraId="5A997B8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AP + Lateral</w:t>
            </w:r>
          </w:p>
        </w:tc>
      </w:tr>
    </w:tbl>
    <w:p w14:paraId="3EC256E2" w14:textId="77777777" w:rsidR="001938FD" w:rsidRPr="00653EEB" w:rsidRDefault="001938FD" w:rsidP="001938FD">
      <w:pPr>
        <w:pStyle w:val="aa"/>
        <w:spacing w:before="0" w:beforeAutospacing="0" w:after="0" w:afterAutospacing="0" w:line="480" w:lineRule="auto"/>
        <w:rPr>
          <w:rFonts w:ascii="Times New Roman" w:hAnsi="Times New Roman" w:cs="Times New Roman"/>
          <w:color w:val="000000"/>
          <w:sz w:val="20"/>
          <w:szCs w:val="20"/>
        </w:rPr>
      </w:pPr>
      <w:r w:rsidRPr="00653EEB">
        <w:rPr>
          <w:rFonts w:ascii="Times New Roman" w:hAnsi="Times New Roman" w:cs="Times New Roman"/>
          <w:color w:val="000000"/>
          <w:sz w:val="20"/>
          <w:szCs w:val="20"/>
        </w:rPr>
        <w:t xml:space="preserve">AP, anterior–posterior view. </w:t>
      </w:r>
      <w:proofErr w:type="spellStart"/>
      <w:r w:rsidRPr="00653EEB">
        <w:rPr>
          <w:rFonts w:ascii="Times New Roman" w:hAnsi="Times New Roman" w:cs="Times New Roman"/>
          <w:color w:val="000000"/>
          <w:sz w:val="20"/>
          <w:szCs w:val="20"/>
        </w:rPr>
        <w:t>ReMAP</w:t>
      </w:r>
      <w:proofErr w:type="spellEnd"/>
      <w:r w:rsidRPr="00653EEB">
        <w:rPr>
          <w:rFonts w:ascii="Times New Roman" w:hAnsi="Times New Roman" w:cs="Times New Roman"/>
          <w:color w:val="000000"/>
          <w:sz w:val="20"/>
          <w:szCs w:val="20"/>
        </w:rPr>
        <w:t xml:space="preserve"> (Rehabilitation Movement Assessment Protocol) consists of standardized movement tasks designed to challenge complementary dimensions of movement behavior, including postural stability, motor control, coordination, and movement efficiency. All tasks were performed using standardized instructions and recorded using predefined camera positions.</w:t>
      </w:r>
    </w:p>
    <w:p w14:paraId="408BE921" w14:textId="77777777" w:rsidR="001938FD" w:rsidRDefault="001938FD" w:rsidP="001938FD">
      <w:pPr>
        <w:spacing w:after="0" w:line="480" w:lineRule="auto"/>
        <w:jc w:val="both"/>
        <w:rPr>
          <w:rFonts w:ascii="Times New Roman" w:hAnsi="Times New Roman" w:cs="Times New Roman"/>
          <w:sz w:val="20"/>
          <w:szCs w:val="20"/>
        </w:rPr>
      </w:pPr>
    </w:p>
    <w:p w14:paraId="527B6656" w14:textId="77777777" w:rsidR="001938FD" w:rsidRDefault="001938FD" w:rsidP="001938FD">
      <w:pPr>
        <w:widowControl/>
        <w:wordWrap/>
        <w:autoSpaceDE/>
        <w:autoSpaceDN/>
        <w:rPr>
          <w:rFonts w:ascii="Times New Roman" w:hAnsi="Times New Roman" w:cs="Times New Roman"/>
          <w:sz w:val="20"/>
          <w:szCs w:val="20"/>
        </w:rPr>
      </w:pPr>
      <w:r>
        <w:rPr>
          <w:rFonts w:ascii="Times New Roman" w:hAnsi="Times New Roman" w:cs="Times New Roman"/>
          <w:sz w:val="20"/>
          <w:szCs w:val="20"/>
        </w:rPr>
        <w:br w:type="page"/>
      </w:r>
    </w:p>
    <w:p w14:paraId="6311D8CB" w14:textId="77777777" w:rsidR="001938FD" w:rsidRPr="009B3236" w:rsidRDefault="001938FD" w:rsidP="001938FD">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lastRenderedPageBreak/>
        <w:t>Supplementary Table S2</w:t>
      </w:r>
      <w:r>
        <w:rPr>
          <w:rFonts w:ascii="Times New Roman" w:hAnsi="Times New Roman" w:cs="Times New Roman"/>
          <w:sz w:val="20"/>
          <w:szCs w:val="20"/>
        </w:rPr>
        <w:t xml:space="preserve">. </w:t>
      </w:r>
      <w:r w:rsidRPr="009B3236">
        <w:rPr>
          <w:rFonts w:ascii="Times New Roman" w:hAnsi="Times New Roman" w:cs="Times New Roman"/>
          <w:sz w:val="20"/>
          <w:szCs w:val="20"/>
        </w:rPr>
        <w:t xml:space="preserve">Definitions and clinical interpretation of </w:t>
      </w:r>
      <w:proofErr w:type="spellStart"/>
      <w:r w:rsidRPr="009B3236">
        <w:rPr>
          <w:rFonts w:ascii="Times New Roman" w:hAnsi="Times New Roman" w:cs="Times New Roman"/>
          <w:sz w:val="20"/>
          <w:szCs w:val="20"/>
        </w:rPr>
        <w:t>ReMAP</w:t>
      </w:r>
      <w:proofErr w:type="spellEnd"/>
      <w:r w:rsidRPr="009B3236">
        <w:rPr>
          <w:rFonts w:ascii="Times New Roman" w:hAnsi="Times New Roman" w:cs="Times New Roman"/>
          <w:sz w:val="20"/>
          <w:szCs w:val="20"/>
        </w:rPr>
        <w:t>-derived movement-quality metrics.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2"/>
        <w:gridCol w:w="1548"/>
        <w:gridCol w:w="2868"/>
        <w:gridCol w:w="3058"/>
      </w:tblGrid>
      <w:tr w:rsidR="001938FD" w:rsidRPr="009B3236" w14:paraId="44583753" w14:textId="77777777" w:rsidTr="003B228B">
        <w:trPr>
          <w:tblHeader/>
          <w:tblCellSpacing w:w="15" w:type="dxa"/>
        </w:trPr>
        <w:tc>
          <w:tcPr>
            <w:tcW w:w="0" w:type="auto"/>
            <w:tcBorders>
              <w:top w:val="single" w:sz="4" w:space="0" w:color="auto"/>
              <w:bottom w:val="single" w:sz="4" w:space="0" w:color="auto"/>
            </w:tcBorders>
            <w:vAlign w:val="center"/>
            <w:hideMark/>
          </w:tcPr>
          <w:p w14:paraId="3EB6BEA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Metric</w:t>
            </w:r>
          </w:p>
        </w:tc>
        <w:tc>
          <w:tcPr>
            <w:tcW w:w="0" w:type="auto"/>
            <w:tcBorders>
              <w:top w:val="single" w:sz="4" w:space="0" w:color="auto"/>
              <w:bottom w:val="single" w:sz="4" w:space="0" w:color="auto"/>
            </w:tcBorders>
            <w:vAlign w:val="center"/>
            <w:hideMark/>
          </w:tcPr>
          <w:p w14:paraId="03BC335C"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Domain</w:t>
            </w:r>
          </w:p>
        </w:tc>
        <w:tc>
          <w:tcPr>
            <w:tcW w:w="0" w:type="auto"/>
            <w:tcBorders>
              <w:top w:val="single" w:sz="4" w:space="0" w:color="auto"/>
              <w:bottom w:val="single" w:sz="4" w:space="0" w:color="auto"/>
            </w:tcBorders>
            <w:vAlign w:val="center"/>
            <w:hideMark/>
          </w:tcPr>
          <w:p w14:paraId="660AF01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Description</w:t>
            </w:r>
          </w:p>
        </w:tc>
        <w:tc>
          <w:tcPr>
            <w:tcW w:w="0" w:type="auto"/>
            <w:tcBorders>
              <w:top w:val="single" w:sz="4" w:space="0" w:color="auto"/>
              <w:bottom w:val="single" w:sz="4" w:space="0" w:color="auto"/>
            </w:tcBorders>
            <w:vAlign w:val="center"/>
            <w:hideMark/>
          </w:tcPr>
          <w:p w14:paraId="4CAA825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Interpretation</w:t>
            </w:r>
          </w:p>
        </w:tc>
      </w:tr>
      <w:tr w:rsidR="001938FD" w:rsidRPr="009B3236" w14:paraId="7FE12592" w14:textId="77777777" w:rsidTr="003B228B">
        <w:trPr>
          <w:tblCellSpacing w:w="15" w:type="dxa"/>
        </w:trPr>
        <w:tc>
          <w:tcPr>
            <w:tcW w:w="0" w:type="auto"/>
            <w:vAlign w:val="center"/>
            <w:hideMark/>
          </w:tcPr>
          <w:p w14:paraId="074F4991"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M</w:t>
            </w:r>
            <w:r>
              <w:rPr>
                <w:rFonts w:ascii="Times New Roman" w:hAnsi="Times New Roman" w:cs="Times New Roman"/>
                <w:sz w:val="20"/>
                <w:szCs w:val="20"/>
              </w:rPr>
              <w:t xml:space="preserve">ediolateral </w:t>
            </w:r>
            <w:r w:rsidRPr="009B3236">
              <w:rPr>
                <w:rFonts w:ascii="Times New Roman" w:hAnsi="Times New Roman" w:cs="Times New Roman"/>
                <w:sz w:val="20"/>
                <w:szCs w:val="20"/>
              </w:rPr>
              <w:t>sway</w:t>
            </w:r>
          </w:p>
        </w:tc>
        <w:tc>
          <w:tcPr>
            <w:tcW w:w="0" w:type="auto"/>
            <w:vAlign w:val="center"/>
            <w:hideMark/>
          </w:tcPr>
          <w:p w14:paraId="07C5EE0F"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Postural stability</w:t>
            </w:r>
          </w:p>
        </w:tc>
        <w:tc>
          <w:tcPr>
            <w:tcW w:w="0" w:type="auto"/>
            <w:vAlign w:val="center"/>
            <w:hideMark/>
          </w:tcPr>
          <w:p w14:paraId="4F4A79A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Variability of mediolateral COM displacement</w:t>
            </w:r>
          </w:p>
        </w:tc>
        <w:tc>
          <w:tcPr>
            <w:tcW w:w="0" w:type="auto"/>
            <w:vAlign w:val="center"/>
            <w:hideMark/>
          </w:tcPr>
          <w:p w14:paraId="772920E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Lower values indicate greater stability</w:t>
            </w:r>
          </w:p>
        </w:tc>
      </w:tr>
      <w:tr w:rsidR="001938FD" w:rsidRPr="009B3236" w14:paraId="112647CC" w14:textId="77777777" w:rsidTr="003B228B">
        <w:trPr>
          <w:tblCellSpacing w:w="15" w:type="dxa"/>
        </w:trPr>
        <w:tc>
          <w:tcPr>
            <w:tcW w:w="0" w:type="auto"/>
            <w:vAlign w:val="center"/>
            <w:hideMark/>
          </w:tcPr>
          <w:p w14:paraId="7B6B4D71"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Trajectory variability</w:t>
            </w:r>
          </w:p>
        </w:tc>
        <w:tc>
          <w:tcPr>
            <w:tcW w:w="0" w:type="auto"/>
            <w:vAlign w:val="center"/>
            <w:hideMark/>
          </w:tcPr>
          <w:p w14:paraId="5E86EE8C"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Motor control</w:t>
            </w:r>
          </w:p>
        </w:tc>
        <w:tc>
          <w:tcPr>
            <w:tcW w:w="0" w:type="auto"/>
            <w:vAlign w:val="center"/>
            <w:hideMark/>
          </w:tcPr>
          <w:p w14:paraId="797A4C7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Variability of movement trajectories</w:t>
            </w:r>
          </w:p>
        </w:tc>
        <w:tc>
          <w:tcPr>
            <w:tcW w:w="0" w:type="auto"/>
            <w:vAlign w:val="center"/>
            <w:hideMark/>
          </w:tcPr>
          <w:p w14:paraId="63D58398"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Lower values indicate more consistent movement</w:t>
            </w:r>
          </w:p>
        </w:tc>
      </w:tr>
      <w:tr w:rsidR="001938FD" w:rsidRPr="009B3236" w14:paraId="1BFDC13F" w14:textId="77777777" w:rsidTr="003B228B">
        <w:trPr>
          <w:tblCellSpacing w:w="15" w:type="dxa"/>
        </w:trPr>
        <w:tc>
          <w:tcPr>
            <w:tcW w:w="0" w:type="auto"/>
            <w:vAlign w:val="center"/>
            <w:hideMark/>
          </w:tcPr>
          <w:p w14:paraId="049D0DF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Coordination</w:t>
            </w:r>
          </w:p>
        </w:tc>
        <w:tc>
          <w:tcPr>
            <w:tcW w:w="0" w:type="auto"/>
            <w:vAlign w:val="center"/>
            <w:hideMark/>
          </w:tcPr>
          <w:p w14:paraId="182D80B1"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Coordination</w:t>
            </w:r>
          </w:p>
        </w:tc>
        <w:tc>
          <w:tcPr>
            <w:tcW w:w="0" w:type="auto"/>
            <w:vAlign w:val="center"/>
            <w:hideMark/>
          </w:tcPr>
          <w:p w14:paraId="24AED67A"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Frequency of corrective adjustments</w:t>
            </w:r>
          </w:p>
        </w:tc>
        <w:tc>
          <w:tcPr>
            <w:tcW w:w="0" w:type="auto"/>
            <w:vAlign w:val="center"/>
            <w:hideMark/>
          </w:tcPr>
          <w:p w14:paraId="6266C76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Higher values indicate greater adaptive control</w:t>
            </w:r>
          </w:p>
        </w:tc>
      </w:tr>
      <w:tr w:rsidR="001938FD" w:rsidRPr="009B3236" w14:paraId="568D8947" w14:textId="77777777" w:rsidTr="003B228B">
        <w:trPr>
          <w:tblCellSpacing w:w="15" w:type="dxa"/>
        </w:trPr>
        <w:tc>
          <w:tcPr>
            <w:tcW w:w="0" w:type="auto"/>
            <w:tcBorders>
              <w:bottom w:val="single" w:sz="4" w:space="0" w:color="auto"/>
            </w:tcBorders>
            <w:vAlign w:val="center"/>
            <w:hideMark/>
          </w:tcPr>
          <w:p w14:paraId="70EB5225"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Energy ratio</w:t>
            </w:r>
          </w:p>
        </w:tc>
        <w:tc>
          <w:tcPr>
            <w:tcW w:w="0" w:type="auto"/>
            <w:tcBorders>
              <w:bottom w:val="single" w:sz="4" w:space="0" w:color="auto"/>
            </w:tcBorders>
            <w:vAlign w:val="center"/>
            <w:hideMark/>
          </w:tcPr>
          <w:p w14:paraId="0EBB417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Movement efficiency</w:t>
            </w:r>
          </w:p>
        </w:tc>
        <w:tc>
          <w:tcPr>
            <w:tcW w:w="0" w:type="auto"/>
            <w:tcBorders>
              <w:bottom w:val="single" w:sz="4" w:space="0" w:color="auto"/>
            </w:tcBorders>
            <w:vAlign w:val="center"/>
            <w:hideMark/>
          </w:tcPr>
          <w:p w14:paraId="40CC2F6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Relative movement burden</w:t>
            </w:r>
          </w:p>
        </w:tc>
        <w:tc>
          <w:tcPr>
            <w:tcW w:w="0" w:type="auto"/>
            <w:tcBorders>
              <w:bottom w:val="single" w:sz="4" w:space="0" w:color="auto"/>
            </w:tcBorders>
            <w:vAlign w:val="center"/>
            <w:hideMark/>
          </w:tcPr>
          <w:p w14:paraId="744357D5"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Lower values indicate greater efficiency</w:t>
            </w:r>
          </w:p>
        </w:tc>
      </w:tr>
    </w:tbl>
    <w:p w14:paraId="0ED84F39" w14:textId="77777777" w:rsidR="001938FD" w:rsidRPr="0016419A" w:rsidRDefault="001938FD" w:rsidP="001938FD">
      <w:pPr>
        <w:pStyle w:val="aa"/>
        <w:spacing w:before="0" w:beforeAutospacing="0" w:after="0" w:afterAutospacing="0" w:line="480" w:lineRule="auto"/>
        <w:jc w:val="both"/>
        <w:rPr>
          <w:rFonts w:ascii="Times New Roman" w:hAnsi="Times New Roman" w:cs="Times New Roman"/>
          <w:color w:val="000000"/>
          <w:sz w:val="20"/>
          <w:szCs w:val="20"/>
        </w:rPr>
      </w:pPr>
      <w:r w:rsidRPr="0016419A">
        <w:rPr>
          <w:rFonts w:ascii="Times New Roman" w:hAnsi="Times New Roman" w:cs="Times New Roman"/>
          <w:color w:val="000000"/>
          <w:sz w:val="20"/>
          <w:szCs w:val="20"/>
        </w:rPr>
        <w:t xml:space="preserve">COM, center of mass. Metrics were derived from standardized video-based movement assessments using </w:t>
      </w:r>
      <w:proofErr w:type="spellStart"/>
      <w:r w:rsidRPr="0016419A">
        <w:rPr>
          <w:rFonts w:ascii="Times New Roman" w:hAnsi="Times New Roman" w:cs="Times New Roman"/>
          <w:color w:val="000000"/>
          <w:sz w:val="20"/>
          <w:szCs w:val="20"/>
        </w:rPr>
        <w:t>markerless</w:t>
      </w:r>
      <w:proofErr w:type="spellEnd"/>
      <w:r w:rsidRPr="0016419A">
        <w:rPr>
          <w:rFonts w:ascii="Times New Roman" w:hAnsi="Times New Roman" w:cs="Times New Roman"/>
          <w:color w:val="000000"/>
          <w:sz w:val="20"/>
          <w:szCs w:val="20"/>
        </w:rPr>
        <w:t xml:space="preserve"> pose estimation. Lower mediolateral sway, trajectory variability, and energy ratio values indicate more favorable movement quality, whereas higher coordination values indicate greater adaptive control.</w:t>
      </w:r>
    </w:p>
    <w:p w14:paraId="1B63FCCD" w14:textId="77777777" w:rsidR="001938FD" w:rsidRPr="009B3236" w:rsidRDefault="001938FD" w:rsidP="001938FD">
      <w:pPr>
        <w:spacing w:after="0" w:line="480" w:lineRule="auto"/>
        <w:jc w:val="both"/>
        <w:rPr>
          <w:rFonts w:ascii="Times New Roman" w:hAnsi="Times New Roman" w:cs="Times New Roman"/>
          <w:sz w:val="20"/>
          <w:szCs w:val="20"/>
        </w:rPr>
      </w:pPr>
    </w:p>
    <w:p w14:paraId="65E5F5B3" w14:textId="77777777" w:rsidR="001938FD" w:rsidRDefault="001938FD" w:rsidP="001938FD">
      <w:pPr>
        <w:widowControl/>
        <w:wordWrap/>
        <w:autoSpaceDE/>
        <w:autoSpaceDN/>
        <w:rPr>
          <w:rFonts w:ascii="Times New Roman" w:hAnsi="Times New Roman" w:cs="Times New Roman"/>
          <w:sz w:val="20"/>
          <w:szCs w:val="20"/>
        </w:rPr>
      </w:pPr>
      <w:r>
        <w:rPr>
          <w:rFonts w:ascii="Times New Roman" w:hAnsi="Times New Roman" w:cs="Times New Roman"/>
          <w:sz w:val="20"/>
          <w:szCs w:val="20"/>
        </w:rPr>
        <w:br w:type="page"/>
      </w:r>
    </w:p>
    <w:p w14:paraId="420FBAD4" w14:textId="77777777" w:rsidR="001938FD" w:rsidRPr="009B3236" w:rsidRDefault="001938FD" w:rsidP="001938FD">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lastRenderedPageBreak/>
        <w:t xml:space="preserve">Supplementary Table S3. Benefit-aligned change-score correlations among conventional rehabilitation outcomes and </w:t>
      </w:r>
      <w:proofErr w:type="spellStart"/>
      <w:r w:rsidRPr="009B3236">
        <w:rPr>
          <w:rFonts w:ascii="Times New Roman" w:hAnsi="Times New Roman" w:cs="Times New Roman"/>
          <w:sz w:val="20"/>
          <w:szCs w:val="20"/>
        </w:rPr>
        <w:t>ReMAP</w:t>
      </w:r>
      <w:proofErr w:type="spellEnd"/>
      <w:r w:rsidRPr="009B3236">
        <w:rPr>
          <w:rFonts w:ascii="Times New Roman" w:hAnsi="Times New Roman" w:cs="Times New Roman"/>
          <w:sz w:val="20"/>
          <w:szCs w:val="20"/>
        </w:rPr>
        <w:t>-derived movement-quality metrics</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34"/>
        <w:gridCol w:w="725"/>
        <w:gridCol w:w="634"/>
        <w:gridCol w:w="634"/>
        <w:gridCol w:w="634"/>
        <w:gridCol w:w="634"/>
        <w:gridCol w:w="708"/>
        <w:gridCol w:w="709"/>
        <w:gridCol w:w="567"/>
        <w:gridCol w:w="709"/>
        <w:gridCol w:w="567"/>
        <w:gridCol w:w="785"/>
        <w:gridCol w:w="586"/>
      </w:tblGrid>
      <w:tr w:rsidR="001938FD" w:rsidRPr="009B3236" w14:paraId="77D44972" w14:textId="77777777" w:rsidTr="003B228B">
        <w:trPr>
          <w:tblHeader/>
          <w:tblCellSpacing w:w="15" w:type="dxa"/>
        </w:trPr>
        <w:tc>
          <w:tcPr>
            <w:tcW w:w="1089" w:type="dxa"/>
            <w:tcBorders>
              <w:top w:val="single" w:sz="4" w:space="0" w:color="auto"/>
              <w:bottom w:val="single" w:sz="4" w:space="0" w:color="auto"/>
            </w:tcBorders>
            <w:vAlign w:val="center"/>
            <w:hideMark/>
          </w:tcPr>
          <w:p w14:paraId="707F38F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Variable</w:t>
            </w:r>
          </w:p>
        </w:tc>
        <w:tc>
          <w:tcPr>
            <w:tcW w:w="695" w:type="dxa"/>
            <w:tcBorders>
              <w:top w:val="single" w:sz="4" w:space="0" w:color="auto"/>
              <w:bottom w:val="single" w:sz="4" w:space="0" w:color="auto"/>
            </w:tcBorders>
            <w:vAlign w:val="center"/>
            <w:hideMark/>
          </w:tcPr>
          <w:p w14:paraId="5BB8854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WHODAS</w:t>
            </w:r>
          </w:p>
        </w:tc>
        <w:tc>
          <w:tcPr>
            <w:tcW w:w="604" w:type="dxa"/>
            <w:tcBorders>
              <w:top w:val="single" w:sz="4" w:space="0" w:color="auto"/>
              <w:bottom w:val="single" w:sz="4" w:space="0" w:color="auto"/>
            </w:tcBorders>
            <w:vAlign w:val="center"/>
            <w:hideMark/>
          </w:tcPr>
          <w:p w14:paraId="50DD4404"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EORTC PF</w:t>
            </w:r>
          </w:p>
        </w:tc>
        <w:tc>
          <w:tcPr>
            <w:tcW w:w="604" w:type="dxa"/>
            <w:tcBorders>
              <w:top w:val="single" w:sz="4" w:space="0" w:color="auto"/>
              <w:bottom w:val="single" w:sz="4" w:space="0" w:color="auto"/>
            </w:tcBorders>
            <w:vAlign w:val="center"/>
            <w:hideMark/>
          </w:tcPr>
          <w:p w14:paraId="53871DC6"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EORTC Fatigue</w:t>
            </w:r>
          </w:p>
        </w:tc>
        <w:tc>
          <w:tcPr>
            <w:tcW w:w="604" w:type="dxa"/>
            <w:tcBorders>
              <w:top w:val="single" w:sz="4" w:space="0" w:color="auto"/>
              <w:bottom w:val="single" w:sz="4" w:space="0" w:color="auto"/>
            </w:tcBorders>
            <w:vAlign w:val="center"/>
            <w:hideMark/>
          </w:tcPr>
          <w:p w14:paraId="018E2A59"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EORTC QoL</w:t>
            </w:r>
          </w:p>
        </w:tc>
        <w:tc>
          <w:tcPr>
            <w:tcW w:w="604" w:type="dxa"/>
            <w:tcBorders>
              <w:top w:val="single" w:sz="4" w:space="0" w:color="auto"/>
              <w:bottom w:val="single" w:sz="4" w:space="0" w:color="auto"/>
            </w:tcBorders>
            <w:vAlign w:val="center"/>
            <w:hideMark/>
          </w:tcPr>
          <w:p w14:paraId="45FB3DA5"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TUG</w:t>
            </w:r>
          </w:p>
        </w:tc>
        <w:tc>
          <w:tcPr>
            <w:tcW w:w="678" w:type="dxa"/>
            <w:tcBorders>
              <w:top w:val="single" w:sz="4" w:space="0" w:color="auto"/>
              <w:bottom w:val="single" w:sz="4" w:space="0" w:color="auto"/>
            </w:tcBorders>
            <w:vAlign w:val="center"/>
            <w:hideMark/>
          </w:tcPr>
          <w:p w14:paraId="5278CE50"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6MWT</w:t>
            </w:r>
          </w:p>
        </w:tc>
        <w:tc>
          <w:tcPr>
            <w:tcW w:w="679" w:type="dxa"/>
            <w:tcBorders>
              <w:top w:val="single" w:sz="4" w:space="0" w:color="auto"/>
              <w:bottom w:val="single" w:sz="4" w:space="0" w:color="auto"/>
            </w:tcBorders>
            <w:vAlign w:val="center"/>
            <w:hideMark/>
          </w:tcPr>
          <w:p w14:paraId="7F8FC38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Grip Strength</w:t>
            </w:r>
          </w:p>
        </w:tc>
        <w:tc>
          <w:tcPr>
            <w:tcW w:w="537" w:type="dxa"/>
            <w:tcBorders>
              <w:top w:val="single" w:sz="4" w:space="0" w:color="auto"/>
              <w:bottom w:val="single" w:sz="4" w:space="0" w:color="auto"/>
            </w:tcBorders>
            <w:vAlign w:val="center"/>
            <w:hideMark/>
          </w:tcPr>
          <w:p w14:paraId="494D0488"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One-leg Standing</w:t>
            </w:r>
          </w:p>
        </w:tc>
        <w:tc>
          <w:tcPr>
            <w:tcW w:w="679" w:type="dxa"/>
            <w:tcBorders>
              <w:top w:val="single" w:sz="4" w:space="0" w:color="auto"/>
              <w:bottom w:val="single" w:sz="4" w:space="0" w:color="auto"/>
            </w:tcBorders>
            <w:vAlign w:val="center"/>
            <w:hideMark/>
          </w:tcPr>
          <w:p w14:paraId="2AB3C43A"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ML Sway</w:t>
            </w:r>
          </w:p>
        </w:tc>
        <w:tc>
          <w:tcPr>
            <w:tcW w:w="537" w:type="dxa"/>
            <w:tcBorders>
              <w:top w:val="single" w:sz="4" w:space="0" w:color="auto"/>
              <w:bottom w:val="single" w:sz="4" w:space="0" w:color="auto"/>
            </w:tcBorders>
            <w:vAlign w:val="center"/>
            <w:hideMark/>
          </w:tcPr>
          <w:p w14:paraId="4D7BB159"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Trajectory Variability</w:t>
            </w:r>
          </w:p>
        </w:tc>
        <w:tc>
          <w:tcPr>
            <w:tcW w:w="755" w:type="dxa"/>
            <w:tcBorders>
              <w:top w:val="single" w:sz="4" w:space="0" w:color="auto"/>
              <w:bottom w:val="single" w:sz="4" w:space="0" w:color="auto"/>
            </w:tcBorders>
            <w:vAlign w:val="center"/>
            <w:hideMark/>
          </w:tcPr>
          <w:p w14:paraId="1D4F79BA"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Coordination</w:t>
            </w:r>
          </w:p>
        </w:tc>
        <w:tc>
          <w:tcPr>
            <w:tcW w:w="541" w:type="dxa"/>
            <w:tcBorders>
              <w:top w:val="single" w:sz="4" w:space="0" w:color="auto"/>
              <w:bottom w:val="single" w:sz="4" w:space="0" w:color="auto"/>
            </w:tcBorders>
            <w:vAlign w:val="center"/>
            <w:hideMark/>
          </w:tcPr>
          <w:p w14:paraId="0CFD989C"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Energy Ratio</w:t>
            </w:r>
          </w:p>
        </w:tc>
      </w:tr>
      <w:tr w:rsidR="001938FD" w:rsidRPr="009B3236" w14:paraId="65ED2D56" w14:textId="77777777" w:rsidTr="003B228B">
        <w:trPr>
          <w:tblCellSpacing w:w="15" w:type="dxa"/>
        </w:trPr>
        <w:tc>
          <w:tcPr>
            <w:tcW w:w="1089" w:type="dxa"/>
            <w:vAlign w:val="center"/>
            <w:hideMark/>
          </w:tcPr>
          <w:p w14:paraId="2612A42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WHODAS</w:t>
            </w:r>
          </w:p>
        </w:tc>
        <w:tc>
          <w:tcPr>
            <w:tcW w:w="695" w:type="dxa"/>
            <w:vAlign w:val="center"/>
            <w:hideMark/>
          </w:tcPr>
          <w:p w14:paraId="342F80A6"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604" w:type="dxa"/>
            <w:vAlign w:val="center"/>
            <w:hideMark/>
          </w:tcPr>
          <w:p w14:paraId="1D67210C"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04" w:type="dxa"/>
            <w:vAlign w:val="center"/>
            <w:hideMark/>
          </w:tcPr>
          <w:p w14:paraId="186B7A71"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04" w:type="dxa"/>
            <w:vAlign w:val="center"/>
            <w:hideMark/>
          </w:tcPr>
          <w:p w14:paraId="6E44F38D"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04" w:type="dxa"/>
            <w:vAlign w:val="center"/>
            <w:hideMark/>
          </w:tcPr>
          <w:p w14:paraId="66405265"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8" w:type="dxa"/>
            <w:vAlign w:val="center"/>
            <w:hideMark/>
          </w:tcPr>
          <w:p w14:paraId="4CA5D55E"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10F7477A"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797DBC01"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67A26467"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5BF2AECA"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755" w:type="dxa"/>
            <w:vAlign w:val="center"/>
            <w:hideMark/>
          </w:tcPr>
          <w:p w14:paraId="08286064"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41" w:type="dxa"/>
            <w:vAlign w:val="center"/>
            <w:hideMark/>
          </w:tcPr>
          <w:p w14:paraId="10068A1D"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383AD776" w14:textId="77777777" w:rsidTr="003B228B">
        <w:trPr>
          <w:tblCellSpacing w:w="15" w:type="dxa"/>
        </w:trPr>
        <w:tc>
          <w:tcPr>
            <w:tcW w:w="1089" w:type="dxa"/>
            <w:vAlign w:val="center"/>
            <w:hideMark/>
          </w:tcPr>
          <w:p w14:paraId="56F11BE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EORTC PF</w:t>
            </w:r>
          </w:p>
        </w:tc>
        <w:tc>
          <w:tcPr>
            <w:tcW w:w="695" w:type="dxa"/>
            <w:vAlign w:val="center"/>
            <w:hideMark/>
          </w:tcPr>
          <w:p w14:paraId="7AC92B36"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0.619</w:t>
            </w:r>
          </w:p>
        </w:tc>
        <w:tc>
          <w:tcPr>
            <w:tcW w:w="604" w:type="dxa"/>
            <w:vAlign w:val="center"/>
            <w:hideMark/>
          </w:tcPr>
          <w:p w14:paraId="128BA7D6"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604" w:type="dxa"/>
            <w:vAlign w:val="center"/>
            <w:hideMark/>
          </w:tcPr>
          <w:p w14:paraId="12B281E7"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04" w:type="dxa"/>
            <w:vAlign w:val="center"/>
            <w:hideMark/>
          </w:tcPr>
          <w:p w14:paraId="652E477E"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04" w:type="dxa"/>
            <w:vAlign w:val="center"/>
            <w:hideMark/>
          </w:tcPr>
          <w:p w14:paraId="3B799F0A"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8" w:type="dxa"/>
            <w:vAlign w:val="center"/>
            <w:hideMark/>
          </w:tcPr>
          <w:p w14:paraId="43D71C8C"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2E6EFF80"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734CA6C4"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5EA6A22A"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39A813ED"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755" w:type="dxa"/>
            <w:vAlign w:val="center"/>
            <w:hideMark/>
          </w:tcPr>
          <w:p w14:paraId="00114FCE"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41" w:type="dxa"/>
            <w:vAlign w:val="center"/>
            <w:hideMark/>
          </w:tcPr>
          <w:p w14:paraId="332F4A1C"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01EB7C52" w14:textId="77777777" w:rsidTr="003B228B">
        <w:trPr>
          <w:tblCellSpacing w:w="15" w:type="dxa"/>
        </w:trPr>
        <w:tc>
          <w:tcPr>
            <w:tcW w:w="1089" w:type="dxa"/>
            <w:vAlign w:val="center"/>
            <w:hideMark/>
          </w:tcPr>
          <w:p w14:paraId="44688F5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EORTC Fatigue</w:t>
            </w:r>
          </w:p>
        </w:tc>
        <w:tc>
          <w:tcPr>
            <w:tcW w:w="695" w:type="dxa"/>
            <w:vAlign w:val="center"/>
            <w:hideMark/>
          </w:tcPr>
          <w:p w14:paraId="7A4F4B99"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0.537</w:t>
            </w:r>
          </w:p>
        </w:tc>
        <w:tc>
          <w:tcPr>
            <w:tcW w:w="604" w:type="dxa"/>
            <w:vAlign w:val="center"/>
            <w:hideMark/>
          </w:tcPr>
          <w:p w14:paraId="4F1434BA"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0.550</w:t>
            </w:r>
          </w:p>
        </w:tc>
        <w:tc>
          <w:tcPr>
            <w:tcW w:w="604" w:type="dxa"/>
            <w:vAlign w:val="center"/>
            <w:hideMark/>
          </w:tcPr>
          <w:p w14:paraId="55379F0F"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604" w:type="dxa"/>
            <w:vAlign w:val="center"/>
            <w:hideMark/>
          </w:tcPr>
          <w:p w14:paraId="51DDD3F8"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04" w:type="dxa"/>
            <w:vAlign w:val="center"/>
            <w:hideMark/>
          </w:tcPr>
          <w:p w14:paraId="4619C2E9"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8" w:type="dxa"/>
            <w:vAlign w:val="center"/>
            <w:hideMark/>
          </w:tcPr>
          <w:p w14:paraId="65573B1C"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5E839289"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78998B26"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357C3AE6"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79EC5A66"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755" w:type="dxa"/>
            <w:vAlign w:val="center"/>
            <w:hideMark/>
          </w:tcPr>
          <w:p w14:paraId="7B54FAE1"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41" w:type="dxa"/>
            <w:vAlign w:val="center"/>
            <w:hideMark/>
          </w:tcPr>
          <w:p w14:paraId="0629854D"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652E5AA1" w14:textId="77777777" w:rsidTr="003B228B">
        <w:trPr>
          <w:tblCellSpacing w:w="15" w:type="dxa"/>
        </w:trPr>
        <w:tc>
          <w:tcPr>
            <w:tcW w:w="1089" w:type="dxa"/>
            <w:vAlign w:val="center"/>
            <w:hideMark/>
          </w:tcPr>
          <w:p w14:paraId="420D02BF"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EORTC QoL</w:t>
            </w:r>
          </w:p>
        </w:tc>
        <w:tc>
          <w:tcPr>
            <w:tcW w:w="695" w:type="dxa"/>
            <w:vAlign w:val="center"/>
            <w:hideMark/>
          </w:tcPr>
          <w:p w14:paraId="082F32A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-0.504</w:t>
            </w:r>
          </w:p>
        </w:tc>
        <w:tc>
          <w:tcPr>
            <w:tcW w:w="604" w:type="dxa"/>
            <w:vAlign w:val="center"/>
            <w:hideMark/>
          </w:tcPr>
          <w:p w14:paraId="15B621C8"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-0.305</w:t>
            </w:r>
          </w:p>
        </w:tc>
        <w:tc>
          <w:tcPr>
            <w:tcW w:w="604" w:type="dxa"/>
            <w:vAlign w:val="center"/>
            <w:hideMark/>
          </w:tcPr>
          <w:p w14:paraId="073AC09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-0.524</w:t>
            </w:r>
          </w:p>
        </w:tc>
        <w:tc>
          <w:tcPr>
            <w:tcW w:w="604" w:type="dxa"/>
            <w:vAlign w:val="center"/>
            <w:hideMark/>
          </w:tcPr>
          <w:p w14:paraId="73FB068B"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604" w:type="dxa"/>
            <w:vAlign w:val="center"/>
            <w:hideMark/>
          </w:tcPr>
          <w:p w14:paraId="0036EA5A"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8" w:type="dxa"/>
            <w:vAlign w:val="center"/>
            <w:hideMark/>
          </w:tcPr>
          <w:p w14:paraId="55C928BB"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212C63F4"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3F035D95"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7F2A0414"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09EB6323"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755" w:type="dxa"/>
            <w:vAlign w:val="center"/>
            <w:hideMark/>
          </w:tcPr>
          <w:p w14:paraId="2646F089"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41" w:type="dxa"/>
            <w:vAlign w:val="center"/>
            <w:hideMark/>
          </w:tcPr>
          <w:p w14:paraId="0A8681CD"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5021F94B" w14:textId="77777777" w:rsidTr="003B228B">
        <w:trPr>
          <w:tblCellSpacing w:w="15" w:type="dxa"/>
        </w:trPr>
        <w:tc>
          <w:tcPr>
            <w:tcW w:w="1089" w:type="dxa"/>
            <w:vAlign w:val="center"/>
            <w:hideMark/>
          </w:tcPr>
          <w:p w14:paraId="3E57C56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TUG</w:t>
            </w:r>
          </w:p>
        </w:tc>
        <w:tc>
          <w:tcPr>
            <w:tcW w:w="695" w:type="dxa"/>
            <w:vAlign w:val="center"/>
            <w:hideMark/>
          </w:tcPr>
          <w:p w14:paraId="483DD8D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0.058</w:t>
            </w:r>
          </w:p>
        </w:tc>
        <w:tc>
          <w:tcPr>
            <w:tcW w:w="604" w:type="dxa"/>
            <w:vAlign w:val="center"/>
            <w:hideMark/>
          </w:tcPr>
          <w:p w14:paraId="07B57034"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0.096</w:t>
            </w:r>
          </w:p>
        </w:tc>
        <w:tc>
          <w:tcPr>
            <w:tcW w:w="604" w:type="dxa"/>
            <w:vAlign w:val="center"/>
            <w:hideMark/>
          </w:tcPr>
          <w:p w14:paraId="569E2D2B"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0.140</w:t>
            </w:r>
          </w:p>
        </w:tc>
        <w:tc>
          <w:tcPr>
            <w:tcW w:w="604" w:type="dxa"/>
            <w:vAlign w:val="center"/>
            <w:hideMark/>
          </w:tcPr>
          <w:p w14:paraId="0D379FE5"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-0.376</w:t>
            </w:r>
          </w:p>
        </w:tc>
        <w:tc>
          <w:tcPr>
            <w:tcW w:w="604" w:type="dxa"/>
            <w:vAlign w:val="center"/>
            <w:hideMark/>
          </w:tcPr>
          <w:p w14:paraId="29FDBC6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678" w:type="dxa"/>
            <w:vAlign w:val="center"/>
            <w:hideMark/>
          </w:tcPr>
          <w:p w14:paraId="06329032"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5CD28589"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1359BB87"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747BECF3"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513E2E59"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755" w:type="dxa"/>
            <w:vAlign w:val="center"/>
            <w:hideMark/>
          </w:tcPr>
          <w:p w14:paraId="5984E0C6"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41" w:type="dxa"/>
            <w:vAlign w:val="center"/>
            <w:hideMark/>
          </w:tcPr>
          <w:p w14:paraId="59B000F7"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1E75A993" w14:textId="77777777" w:rsidTr="003B228B">
        <w:trPr>
          <w:tblCellSpacing w:w="15" w:type="dxa"/>
        </w:trPr>
        <w:tc>
          <w:tcPr>
            <w:tcW w:w="1089" w:type="dxa"/>
            <w:vAlign w:val="center"/>
            <w:hideMark/>
          </w:tcPr>
          <w:p w14:paraId="42658BDC"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6MWT</w:t>
            </w:r>
          </w:p>
        </w:tc>
        <w:tc>
          <w:tcPr>
            <w:tcW w:w="695" w:type="dxa"/>
            <w:vAlign w:val="center"/>
            <w:hideMark/>
          </w:tcPr>
          <w:p w14:paraId="4CB35A0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-0.177</w:t>
            </w:r>
          </w:p>
        </w:tc>
        <w:tc>
          <w:tcPr>
            <w:tcW w:w="604" w:type="dxa"/>
            <w:vAlign w:val="center"/>
            <w:hideMark/>
          </w:tcPr>
          <w:p w14:paraId="17928A7A"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-0.136</w:t>
            </w:r>
          </w:p>
        </w:tc>
        <w:tc>
          <w:tcPr>
            <w:tcW w:w="604" w:type="dxa"/>
            <w:vAlign w:val="center"/>
            <w:hideMark/>
          </w:tcPr>
          <w:p w14:paraId="6BD7376B"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-0.055</w:t>
            </w:r>
          </w:p>
        </w:tc>
        <w:tc>
          <w:tcPr>
            <w:tcW w:w="604" w:type="dxa"/>
            <w:vAlign w:val="center"/>
            <w:hideMark/>
          </w:tcPr>
          <w:p w14:paraId="3A76008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0.101</w:t>
            </w:r>
          </w:p>
        </w:tc>
        <w:tc>
          <w:tcPr>
            <w:tcW w:w="604" w:type="dxa"/>
            <w:vAlign w:val="center"/>
            <w:hideMark/>
          </w:tcPr>
          <w:p w14:paraId="5C0004A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-0.130</w:t>
            </w:r>
          </w:p>
        </w:tc>
        <w:tc>
          <w:tcPr>
            <w:tcW w:w="678" w:type="dxa"/>
            <w:vAlign w:val="center"/>
            <w:hideMark/>
          </w:tcPr>
          <w:p w14:paraId="07BF55EF"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679" w:type="dxa"/>
            <w:vAlign w:val="center"/>
            <w:hideMark/>
          </w:tcPr>
          <w:p w14:paraId="52506E71"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72A9BCDD"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74BF65FD"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6DB896EA"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755" w:type="dxa"/>
            <w:vAlign w:val="center"/>
            <w:hideMark/>
          </w:tcPr>
          <w:p w14:paraId="5D828086"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41" w:type="dxa"/>
            <w:vAlign w:val="center"/>
            <w:hideMark/>
          </w:tcPr>
          <w:p w14:paraId="728975B6"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27236A91" w14:textId="77777777" w:rsidTr="003B228B">
        <w:trPr>
          <w:tblCellSpacing w:w="15" w:type="dxa"/>
        </w:trPr>
        <w:tc>
          <w:tcPr>
            <w:tcW w:w="1089" w:type="dxa"/>
            <w:vAlign w:val="center"/>
            <w:hideMark/>
          </w:tcPr>
          <w:p w14:paraId="22F739C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Grip Strength</w:t>
            </w:r>
          </w:p>
        </w:tc>
        <w:tc>
          <w:tcPr>
            <w:tcW w:w="695" w:type="dxa"/>
            <w:vAlign w:val="center"/>
            <w:hideMark/>
          </w:tcPr>
          <w:p w14:paraId="01715FAB"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-0.041</w:t>
            </w:r>
          </w:p>
        </w:tc>
        <w:tc>
          <w:tcPr>
            <w:tcW w:w="604" w:type="dxa"/>
            <w:vAlign w:val="center"/>
            <w:hideMark/>
          </w:tcPr>
          <w:p w14:paraId="756FCFB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0.091</w:t>
            </w:r>
          </w:p>
        </w:tc>
        <w:tc>
          <w:tcPr>
            <w:tcW w:w="604" w:type="dxa"/>
            <w:vAlign w:val="center"/>
            <w:hideMark/>
          </w:tcPr>
          <w:p w14:paraId="5D80092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0.015</w:t>
            </w:r>
          </w:p>
        </w:tc>
        <w:tc>
          <w:tcPr>
            <w:tcW w:w="604" w:type="dxa"/>
            <w:vAlign w:val="center"/>
            <w:hideMark/>
          </w:tcPr>
          <w:p w14:paraId="13EBFD9B"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-0.197</w:t>
            </w:r>
          </w:p>
        </w:tc>
        <w:tc>
          <w:tcPr>
            <w:tcW w:w="604" w:type="dxa"/>
            <w:vAlign w:val="center"/>
            <w:hideMark/>
          </w:tcPr>
          <w:p w14:paraId="5F6CCE04"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0.056</w:t>
            </w:r>
          </w:p>
        </w:tc>
        <w:tc>
          <w:tcPr>
            <w:tcW w:w="678" w:type="dxa"/>
            <w:vAlign w:val="center"/>
            <w:hideMark/>
          </w:tcPr>
          <w:p w14:paraId="6C285DD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-0.023</w:t>
            </w:r>
          </w:p>
        </w:tc>
        <w:tc>
          <w:tcPr>
            <w:tcW w:w="679" w:type="dxa"/>
            <w:vAlign w:val="center"/>
            <w:hideMark/>
          </w:tcPr>
          <w:p w14:paraId="63A4307B"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537" w:type="dxa"/>
            <w:vAlign w:val="center"/>
            <w:hideMark/>
          </w:tcPr>
          <w:p w14:paraId="2CE4CDCE"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679" w:type="dxa"/>
            <w:vAlign w:val="center"/>
            <w:hideMark/>
          </w:tcPr>
          <w:p w14:paraId="60B8199F"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11BBD509"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755" w:type="dxa"/>
            <w:vAlign w:val="center"/>
            <w:hideMark/>
          </w:tcPr>
          <w:p w14:paraId="6DE87FCD"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41" w:type="dxa"/>
            <w:vAlign w:val="center"/>
            <w:hideMark/>
          </w:tcPr>
          <w:p w14:paraId="0B7BCAE5"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78218921" w14:textId="77777777" w:rsidTr="003B228B">
        <w:trPr>
          <w:tblCellSpacing w:w="15" w:type="dxa"/>
        </w:trPr>
        <w:tc>
          <w:tcPr>
            <w:tcW w:w="1089" w:type="dxa"/>
            <w:vAlign w:val="center"/>
            <w:hideMark/>
          </w:tcPr>
          <w:p w14:paraId="14BBF91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One-leg Standing</w:t>
            </w:r>
          </w:p>
        </w:tc>
        <w:tc>
          <w:tcPr>
            <w:tcW w:w="695" w:type="dxa"/>
            <w:vAlign w:val="center"/>
            <w:hideMark/>
          </w:tcPr>
          <w:p w14:paraId="0A4EEA74"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-0.004</w:t>
            </w:r>
          </w:p>
        </w:tc>
        <w:tc>
          <w:tcPr>
            <w:tcW w:w="604" w:type="dxa"/>
            <w:vAlign w:val="center"/>
            <w:hideMark/>
          </w:tcPr>
          <w:p w14:paraId="10851F7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0.079</w:t>
            </w:r>
          </w:p>
        </w:tc>
        <w:tc>
          <w:tcPr>
            <w:tcW w:w="604" w:type="dxa"/>
            <w:vAlign w:val="center"/>
            <w:hideMark/>
          </w:tcPr>
          <w:p w14:paraId="5E15AC7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0.116</w:t>
            </w:r>
          </w:p>
        </w:tc>
        <w:tc>
          <w:tcPr>
            <w:tcW w:w="604" w:type="dxa"/>
            <w:vAlign w:val="center"/>
            <w:hideMark/>
          </w:tcPr>
          <w:p w14:paraId="00872C74"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-0.056</w:t>
            </w:r>
          </w:p>
        </w:tc>
        <w:tc>
          <w:tcPr>
            <w:tcW w:w="604" w:type="dxa"/>
            <w:vAlign w:val="center"/>
            <w:hideMark/>
          </w:tcPr>
          <w:p w14:paraId="5CC106FA"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0.080</w:t>
            </w:r>
          </w:p>
        </w:tc>
        <w:tc>
          <w:tcPr>
            <w:tcW w:w="678" w:type="dxa"/>
            <w:vAlign w:val="center"/>
            <w:hideMark/>
          </w:tcPr>
          <w:p w14:paraId="74357E6F"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0.085</w:t>
            </w:r>
          </w:p>
        </w:tc>
        <w:tc>
          <w:tcPr>
            <w:tcW w:w="679" w:type="dxa"/>
            <w:vAlign w:val="center"/>
            <w:hideMark/>
          </w:tcPr>
          <w:p w14:paraId="434056EB"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0.164</w:t>
            </w:r>
          </w:p>
        </w:tc>
        <w:tc>
          <w:tcPr>
            <w:tcW w:w="537" w:type="dxa"/>
            <w:vAlign w:val="center"/>
            <w:hideMark/>
          </w:tcPr>
          <w:p w14:paraId="1653531C"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679" w:type="dxa"/>
            <w:vAlign w:val="center"/>
            <w:hideMark/>
          </w:tcPr>
          <w:p w14:paraId="15A81591"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37" w:type="dxa"/>
            <w:vAlign w:val="center"/>
            <w:hideMark/>
          </w:tcPr>
          <w:p w14:paraId="6C501E96"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755" w:type="dxa"/>
            <w:vAlign w:val="center"/>
            <w:hideMark/>
          </w:tcPr>
          <w:p w14:paraId="58B24233"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41" w:type="dxa"/>
            <w:vAlign w:val="center"/>
            <w:hideMark/>
          </w:tcPr>
          <w:p w14:paraId="49A272F9"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57043406" w14:textId="77777777" w:rsidTr="003B228B">
        <w:trPr>
          <w:tblCellSpacing w:w="15" w:type="dxa"/>
        </w:trPr>
        <w:tc>
          <w:tcPr>
            <w:tcW w:w="1089" w:type="dxa"/>
            <w:vAlign w:val="center"/>
            <w:hideMark/>
          </w:tcPr>
          <w:p w14:paraId="3996AC8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ML Sway</w:t>
            </w:r>
          </w:p>
        </w:tc>
        <w:tc>
          <w:tcPr>
            <w:tcW w:w="695" w:type="dxa"/>
            <w:vAlign w:val="center"/>
            <w:hideMark/>
          </w:tcPr>
          <w:p w14:paraId="646676E9"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-0.017</w:t>
            </w:r>
          </w:p>
        </w:tc>
        <w:tc>
          <w:tcPr>
            <w:tcW w:w="604" w:type="dxa"/>
            <w:vAlign w:val="center"/>
            <w:hideMark/>
          </w:tcPr>
          <w:p w14:paraId="49ECB2B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-0.069</w:t>
            </w:r>
          </w:p>
        </w:tc>
        <w:tc>
          <w:tcPr>
            <w:tcW w:w="604" w:type="dxa"/>
            <w:vAlign w:val="center"/>
            <w:hideMark/>
          </w:tcPr>
          <w:p w14:paraId="189204A8"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-0.059</w:t>
            </w:r>
          </w:p>
        </w:tc>
        <w:tc>
          <w:tcPr>
            <w:tcW w:w="604" w:type="dxa"/>
            <w:vAlign w:val="center"/>
            <w:hideMark/>
          </w:tcPr>
          <w:p w14:paraId="34C96E8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-0.082</w:t>
            </w:r>
          </w:p>
        </w:tc>
        <w:tc>
          <w:tcPr>
            <w:tcW w:w="604" w:type="dxa"/>
            <w:vAlign w:val="center"/>
            <w:hideMark/>
          </w:tcPr>
          <w:p w14:paraId="2EA14406"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0.131</w:t>
            </w:r>
          </w:p>
        </w:tc>
        <w:tc>
          <w:tcPr>
            <w:tcW w:w="678" w:type="dxa"/>
            <w:vAlign w:val="center"/>
            <w:hideMark/>
          </w:tcPr>
          <w:p w14:paraId="7BBB6900"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-0.118</w:t>
            </w:r>
          </w:p>
        </w:tc>
        <w:tc>
          <w:tcPr>
            <w:tcW w:w="679" w:type="dxa"/>
            <w:vAlign w:val="center"/>
            <w:hideMark/>
          </w:tcPr>
          <w:p w14:paraId="5FB8287F"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0.058</w:t>
            </w:r>
          </w:p>
        </w:tc>
        <w:tc>
          <w:tcPr>
            <w:tcW w:w="537" w:type="dxa"/>
            <w:vAlign w:val="center"/>
            <w:hideMark/>
          </w:tcPr>
          <w:p w14:paraId="36F687F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0.138</w:t>
            </w:r>
          </w:p>
        </w:tc>
        <w:tc>
          <w:tcPr>
            <w:tcW w:w="679" w:type="dxa"/>
            <w:vAlign w:val="center"/>
            <w:hideMark/>
          </w:tcPr>
          <w:p w14:paraId="2ACA39C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537" w:type="dxa"/>
            <w:vAlign w:val="center"/>
            <w:hideMark/>
          </w:tcPr>
          <w:p w14:paraId="2B16C86E"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755" w:type="dxa"/>
            <w:vAlign w:val="center"/>
            <w:hideMark/>
          </w:tcPr>
          <w:p w14:paraId="2413EE97"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41" w:type="dxa"/>
            <w:vAlign w:val="center"/>
            <w:hideMark/>
          </w:tcPr>
          <w:p w14:paraId="2BB4ED66"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19F0AEC8" w14:textId="77777777" w:rsidTr="003B228B">
        <w:trPr>
          <w:tblCellSpacing w:w="15" w:type="dxa"/>
        </w:trPr>
        <w:tc>
          <w:tcPr>
            <w:tcW w:w="1089" w:type="dxa"/>
            <w:vAlign w:val="center"/>
            <w:hideMark/>
          </w:tcPr>
          <w:p w14:paraId="574CBF71"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Trajectory Variability</w:t>
            </w:r>
          </w:p>
        </w:tc>
        <w:tc>
          <w:tcPr>
            <w:tcW w:w="695" w:type="dxa"/>
            <w:vAlign w:val="center"/>
            <w:hideMark/>
          </w:tcPr>
          <w:p w14:paraId="36593628"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0.071</w:t>
            </w:r>
          </w:p>
        </w:tc>
        <w:tc>
          <w:tcPr>
            <w:tcW w:w="604" w:type="dxa"/>
            <w:vAlign w:val="center"/>
            <w:hideMark/>
          </w:tcPr>
          <w:p w14:paraId="177F69C9"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0.039</w:t>
            </w:r>
          </w:p>
        </w:tc>
        <w:tc>
          <w:tcPr>
            <w:tcW w:w="604" w:type="dxa"/>
            <w:vAlign w:val="center"/>
            <w:hideMark/>
          </w:tcPr>
          <w:p w14:paraId="0E0A01EA"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-0.016</w:t>
            </w:r>
          </w:p>
        </w:tc>
        <w:tc>
          <w:tcPr>
            <w:tcW w:w="604" w:type="dxa"/>
            <w:vAlign w:val="center"/>
            <w:hideMark/>
          </w:tcPr>
          <w:p w14:paraId="30F822D5"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-0.168</w:t>
            </w:r>
          </w:p>
        </w:tc>
        <w:tc>
          <w:tcPr>
            <w:tcW w:w="604" w:type="dxa"/>
            <w:vAlign w:val="center"/>
            <w:hideMark/>
          </w:tcPr>
          <w:p w14:paraId="3A5D2164"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-0.069</w:t>
            </w:r>
          </w:p>
        </w:tc>
        <w:tc>
          <w:tcPr>
            <w:tcW w:w="678" w:type="dxa"/>
            <w:vAlign w:val="center"/>
            <w:hideMark/>
          </w:tcPr>
          <w:p w14:paraId="21D6D544"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-0.135</w:t>
            </w:r>
          </w:p>
        </w:tc>
        <w:tc>
          <w:tcPr>
            <w:tcW w:w="679" w:type="dxa"/>
            <w:vAlign w:val="center"/>
            <w:hideMark/>
          </w:tcPr>
          <w:p w14:paraId="49C066AC"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-0.032</w:t>
            </w:r>
          </w:p>
        </w:tc>
        <w:tc>
          <w:tcPr>
            <w:tcW w:w="537" w:type="dxa"/>
            <w:vAlign w:val="center"/>
            <w:hideMark/>
          </w:tcPr>
          <w:p w14:paraId="752FAD9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0.044</w:t>
            </w:r>
          </w:p>
        </w:tc>
        <w:tc>
          <w:tcPr>
            <w:tcW w:w="679" w:type="dxa"/>
            <w:vAlign w:val="center"/>
            <w:hideMark/>
          </w:tcPr>
          <w:p w14:paraId="4122B91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0.306</w:t>
            </w:r>
          </w:p>
        </w:tc>
        <w:tc>
          <w:tcPr>
            <w:tcW w:w="537" w:type="dxa"/>
            <w:vAlign w:val="center"/>
            <w:hideMark/>
          </w:tcPr>
          <w:p w14:paraId="6C24902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755" w:type="dxa"/>
            <w:vAlign w:val="center"/>
            <w:hideMark/>
          </w:tcPr>
          <w:p w14:paraId="51BA5931" w14:textId="77777777" w:rsidR="001938FD" w:rsidRPr="009B3236" w:rsidRDefault="001938FD" w:rsidP="003B228B">
            <w:pPr>
              <w:spacing w:after="0" w:line="480" w:lineRule="auto"/>
              <w:jc w:val="both"/>
              <w:rPr>
                <w:rFonts w:ascii="Times New Roman" w:hAnsi="Times New Roman" w:cs="Times New Roman"/>
                <w:sz w:val="20"/>
                <w:szCs w:val="20"/>
              </w:rPr>
            </w:pPr>
          </w:p>
        </w:tc>
        <w:tc>
          <w:tcPr>
            <w:tcW w:w="541" w:type="dxa"/>
            <w:vAlign w:val="center"/>
            <w:hideMark/>
          </w:tcPr>
          <w:p w14:paraId="74FC9BC4"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0CED756B" w14:textId="77777777" w:rsidTr="003B228B">
        <w:trPr>
          <w:tblCellSpacing w:w="15" w:type="dxa"/>
        </w:trPr>
        <w:tc>
          <w:tcPr>
            <w:tcW w:w="1089" w:type="dxa"/>
            <w:vAlign w:val="center"/>
            <w:hideMark/>
          </w:tcPr>
          <w:p w14:paraId="416DFCCF"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Coordination</w:t>
            </w:r>
          </w:p>
        </w:tc>
        <w:tc>
          <w:tcPr>
            <w:tcW w:w="695" w:type="dxa"/>
            <w:vAlign w:val="center"/>
            <w:hideMark/>
          </w:tcPr>
          <w:p w14:paraId="338855FC"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-0.033</w:t>
            </w:r>
          </w:p>
        </w:tc>
        <w:tc>
          <w:tcPr>
            <w:tcW w:w="604" w:type="dxa"/>
            <w:vAlign w:val="center"/>
            <w:hideMark/>
          </w:tcPr>
          <w:p w14:paraId="105774A6"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0.018</w:t>
            </w:r>
          </w:p>
        </w:tc>
        <w:tc>
          <w:tcPr>
            <w:tcW w:w="604" w:type="dxa"/>
            <w:vAlign w:val="center"/>
            <w:hideMark/>
          </w:tcPr>
          <w:p w14:paraId="0622BE74"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-0.036</w:t>
            </w:r>
          </w:p>
        </w:tc>
        <w:tc>
          <w:tcPr>
            <w:tcW w:w="604" w:type="dxa"/>
            <w:vAlign w:val="center"/>
            <w:hideMark/>
          </w:tcPr>
          <w:p w14:paraId="7DF119D1"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-0.115</w:t>
            </w:r>
          </w:p>
        </w:tc>
        <w:tc>
          <w:tcPr>
            <w:tcW w:w="604" w:type="dxa"/>
            <w:vAlign w:val="center"/>
            <w:hideMark/>
          </w:tcPr>
          <w:p w14:paraId="2578512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0.175</w:t>
            </w:r>
          </w:p>
        </w:tc>
        <w:tc>
          <w:tcPr>
            <w:tcW w:w="678" w:type="dxa"/>
            <w:vAlign w:val="center"/>
            <w:hideMark/>
          </w:tcPr>
          <w:p w14:paraId="13CEF48E"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-0.062</w:t>
            </w:r>
          </w:p>
        </w:tc>
        <w:tc>
          <w:tcPr>
            <w:tcW w:w="679" w:type="dxa"/>
            <w:vAlign w:val="center"/>
            <w:hideMark/>
          </w:tcPr>
          <w:p w14:paraId="0588B0D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0.008</w:t>
            </w:r>
          </w:p>
        </w:tc>
        <w:tc>
          <w:tcPr>
            <w:tcW w:w="537" w:type="dxa"/>
            <w:vAlign w:val="center"/>
            <w:hideMark/>
          </w:tcPr>
          <w:p w14:paraId="67F43BD5"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0.039</w:t>
            </w:r>
          </w:p>
        </w:tc>
        <w:tc>
          <w:tcPr>
            <w:tcW w:w="679" w:type="dxa"/>
            <w:vAlign w:val="center"/>
            <w:hideMark/>
          </w:tcPr>
          <w:p w14:paraId="1FA8488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-0.138</w:t>
            </w:r>
          </w:p>
        </w:tc>
        <w:tc>
          <w:tcPr>
            <w:tcW w:w="537" w:type="dxa"/>
            <w:vAlign w:val="center"/>
            <w:hideMark/>
          </w:tcPr>
          <w:p w14:paraId="15F316F9"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0.073</w:t>
            </w:r>
          </w:p>
        </w:tc>
        <w:tc>
          <w:tcPr>
            <w:tcW w:w="755" w:type="dxa"/>
            <w:vAlign w:val="center"/>
            <w:hideMark/>
          </w:tcPr>
          <w:p w14:paraId="29C4FD3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c>
          <w:tcPr>
            <w:tcW w:w="541" w:type="dxa"/>
            <w:vAlign w:val="center"/>
            <w:hideMark/>
          </w:tcPr>
          <w:p w14:paraId="0532E7A6" w14:textId="77777777" w:rsidR="001938FD" w:rsidRPr="009B3236" w:rsidRDefault="001938FD" w:rsidP="003B228B">
            <w:pPr>
              <w:spacing w:after="0" w:line="480" w:lineRule="auto"/>
              <w:jc w:val="both"/>
              <w:rPr>
                <w:rFonts w:ascii="Times New Roman" w:hAnsi="Times New Roman" w:cs="Times New Roman"/>
                <w:sz w:val="20"/>
                <w:szCs w:val="20"/>
              </w:rPr>
            </w:pPr>
          </w:p>
        </w:tc>
      </w:tr>
      <w:tr w:rsidR="001938FD" w:rsidRPr="009B3236" w14:paraId="30527133" w14:textId="77777777" w:rsidTr="003B228B">
        <w:trPr>
          <w:tblCellSpacing w:w="15" w:type="dxa"/>
        </w:trPr>
        <w:tc>
          <w:tcPr>
            <w:tcW w:w="1089" w:type="dxa"/>
            <w:tcBorders>
              <w:bottom w:val="single" w:sz="4" w:space="0" w:color="auto"/>
            </w:tcBorders>
            <w:vAlign w:val="center"/>
            <w:hideMark/>
          </w:tcPr>
          <w:p w14:paraId="0CBE407F"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Energy Ratio</w:t>
            </w:r>
          </w:p>
        </w:tc>
        <w:tc>
          <w:tcPr>
            <w:tcW w:w="695" w:type="dxa"/>
            <w:tcBorders>
              <w:bottom w:val="single" w:sz="4" w:space="0" w:color="auto"/>
            </w:tcBorders>
            <w:vAlign w:val="center"/>
            <w:hideMark/>
          </w:tcPr>
          <w:p w14:paraId="79BD0B92"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-0.066</w:t>
            </w:r>
          </w:p>
        </w:tc>
        <w:tc>
          <w:tcPr>
            <w:tcW w:w="604" w:type="dxa"/>
            <w:tcBorders>
              <w:bottom w:val="single" w:sz="4" w:space="0" w:color="auto"/>
            </w:tcBorders>
            <w:vAlign w:val="center"/>
            <w:hideMark/>
          </w:tcPr>
          <w:p w14:paraId="6471CC29"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0.005</w:t>
            </w:r>
          </w:p>
        </w:tc>
        <w:tc>
          <w:tcPr>
            <w:tcW w:w="604" w:type="dxa"/>
            <w:tcBorders>
              <w:bottom w:val="single" w:sz="4" w:space="0" w:color="auto"/>
            </w:tcBorders>
            <w:vAlign w:val="center"/>
            <w:hideMark/>
          </w:tcPr>
          <w:p w14:paraId="7CB21EED"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-0.027</w:t>
            </w:r>
          </w:p>
        </w:tc>
        <w:tc>
          <w:tcPr>
            <w:tcW w:w="604" w:type="dxa"/>
            <w:tcBorders>
              <w:bottom w:val="single" w:sz="4" w:space="0" w:color="auto"/>
            </w:tcBorders>
            <w:vAlign w:val="center"/>
            <w:hideMark/>
          </w:tcPr>
          <w:p w14:paraId="585968BA"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-0.137</w:t>
            </w:r>
          </w:p>
        </w:tc>
        <w:tc>
          <w:tcPr>
            <w:tcW w:w="604" w:type="dxa"/>
            <w:tcBorders>
              <w:bottom w:val="single" w:sz="4" w:space="0" w:color="auto"/>
            </w:tcBorders>
            <w:vAlign w:val="center"/>
            <w:hideMark/>
          </w:tcPr>
          <w:p w14:paraId="7913805B"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0.163</w:t>
            </w:r>
          </w:p>
        </w:tc>
        <w:tc>
          <w:tcPr>
            <w:tcW w:w="678" w:type="dxa"/>
            <w:tcBorders>
              <w:bottom w:val="single" w:sz="4" w:space="0" w:color="auto"/>
            </w:tcBorders>
            <w:vAlign w:val="center"/>
            <w:hideMark/>
          </w:tcPr>
          <w:p w14:paraId="7C302CA0"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-0.057</w:t>
            </w:r>
          </w:p>
        </w:tc>
        <w:tc>
          <w:tcPr>
            <w:tcW w:w="679" w:type="dxa"/>
            <w:tcBorders>
              <w:bottom w:val="single" w:sz="4" w:space="0" w:color="auto"/>
            </w:tcBorders>
            <w:vAlign w:val="center"/>
            <w:hideMark/>
          </w:tcPr>
          <w:p w14:paraId="5F2CE2D8"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-0.022</w:t>
            </w:r>
          </w:p>
        </w:tc>
        <w:tc>
          <w:tcPr>
            <w:tcW w:w="537" w:type="dxa"/>
            <w:tcBorders>
              <w:bottom w:val="single" w:sz="4" w:space="0" w:color="auto"/>
            </w:tcBorders>
            <w:vAlign w:val="center"/>
            <w:hideMark/>
          </w:tcPr>
          <w:p w14:paraId="580767E3"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0.296</w:t>
            </w:r>
          </w:p>
        </w:tc>
        <w:tc>
          <w:tcPr>
            <w:tcW w:w="679" w:type="dxa"/>
            <w:tcBorders>
              <w:bottom w:val="single" w:sz="4" w:space="0" w:color="auto"/>
            </w:tcBorders>
            <w:vAlign w:val="center"/>
            <w:hideMark/>
          </w:tcPr>
          <w:p w14:paraId="2F294D20"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0.572</w:t>
            </w:r>
          </w:p>
        </w:tc>
        <w:tc>
          <w:tcPr>
            <w:tcW w:w="537" w:type="dxa"/>
            <w:tcBorders>
              <w:bottom w:val="single" w:sz="4" w:space="0" w:color="auto"/>
            </w:tcBorders>
            <w:vAlign w:val="center"/>
            <w:hideMark/>
          </w:tcPr>
          <w:p w14:paraId="5E80A069"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0.388</w:t>
            </w:r>
          </w:p>
        </w:tc>
        <w:tc>
          <w:tcPr>
            <w:tcW w:w="755" w:type="dxa"/>
            <w:tcBorders>
              <w:bottom w:val="single" w:sz="4" w:space="0" w:color="auto"/>
            </w:tcBorders>
            <w:vAlign w:val="center"/>
            <w:hideMark/>
          </w:tcPr>
          <w:p w14:paraId="0796C98B"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-0.212</w:t>
            </w:r>
          </w:p>
        </w:tc>
        <w:tc>
          <w:tcPr>
            <w:tcW w:w="541" w:type="dxa"/>
            <w:tcBorders>
              <w:bottom w:val="single" w:sz="4" w:space="0" w:color="auto"/>
            </w:tcBorders>
            <w:vAlign w:val="center"/>
            <w:hideMark/>
          </w:tcPr>
          <w:p w14:paraId="3EBE9477" w14:textId="77777777" w:rsidR="001938FD" w:rsidRPr="009B3236" w:rsidRDefault="001938FD" w:rsidP="003B228B">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1.000</w:t>
            </w:r>
          </w:p>
        </w:tc>
      </w:tr>
    </w:tbl>
    <w:p w14:paraId="65CD6E71" w14:textId="77777777" w:rsidR="001938FD" w:rsidRPr="009B3236" w:rsidRDefault="001938FD" w:rsidP="001938FD">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 xml:space="preserve">Spearman correlation coefficients were calculated using benefit-aligned change scores, such that positive values consistently represented favorable rehabilitation-related change. Weak correlations between changes in </w:t>
      </w:r>
      <w:proofErr w:type="spellStart"/>
      <w:r w:rsidRPr="009B3236">
        <w:rPr>
          <w:rFonts w:ascii="Times New Roman" w:hAnsi="Times New Roman" w:cs="Times New Roman"/>
          <w:sz w:val="20"/>
          <w:szCs w:val="20"/>
        </w:rPr>
        <w:t>ReMAP</w:t>
      </w:r>
      <w:proofErr w:type="spellEnd"/>
      <w:r w:rsidRPr="009B3236">
        <w:rPr>
          <w:rFonts w:ascii="Times New Roman" w:hAnsi="Times New Roman" w:cs="Times New Roman"/>
          <w:sz w:val="20"/>
          <w:szCs w:val="20"/>
        </w:rPr>
        <w:t>-derived movement-quality metrics and conventional rehabilitation outcomes suggest that rehabilitation-related improvements in movement quality occurred largely independently of changes captured by disability, mobility, endurance, strength, balance, and patient-reported outcomes.</w:t>
      </w:r>
    </w:p>
    <w:p w14:paraId="1512D8BE" w14:textId="77777777" w:rsidR="001938FD" w:rsidRDefault="001938FD" w:rsidP="001938FD">
      <w:pPr>
        <w:spacing w:after="0" w:line="480" w:lineRule="auto"/>
        <w:rPr>
          <w:rFonts w:ascii="Times New Roman" w:hAnsi="Times New Roman" w:cs="Times New Roman"/>
          <w:sz w:val="20"/>
          <w:szCs w:val="20"/>
        </w:rPr>
      </w:pPr>
    </w:p>
    <w:p w14:paraId="0F11B5E3" w14:textId="77777777" w:rsidR="001938FD" w:rsidRPr="00253ABB" w:rsidRDefault="001938FD" w:rsidP="001938FD">
      <w:pPr>
        <w:spacing w:after="0" w:line="480" w:lineRule="auto"/>
        <w:jc w:val="both"/>
        <w:rPr>
          <w:rFonts w:ascii="Times New Roman" w:hAnsi="Times New Roman" w:cs="Times New Roman"/>
          <w:sz w:val="20"/>
          <w:szCs w:val="20"/>
        </w:rPr>
      </w:pPr>
      <w:r w:rsidRPr="00253ABB">
        <w:rPr>
          <w:rFonts w:ascii="Times New Roman" w:hAnsi="Times New Roman" w:cs="Times New Roman"/>
          <w:noProof/>
          <w:sz w:val="20"/>
          <w:szCs w:val="20"/>
        </w:rPr>
        <w:lastRenderedPageBreak/>
        <w:drawing>
          <wp:inline distT="0" distB="0" distL="0" distR="0" wp14:anchorId="283E991D" wp14:editId="0484BD30">
            <wp:extent cx="5731510" cy="1315453"/>
            <wp:effectExtent l="0" t="0" r="0" b="5715"/>
            <wp:docPr id="667622147" name="그림 16" descr="블랙, 어둠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22147" name="그림 16" descr="블랙, 어둠이(가) 표시된 사진&#10;&#10;AI가 생성한 콘텐츠는 부정확할 수 있습니다."/>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23465" cy="1336558"/>
                    </a:xfrm>
                    <a:prstGeom prst="rect">
                      <a:avLst/>
                    </a:prstGeom>
                  </pic:spPr>
                </pic:pic>
              </a:graphicData>
            </a:graphic>
          </wp:inline>
        </w:drawing>
      </w:r>
    </w:p>
    <w:p w14:paraId="357B762B" w14:textId="77777777" w:rsidR="001938FD" w:rsidRPr="00253ABB" w:rsidRDefault="001938FD" w:rsidP="001938FD">
      <w:pPr>
        <w:spacing w:after="0" w:line="480" w:lineRule="auto"/>
        <w:jc w:val="both"/>
        <w:rPr>
          <w:rFonts w:ascii="Times New Roman" w:hAnsi="Times New Roman" w:cs="Times New Roman"/>
          <w:sz w:val="20"/>
          <w:szCs w:val="20"/>
        </w:rPr>
      </w:pPr>
      <w:r w:rsidRPr="00253ABB">
        <w:rPr>
          <w:rFonts w:ascii="Times New Roman" w:hAnsi="Times New Roman" w:cs="Times New Roman"/>
          <w:sz w:val="20"/>
          <w:szCs w:val="20"/>
        </w:rPr>
        <w:t xml:space="preserve">Supplementary Figure </w:t>
      </w:r>
      <w:r>
        <w:rPr>
          <w:rFonts w:ascii="Times New Roman" w:hAnsi="Times New Roman" w:cs="Times New Roman"/>
          <w:sz w:val="20"/>
          <w:szCs w:val="20"/>
        </w:rPr>
        <w:t>S</w:t>
      </w:r>
      <w:r w:rsidRPr="00253ABB">
        <w:rPr>
          <w:rFonts w:ascii="Times New Roman" w:hAnsi="Times New Roman" w:cs="Times New Roman"/>
          <w:sz w:val="20"/>
          <w:szCs w:val="20"/>
        </w:rPr>
        <w:t>1. Overview of the video-based movement quality assessment procedure</w:t>
      </w:r>
      <w:r>
        <w:rPr>
          <w:rFonts w:ascii="Times New Roman" w:hAnsi="Times New Roman" w:cs="Times New Roman" w:hint="eastAsia"/>
          <w:sz w:val="20"/>
          <w:szCs w:val="20"/>
        </w:rPr>
        <w:t xml:space="preserve">. </w:t>
      </w:r>
      <w:r w:rsidRPr="00253ABB">
        <w:rPr>
          <w:rFonts w:ascii="Times New Roman" w:hAnsi="Times New Roman" w:cs="Times New Roman"/>
          <w:sz w:val="20"/>
          <w:szCs w:val="20"/>
        </w:rPr>
        <w:t xml:space="preserve">Standardized rehabilitation-task videos were recorded from anterior–posterior and lateral views and processed using </w:t>
      </w:r>
      <w:proofErr w:type="spellStart"/>
      <w:r w:rsidRPr="00253ABB">
        <w:rPr>
          <w:rFonts w:ascii="Times New Roman" w:hAnsi="Times New Roman" w:cs="Times New Roman"/>
          <w:sz w:val="20"/>
          <w:szCs w:val="20"/>
        </w:rPr>
        <w:t>markerless</w:t>
      </w:r>
      <w:proofErr w:type="spellEnd"/>
      <w:r w:rsidRPr="00253ABB">
        <w:rPr>
          <w:rFonts w:ascii="Times New Roman" w:hAnsi="Times New Roman" w:cs="Times New Roman"/>
          <w:sz w:val="20"/>
          <w:szCs w:val="20"/>
        </w:rPr>
        <w:t xml:space="preserve"> pose estimation. Four movement-quality metrics representing postural stability, motor control, coordination, and movement efficiency were subsequently derived and evaluated as complementary rehabilitation outcome measures.</w:t>
      </w:r>
    </w:p>
    <w:p w14:paraId="5C712C02" w14:textId="77777777" w:rsidR="001938FD" w:rsidRPr="009B3236" w:rsidRDefault="001938FD" w:rsidP="001938FD">
      <w:pPr>
        <w:spacing w:after="0" w:line="480" w:lineRule="auto"/>
        <w:jc w:val="both"/>
        <w:rPr>
          <w:rFonts w:ascii="Times New Roman" w:hAnsi="Times New Roman" w:cs="Times New Roman"/>
          <w:sz w:val="20"/>
          <w:szCs w:val="20"/>
        </w:rPr>
      </w:pPr>
    </w:p>
    <w:p w14:paraId="7CB22123" w14:textId="77777777" w:rsidR="001938FD" w:rsidRDefault="001938FD" w:rsidP="001938FD">
      <w:pPr>
        <w:widowControl/>
        <w:wordWrap/>
        <w:autoSpaceDE/>
        <w:autoSpaceDN/>
        <w:rPr>
          <w:rFonts w:ascii="Times New Roman" w:hAnsi="Times New Roman" w:cs="Times New Roman"/>
          <w:sz w:val="20"/>
          <w:szCs w:val="20"/>
        </w:rPr>
      </w:pPr>
      <w:r>
        <w:rPr>
          <w:rFonts w:ascii="Times New Roman" w:hAnsi="Times New Roman" w:cs="Times New Roman"/>
          <w:sz w:val="20"/>
          <w:szCs w:val="20"/>
        </w:rPr>
        <w:br w:type="page"/>
      </w:r>
    </w:p>
    <w:p w14:paraId="58AE48CE" w14:textId="77777777" w:rsidR="001938FD" w:rsidRPr="002D432C" w:rsidRDefault="001938FD" w:rsidP="001938FD">
      <w:pPr>
        <w:spacing w:after="0" w:line="480" w:lineRule="auto"/>
        <w:jc w:val="both"/>
        <w:rPr>
          <w:rFonts w:ascii="Times New Roman" w:hAnsi="Times New Roman" w:cs="Times New Roman"/>
          <w:sz w:val="20"/>
          <w:szCs w:val="20"/>
        </w:rPr>
      </w:pPr>
      <w:r>
        <w:lastRenderedPageBreak/>
        <w:fldChar w:fldCharType="begin"/>
      </w:r>
      <w:r>
        <w:instrText xml:space="preserve"> INCLUDEPICTURE "/Users/yang-eunju/Library/Group Containers/UBF8T346G9.ms/WebArchiveCopyPasteTempFiles/com.microsoft.Word/content?id=file_0000000086a07206bbd643661768ae11&amp;ts=494813&amp;p=fs&amp;cid=1&amp;sig=1db7253a8306f5e731fb4cd3265e92302caaf6c64592e8019295899690afe84e&amp;v=0" \* MERGEFORMATINET </w:instrText>
      </w:r>
      <w:r>
        <w:fldChar w:fldCharType="separate"/>
      </w:r>
      <w:r>
        <w:rPr>
          <w:noProof/>
        </w:rPr>
        <w:drawing>
          <wp:inline distT="0" distB="0" distL="0" distR="0" wp14:anchorId="735A9122" wp14:editId="747EB61E">
            <wp:extent cx="3384134" cy="5077326"/>
            <wp:effectExtent l="0" t="0" r="0" b="3175"/>
            <wp:docPr id="858026459" name="그림 1" descr="생성된 이미지: 연구 참여 흐름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r_2av_" descr="생성된 이미지: 연구 참여 흐름도"/>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98543" cy="5098944"/>
                    </a:xfrm>
                    <a:prstGeom prst="rect">
                      <a:avLst/>
                    </a:prstGeom>
                    <a:noFill/>
                    <a:ln>
                      <a:noFill/>
                    </a:ln>
                  </pic:spPr>
                </pic:pic>
              </a:graphicData>
            </a:graphic>
          </wp:inline>
        </w:drawing>
      </w:r>
      <w:r>
        <w:fldChar w:fldCharType="end"/>
      </w:r>
    </w:p>
    <w:p w14:paraId="312BE1E0" w14:textId="77777777" w:rsidR="001938FD" w:rsidRPr="003541E7" w:rsidRDefault="001938FD" w:rsidP="001938FD">
      <w:pPr>
        <w:spacing w:after="0" w:line="480" w:lineRule="auto"/>
        <w:jc w:val="both"/>
        <w:rPr>
          <w:rFonts w:ascii="Times New Roman" w:hAnsi="Times New Roman" w:cs="Times New Roman"/>
          <w:sz w:val="20"/>
          <w:szCs w:val="20"/>
        </w:rPr>
      </w:pPr>
      <w:r w:rsidRPr="003541E7">
        <w:rPr>
          <w:rFonts w:ascii="Times New Roman" w:hAnsi="Times New Roman" w:cs="Times New Roman"/>
          <w:sz w:val="20"/>
          <w:szCs w:val="20"/>
        </w:rPr>
        <w:t>Supplementary Figure S2.</w:t>
      </w:r>
      <w:r w:rsidRPr="003541E7">
        <w:rPr>
          <w:rFonts w:ascii="Times New Roman" w:hAnsi="Times New Roman" w:cs="Times New Roman"/>
          <w:color w:val="000000"/>
          <w:sz w:val="20"/>
          <w:szCs w:val="20"/>
        </w:rPr>
        <w:t xml:space="preserve"> Participant flow through screening, enrollment, follow-up, and analysis.</w:t>
      </w:r>
      <w:r w:rsidRPr="003541E7">
        <w:rPr>
          <w:rFonts w:ascii="-webkit-standard" w:hAnsi="-webkit-standard"/>
          <w:color w:val="000000"/>
          <w:sz w:val="27"/>
          <w:szCs w:val="27"/>
        </w:rPr>
        <w:t xml:space="preserve"> </w:t>
      </w:r>
      <w:r w:rsidRPr="003541E7">
        <w:rPr>
          <w:rFonts w:ascii="Times New Roman" w:hAnsi="Times New Roman" w:cs="Times New Roman"/>
          <w:color w:val="000000"/>
          <w:sz w:val="20"/>
          <w:szCs w:val="20"/>
        </w:rPr>
        <w:t>Flow of participants through eligibility assessment, study inclusion, follow-up, and final analyses.</w:t>
      </w:r>
    </w:p>
    <w:p w14:paraId="7B851C72" w14:textId="77777777" w:rsidR="001938FD" w:rsidRPr="003541E7" w:rsidRDefault="001938FD" w:rsidP="001938FD">
      <w:pPr>
        <w:spacing w:after="0" w:line="480" w:lineRule="auto"/>
        <w:jc w:val="both"/>
        <w:rPr>
          <w:rFonts w:ascii="Times New Roman" w:hAnsi="Times New Roman" w:cs="Times New Roman"/>
          <w:sz w:val="20"/>
          <w:szCs w:val="20"/>
        </w:rPr>
      </w:pPr>
    </w:p>
    <w:p w14:paraId="3CA14BF5" w14:textId="77777777" w:rsidR="001938FD" w:rsidRPr="009B3236" w:rsidRDefault="001938FD" w:rsidP="001938FD">
      <w:pPr>
        <w:spacing w:after="0" w:line="480" w:lineRule="auto"/>
        <w:jc w:val="both"/>
        <w:rPr>
          <w:rFonts w:ascii="Times New Roman" w:hAnsi="Times New Roman" w:cs="Times New Roman"/>
          <w:sz w:val="20"/>
          <w:szCs w:val="20"/>
        </w:rPr>
      </w:pPr>
    </w:p>
    <w:p w14:paraId="12EBCA4D" w14:textId="77777777" w:rsidR="001938FD" w:rsidRPr="002D432C" w:rsidRDefault="001938FD" w:rsidP="001938FD">
      <w:pPr>
        <w:spacing w:after="0" w:line="480" w:lineRule="auto"/>
        <w:jc w:val="both"/>
        <w:rPr>
          <w:rFonts w:ascii="Times New Roman" w:hAnsi="Times New Roman" w:cs="Times New Roman"/>
          <w:sz w:val="20"/>
          <w:szCs w:val="20"/>
        </w:rPr>
      </w:pPr>
    </w:p>
    <w:p w14:paraId="7ABCACB5" w14:textId="77777777" w:rsidR="001938FD" w:rsidRPr="009B3236" w:rsidRDefault="001938FD" w:rsidP="001938FD">
      <w:pPr>
        <w:spacing w:after="0" w:line="480" w:lineRule="auto"/>
        <w:jc w:val="both"/>
        <w:rPr>
          <w:rFonts w:ascii="Times New Roman" w:hAnsi="Times New Roman" w:cs="Times New Roman"/>
          <w:sz w:val="20"/>
          <w:szCs w:val="20"/>
        </w:rPr>
      </w:pPr>
    </w:p>
    <w:p w14:paraId="333A998F" w14:textId="77777777" w:rsidR="001938FD" w:rsidRDefault="001938FD" w:rsidP="001938FD">
      <w:pPr>
        <w:widowControl/>
        <w:wordWrap/>
        <w:autoSpaceDE/>
        <w:autoSpaceDN/>
        <w:rPr>
          <w:rFonts w:ascii="Times New Roman" w:hAnsi="Times New Roman" w:cs="Times New Roman"/>
          <w:sz w:val="20"/>
          <w:szCs w:val="20"/>
        </w:rPr>
      </w:pPr>
      <w:r>
        <w:rPr>
          <w:rFonts w:ascii="Times New Roman" w:hAnsi="Times New Roman" w:cs="Times New Roman"/>
          <w:sz w:val="20"/>
          <w:szCs w:val="20"/>
        </w:rPr>
        <w:br w:type="page"/>
      </w:r>
    </w:p>
    <w:p w14:paraId="6A21DBE3" w14:textId="77777777" w:rsidR="001938FD" w:rsidRDefault="001938FD" w:rsidP="001938FD">
      <w:r>
        <w:rPr>
          <w:noProof/>
        </w:rPr>
        <w:lastRenderedPageBreak/>
        <w:drawing>
          <wp:inline distT="0" distB="0" distL="0" distR="0" wp14:anchorId="3C1D84F9" wp14:editId="538329D6">
            <wp:extent cx="5731510" cy="3400425"/>
            <wp:effectExtent l="0" t="0" r="0" b="3175"/>
            <wp:docPr id="470388087" name="그림 1" descr="도표, 스크린샷, 라인, 텍스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88087" name="그림 1" descr="도표, 스크린샷, 라인, 텍스트이(가) 표시된 사진&#10;&#10;AI가 생성한 콘텐츠는 부정확할 수 있습니다."/>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400425"/>
                    </a:xfrm>
                    <a:prstGeom prst="rect">
                      <a:avLst/>
                    </a:prstGeom>
                  </pic:spPr>
                </pic:pic>
              </a:graphicData>
            </a:graphic>
          </wp:inline>
        </w:drawing>
      </w:r>
    </w:p>
    <w:p w14:paraId="2FFD849C" w14:textId="77777777" w:rsidR="001938FD" w:rsidRPr="009B3236" w:rsidRDefault="001938FD" w:rsidP="001938FD">
      <w:pPr>
        <w:spacing w:after="0" w:line="480" w:lineRule="auto"/>
        <w:jc w:val="both"/>
        <w:rPr>
          <w:rFonts w:ascii="Times New Roman" w:hAnsi="Times New Roman" w:cs="Times New Roman"/>
          <w:sz w:val="20"/>
          <w:szCs w:val="20"/>
        </w:rPr>
      </w:pPr>
      <w:r w:rsidRPr="009B3236">
        <w:rPr>
          <w:rFonts w:ascii="Times New Roman" w:hAnsi="Times New Roman" w:cs="Times New Roman"/>
          <w:sz w:val="20"/>
          <w:szCs w:val="20"/>
        </w:rPr>
        <w:t>Supplementary Figure S2</w:t>
      </w:r>
      <w:r>
        <w:rPr>
          <w:rFonts w:ascii="Times New Roman" w:hAnsi="Times New Roman" w:cs="Times New Roman"/>
          <w:sz w:val="20"/>
          <w:szCs w:val="20"/>
        </w:rPr>
        <w:t xml:space="preserve"> </w:t>
      </w:r>
      <w:r w:rsidRPr="009B3236">
        <w:rPr>
          <w:rFonts w:ascii="Times New Roman" w:hAnsi="Times New Roman" w:cs="Times New Roman"/>
          <w:sz w:val="20"/>
          <w:szCs w:val="20"/>
        </w:rPr>
        <w:t>Exploratory associations between movement-quality metrics and TUG performance</w:t>
      </w:r>
      <w:r>
        <w:rPr>
          <w:rFonts w:ascii="Times New Roman" w:hAnsi="Times New Roman" w:cs="Times New Roman" w:hint="eastAsia"/>
          <w:sz w:val="20"/>
          <w:szCs w:val="20"/>
        </w:rPr>
        <w:t xml:space="preserve">. </w:t>
      </w:r>
      <w:r w:rsidRPr="009B3236">
        <w:rPr>
          <w:rFonts w:ascii="Times New Roman" w:hAnsi="Times New Roman" w:cs="Times New Roman"/>
          <w:sz w:val="20"/>
          <w:szCs w:val="20"/>
        </w:rPr>
        <w:t>Standardized regression coefficients and 95% confidence intervals from exploratory models examining associations between movement-quality metrics and TUG performance at baseline and over time. These analyses were exploratory and not part of the primary study objectives.</w:t>
      </w:r>
    </w:p>
    <w:p w14:paraId="2BD512CA" w14:textId="77777777" w:rsidR="001938FD" w:rsidRPr="00AD289F" w:rsidRDefault="001938FD" w:rsidP="001938FD">
      <w:pPr>
        <w:spacing w:after="0" w:line="480" w:lineRule="auto"/>
        <w:rPr>
          <w:rFonts w:ascii="Times New Roman" w:hAnsi="Times New Roman" w:cs="Times New Roman"/>
          <w:sz w:val="20"/>
          <w:szCs w:val="20"/>
        </w:rPr>
      </w:pPr>
    </w:p>
    <w:p w14:paraId="594DA920" w14:textId="77777777" w:rsidR="007A5FF8" w:rsidRPr="001938FD" w:rsidRDefault="007A5FF8"/>
    <w:sectPr w:rsidR="007A5FF8" w:rsidRPr="001938FD">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webkit-standard">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FD"/>
    <w:rsid w:val="000062D7"/>
    <w:rsid w:val="00025774"/>
    <w:rsid w:val="000265D3"/>
    <w:rsid w:val="00026D2D"/>
    <w:rsid w:val="00027F79"/>
    <w:rsid w:val="000322F8"/>
    <w:rsid w:val="0003472C"/>
    <w:rsid w:val="000373A0"/>
    <w:rsid w:val="00037468"/>
    <w:rsid w:val="00043FFC"/>
    <w:rsid w:val="000503A4"/>
    <w:rsid w:val="0005048A"/>
    <w:rsid w:val="000530A4"/>
    <w:rsid w:val="0006155D"/>
    <w:rsid w:val="0006609B"/>
    <w:rsid w:val="00066DD6"/>
    <w:rsid w:val="0006726E"/>
    <w:rsid w:val="000761DD"/>
    <w:rsid w:val="00076AFA"/>
    <w:rsid w:val="00077C45"/>
    <w:rsid w:val="00082BAB"/>
    <w:rsid w:val="00083A40"/>
    <w:rsid w:val="00084265"/>
    <w:rsid w:val="00085FCC"/>
    <w:rsid w:val="000876B9"/>
    <w:rsid w:val="000877B5"/>
    <w:rsid w:val="00087E09"/>
    <w:rsid w:val="000941F0"/>
    <w:rsid w:val="0009488C"/>
    <w:rsid w:val="000A352E"/>
    <w:rsid w:val="000A3531"/>
    <w:rsid w:val="000A3941"/>
    <w:rsid w:val="000B4DE5"/>
    <w:rsid w:val="000B4FA5"/>
    <w:rsid w:val="000B5C42"/>
    <w:rsid w:val="000C5276"/>
    <w:rsid w:val="000C6D8B"/>
    <w:rsid w:val="000D05DE"/>
    <w:rsid w:val="000D0AC5"/>
    <w:rsid w:val="000D3573"/>
    <w:rsid w:val="000D6760"/>
    <w:rsid w:val="000D6C93"/>
    <w:rsid w:val="000D7EAE"/>
    <w:rsid w:val="000E0F02"/>
    <w:rsid w:val="000E1408"/>
    <w:rsid w:val="000E5AFA"/>
    <w:rsid w:val="000E6C62"/>
    <w:rsid w:val="000E7775"/>
    <w:rsid w:val="00102B69"/>
    <w:rsid w:val="00104741"/>
    <w:rsid w:val="00107AAC"/>
    <w:rsid w:val="001116F2"/>
    <w:rsid w:val="001134FC"/>
    <w:rsid w:val="00116D58"/>
    <w:rsid w:val="0011711C"/>
    <w:rsid w:val="0012310C"/>
    <w:rsid w:val="00124045"/>
    <w:rsid w:val="001259C4"/>
    <w:rsid w:val="00134068"/>
    <w:rsid w:val="001340AC"/>
    <w:rsid w:val="00136346"/>
    <w:rsid w:val="00136847"/>
    <w:rsid w:val="0013697C"/>
    <w:rsid w:val="00141D77"/>
    <w:rsid w:val="00142E42"/>
    <w:rsid w:val="00145197"/>
    <w:rsid w:val="001463AE"/>
    <w:rsid w:val="001469F5"/>
    <w:rsid w:val="00152EF9"/>
    <w:rsid w:val="00154041"/>
    <w:rsid w:val="00154A48"/>
    <w:rsid w:val="0015617C"/>
    <w:rsid w:val="00160B91"/>
    <w:rsid w:val="00167B1A"/>
    <w:rsid w:val="00170434"/>
    <w:rsid w:val="0017169C"/>
    <w:rsid w:val="0017549C"/>
    <w:rsid w:val="00184B5F"/>
    <w:rsid w:val="0018543E"/>
    <w:rsid w:val="001854E1"/>
    <w:rsid w:val="00186FB5"/>
    <w:rsid w:val="00187223"/>
    <w:rsid w:val="00190C90"/>
    <w:rsid w:val="00190F57"/>
    <w:rsid w:val="001938FD"/>
    <w:rsid w:val="001956F0"/>
    <w:rsid w:val="001B0CE8"/>
    <w:rsid w:val="001B4E91"/>
    <w:rsid w:val="001B6152"/>
    <w:rsid w:val="001C1AAD"/>
    <w:rsid w:val="001C1F60"/>
    <w:rsid w:val="001C3120"/>
    <w:rsid w:val="001C33E4"/>
    <w:rsid w:val="001C4306"/>
    <w:rsid w:val="001C499F"/>
    <w:rsid w:val="001D1642"/>
    <w:rsid w:val="001D6BDA"/>
    <w:rsid w:val="001E23A5"/>
    <w:rsid w:val="001E32F6"/>
    <w:rsid w:val="001E7BB8"/>
    <w:rsid w:val="001F4E08"/>
    <w:rsid w:val="001F4E13"/>
    <w:rsid w:val="001F5CC4"/>
    <w:rsid w:val="001F649C"/>
    <w:rsid w:val="0020398D"/>
    <w:rsid w:val="00212A4E"/>
    <w:rsid w:val="00221ECE"/>
    <w:rsid w:val="002267D0"/>
    <w:rsid w:val="0023308E"/>
    <w:rsid w:val="00233C3D"/>
    <w:rsid w:val="00235815"/>
    <w:rsid w:val="002377B4"/>
    <w:rsid w:val="00237A73"/>
    <w:rsid w:val="00237E04"/>
    <w:rsid w:val="0025773E"/>
    <w:rsid w:val="002705FE"/>
    <w:rsid w:val="0027313B"/>
    <w:rsid w:val="00274ACE"/>
    <w:rsid w:val="002759F8"/>
    <w:rsid w:val="002764AA"/>
    <w:rsid w:val="00276C57"/>
    <w:rsid w:val="00285D47"/>
    <w:rsid w:val="00286191"/>
    <w:rsid w:val="0028649E"/>
    <w:rsid w:val="00287630"/>
    <w:rsid w:val="00287A2A"/>
    <w:rsid w:val="002A0120"/>
    <w:rsid w:val="002A0429"/>
    <w:rsid w:val="002A27FB"/>
    <w:rsid w:val="002A555D"/>
    <w:rsid w:val="002B1B56"/>
    <w:rsid w:val="002B48E1"/>
    <w:rsid w:val="002C0ED0"/>
    <w:rsid w:val="002C3CD3"/>
    <w:rsid w:val="002C4F09"/>
    <w:rsid w:val="002C6C33"/>
    <w:rsid w:val="002D2C12"/>
    <w:rsid w:val="002E04E4"/>
    <w:rsid w:val="002E2658"/>
    <w:rsid w:val="002E2DEB"/>
    <w:rsid w:val="002E30C3"/>
    <w:rsid w:val="002E469E"/>
    <w:rsid w:val="002F1B27"/>
    <w:rsid w:val="002F5325"/>
    <w:rsid w:val="002F6357"/>
    <w:rsid w:val="002F666C"/>
    <w:rsid w:val="002F7567"/>
    <w:rsid w:val="00300987"/>
    <w:rsid w:val="00303BC3"/>
    <w:rsid w:val="00306523"/>
    <w:rsid w:val="0030684A"/>
    <w:rsid w:val="00310B42"/>
    <w:rsid w:val="00310F9F"/>
    <w:rsid w:val="00311FC4"/>
    <w:rsid w:val="00313DE1"/>
    <w:rsid w:val="003213D8"/>
    <w:rsid w:val="00323BD7"/>
    <w:rsid w:val="003260DF"/>
    <w:rsid w:val="003270F1"/>
    <w:rsid w:val="003315D8"/>
    <w:rsid w:val="00332AB2"/>
    <w:rsid w:val="00341A04"/>
    <w:rsid w:val="00344B4E"/>
    <w:rsid w:val="00346366"/>
    <w:rsid w:val="00350296"/>
    <w:rsid w:val="003516DC"/>
    <w:rsid w:val="00354877"/>
    <w:rsid w:val="0036113B"/>
    <w:rsid w:val="00361920"/>
    <w:rsid w:val="00371634"/>
    <w:rsid w:val="00381133"/>
    <w:rsid w:val="00382318"/>
    <w:rsid w:val="00382E62"/>
    <w:rsid w:val="003838B4"/>
    <w:rsid w:val="0038402D"/>
    <w:rsid w:val="00391F6B"/>
    <w:rsid w:val="00392B74"/>
    <w:rsid w:val="00392C83"/>
    <w:rsid w:val="0039430F"/>
    <w:rsid w:val="003A0774"/>
    <w:rsid w:val="003A0DC5"/>
    <w:rsid w:val="003A7419"/>
    <w:rsid w:val="003C14B9"/>
    <w:rsid w:val="003C19AD"/>
    <w:rsid w:val="003D0AB8"/>
    <w:rsid w:val="003D2C42"/>
    <w:rsid w:val="003D5090"/>
    <w:rsid w:val="003D707D"/>
    <w:rsid w:val="003E331A"/>
    <w:rsid w:val="003F12D5"/>
    <w:rsid w:val="003F2ADC"/>
    <w:rsid w:val="003F6463"/>
    <w:rsid w:val="003F6809"/>
    <w:rsid w:val="00400D4C"/>
    <w:rsid w:val="0040125A"/>
    <w:rsid w:val="0040149B"/>
    <w:rsid w:val="00405FA7"/>
    <w:rsid w:val="00413B56"/>
    <w:rsid w:val="004172ED"/>
    <w:rsid w:val="004175A0"/>
    <w:rsid w:val="00421D55"/>
    <w:rsid w:val="004264C4"/>
    <w:rsid w:val="004317C1"/>
    <w:rsid w:val="00431FCD"/>
    <w:rsid w:val="0044764E"/>
    <w:rsid w:val="00447E5D"/>
    <w:rsid w:val="0045500E"/>
    <w:rsid w:val="004551FE"/>
    <w:rsid w:val="00464524"/>
    <w:rsid w:val="00467861"/>
    <w:rsid w:val="0047087E"/>
    <w:rsid w:val="00470CCE"/>
    <w:rsid w:val="0047414F"/>
    <w:rsid w:val="0047538A"/>
    <w:rsid w:val="00477BC5"/>
    <w:rsid w:val="00482F45"/>
    <w:rsid w:val="004841AF"/>
    <w:rsid w:val="00486320"/>
    <w:rsid w:val="004A182C"/>
    <w:rsid w:val="004A1C8A"/>
    <w:rsid w:val="004A3F88"/>
    <w:rsid w:val="004A6630"/>
    <w:rsid w:val="004B2483"/>
    <w:rsid w:val="004B4132"/>
    <w:rsid w:val="004B717B"/>
    <w:rsid w:val="004C03D9"/>
    <w:rsid w:val="004D0FD4"/>
    <w:rsid w:val="004D67CA"/>
    <w:rsid w:val="004D693C"/>
    <w:rsid w:val="004D71E0"/>
    <w:rsid w:val="004E3059"/>
    <w:rsid w:val="004F27A4"/>
    <w:rsid w:val="004F496D"/>
    <w:rsid w:val="004F5224"/>
    <w:rsid w:val="00500465"/>
    <w:rsid w:val="0050198E"/>
    <w:rsid w:val="00504DD1"/>
    <w:rsid w:val="00505839"/>
    <w:rsid w:val="00515737"/>
    <w:rsid w:val="00520721"/>
    <w:rsid w:val="005212CC"/>
    <w:rsid w:val="00521EC1"/>
    <w:rsid w:val="00526316"/>
    <w:rsid w:val="00530F78"/>
    <w:rsid w:val="00536D2F"/>
    <w:rsid w:val="00540050"/>
    <w:rsid w:val="0054105A"/>
    <w:rsid w:val="00543983"/>
    <w:rsid w:val="00551D5D"/>
    <w:rsid w:val="005537C8"/>
    <w:rsid w:val="00554F36"/>
    <w:rsid w:val="00564343"/>
    <w:rsid w:val="00565C17"/>
    <w:rsid w:val="005702F0"/>
    <w:rsid w:val="00570CCF"/>
    <w:rsid w:val="0057170C"/>
    <w:rsid w:val="0057671A"/>
    <w:rsid w:val="00576C62"/>
    <w:rsid w:val="00577CBA"/>
    <w:rsid w:val="005803A4"/>
    <w:rsid w:val="00583029"/>
    <w:rsid w:val="00584E86"/>
    <w:rsid w:val="00585CF9"/>
    <w:rsid w:val="00586B2D"/>
    <w:rsid w:val="00590400"/>
    <w:rsid w:val="00596917"/>
    <w:rsid w:val="005A05E9"/>
    <w:rsid w:val="005A0D53"/>
    <w:rsid w:val="005A3E7C"/>
    <w:rsid w:val="005B5148"/>
    <w:rsid w:val="005B7183"/>
    <w:rsid w:val="005C389C"/>
    <w:rsid w:val="005D1244"/>
    <w:rsid w:val="005D1F33"/>
    <w:rsid w:val="005D21B8"/>
    <w:rsid w:val="005D2359"/>
    <w:rsid w:val="005D5ABB"/>
    <w:rsid w:val="005D5CC2"/>
    <w:rsid w:val="005D7490"/>
    <w:rsid w:val="005E10AD"/>
    <w:rsid w:val="005F034B"/>
    <w:rsid w:val="005F1BBD"/>
    <w:rsid w:val="005F1EBC"/>
    <w:rsid w:val="005F2632"/>
    <w:rsid w:val="005F2EDA"/>
    <w:rsid w:val="005F4198"/>
    <w:rsid w:val="005F483B"/>
    <w:rsid w:val="005F52F7"/>
    <w:rsid w:val="00600506"/>
    <w:rsid w:val="00601527"/>
    <w:rsid w:val="00605C38"/>
    <w:rsid w:val="00612712"/>
    <w:rsid w:val="00622EBD"/>
    <w:rsid w:val="00632765"/>
    <w:rsid w:val="006369D4"/>
    <w:rsid w:val="00637DEB"/>
    <w:rsid w:val="006403CF"/>
    <w:rsid w:val="00643B36"/>
    <w:rsid w:val="00646229"/>
    <w:rsid w:val="00655CD7"/>
    <w:rsid w:val="0066275E"/>
    <w:rsid w:val="0066318E"/>
    <w:rsid w:val="006647FC"/>
    <w:rsid w:val="00667221"/>
    <w:rsid w:val="006729AE"/>
    <w:rsid w:val="00676D04"/>
    <w:rsid w:val="00677F1D"/>
    <w:rsid w:val="0068129B"/>
    <w:rsid w:val="00691415"/>
    <w:rsid w:val="00694C7D"/>
    <w:rsid w:val="00694D3C"/>
    <w:rsid w:val="00695E03"/>
    <w:rsid w:val="006A3EB4"/>
    <w:rsid w:val="006A7CB2"/>
    <w:rsid w:val="006B10C4"/>
    <w:rsid w:val="006B2947"/>
    <w:rsid w:val="006B4F73"/>
    <w:rsid w:val="006B6A90"/>
    <w:rsid w:val="006C3E6B"/>
    <w:rsid w:val="006C6783"/>
    <w:rsid w:val="006C6B64"/>
    <w:rsid w:val="006D1CF8"/>
    <w:rsid w:val="006D1DD3"/>
    <w:rsid w:val="006D3FBF"/>
    <w:rsid w:val="006E0D43"/>
    <w:rsid w:val="006E29E9"/>
    <w:rsid w:val="006E2B26"/>
    <w:rsid w:val="006E2E84"/>
    <w:rsid w:val="006E4D71"/>
    <w:rsid w:val="006E53BF"/>
    <w:rsid w:val="006E6FF4"/>
    <w:rsid w:val="006E7BF7"/>
    <w:rsid w:val="006F1BAD"/>
    <w:rsid w:val="006F3A15"/>
    <w:rsid w:val="006F7465"/>
    <w:rsid w:val="0070188A"/>
    <w:rsid w:val="00703D06"/>
    <w:rsid w:val="00704801"/>
    <w:rsid w:val="0070534F"/>
    <w:rsid w:val="00705C05"/>
    <w:rsid w:val="007104B1"/>
    <w:rsid w:val="007128DB"/>
    <w:rsid w:val="00715800"/>
    <w:rsid w:val="00720270"/>
    <w:rsid w:val="00724129"/>
    <w:rsid w:val="00726BED"/>
    <w:rsid w:val="00727B7B"/>
    <w:rsid w:val="007324B7"/>
    <w:rsid w:val="00732BC3"/>
    <w:rsid w:val="0073630C"/>
    <w:rsid w:val="00736C4D"/>
    <w:rsid w:val="007403F9"/>
    <w:rsid w:val="007404DB"/>
    <w:rsid w:val="007456B3"/>
    <w:rsid w:val="007473CB"/>
    <w:rsid w:val="0075793B"/>
    <w:rsid w:val="00762671"/>
    <w:rsid w:val="007626AD"/>
    <w:rsid w:val="007645B3"/>
    <w:rsid w:val="007661C1"/>
    <w:rsid w:val="007679C2"/>
    <w:rsid w:val="00774285"/>
    <w:rsid w:val="0077603B"/>
    <w:rsid w:val="00782981"/>
    <w:rsid w:val="0078601F"/>
    <w:rsid w:val="00787377"/>
    <w:rsid w:val="00790591"/>
    <w:rsid w:val="007A0D81"/>
    <w:rsid w:val="007A1FD8"/>
    <w:rsid w:val="007A4E47"/>
    <w:rsid w:val="007A5FF8"/>
    <w:rsid w:val="007B05C0"/>
    <w:rsid w:val="007B0C52"/>
    <w:rsid w:val="007B6BFF"/>
    <w:rsid w:val="007B75B1"/>
    <w:rsid w:val="007C28FC"/>
    <w:rsid w:val="007C4F67"/>
    <w:rsid w:val="007D1BDE"/>
    <w:rsid w:val="007D5937"/>
    <w:rsid w:val="007D71E2"/>
    <w:rsid w:val="007E6667"/>
    <w:rsid w:val="007E7042"/>
    <w:rsid w:val="007F139B"/>
    <w:rsid w:val="007F3855"/>
    <w:rsid w:val="007F4F3F"/>
    <w:rsid w:val="007F68D2"/>
    <w:rsid w:val="007F6926"/>
    <w:rsid w:val="007F7F33"/>
    <w:rsid w:val="0080735B"/>
    <w:rsid w:val="00812C11"/>
    <w:rsid w:val="00813B04"/>
    <w:rsid w:val="00813E04"/>
    <w:rsid w:val="00816558"/>
    <w:rsid w:val="00833BE2"/>
    <w:rsid w:val="00836079"/>
    <w:rsid w:val="00836733"/>
    <w:rsid w:val="008378EA"/>
    <w:rsid w:val="00844AB5"/>
    <w:rsid w:val="0084558C"/>
    <w:rsid w:val="0084654A"/>
    <w:rsid w:val="0085181A"/>
    <w:rsid w:val="00861C44"/>
    <w:rsid w:val="00871BA2"/>
    <w:rsid w:val="008724F1"/>
    <w:rsid w:val="00873050"/>
    <w:rsid w:val="00875BDE"/>
    <w:rsid w:val="00876FA2"/>
    <w:rsid w:val="008826CD"/>
    <w:rsid w:val="008845DB"/>
    <w:rsid w:val="00886C5F"/>
    <w:rsid w:val="008907A0"/>
    <w:rsid w:val="00892060"/>
    <w:rsid w:val="00892E78"/>
    <w:rsid w:val="00894B6F"/>
    <w:rsid w:val="0089696C"/>
    <w:rsid w:val="008971C5"/>
    <w:rsid w:val="00897F7D"/>
    <w:rsid w:val="008A2C87"/>
    <w:rsid w:val="008A68B8"/>
    <w:rsid w:val="008A73C6"/>
    <w:rsid w:val="008B2528"/>
    <w:rsid w:val="008C33DF"/>
    <w:rsid w:val="008C670E"/>
    <w:rsid w:val="008D076B"/>
    <w:rsid w:val="008D4B6F"/>
    <w:rsid w:val="008E1FD1"/>
    <w:rsid w:val="008F70DA"/>
    <w:rsid w:val="00905B9B"/>
    <w:rsid w:val="00915DB0"/>
    <w:rsid w:val="009173AB"/>
    <w:rsid w:val="00920400"/>
    <w:rsid w:val="00924B14"/>
    <w:rsid w:val="00925CE8"/>
    <w:rsid w:val="0094390F"/>
    <w:rsid w:val="00946C2B"/>
    <w:rsid w:val="00950868"/>
    <w:rsid w:val="0095530E"/>
    <w:rsid w:val="00961FBB"/>
    <w:rsid w:val="00962837"/>
    <w:rsid w:val="00964A11"/>
    <w:rsid w:val="00966179"/>
    <w:rsid w:val="009670E6"/>
    <w:rsid w:val="00972DB6"/>
    <w:rsid w:val="009739E5"/>
    <w:rsid w:val="00973A62"/>
    <w:rsid w:val="00977F32"/>
    <w:rsid w:val="00980AD2"/>
    <w:rsid w:val="00980C2F"/>
    <w:rsid w:val="00981005"/>
    <w:rsid w:val="00995B9E"/>
    <w:rsid w:val="00996594"/>
    <w:rsid w:val="009A311E"/>
    <w:rsid w:val="009B17BE"/>
    <w:rsid w:val="009B3879"/>
    <w:rsid w:val="009B5DF9"/>
    <w:rsid w:val="009C1E2B"/>
    <w:rsid w:val="009C36EE"/>
    <w:rsid w:val="009C60A3"/>
    <w:rsid w:val="009C64D1"/>
    <w:rsid w:val="009C75E0"/>
    <w:rsid w:val="009D3AF0"/>
    <w:rsid w:val="009D5AE2"/>
    <w:rsid w:val="009D6E25"/>
    <w:rsid w:val="009E6291"/>
    <w:rsid w:val="009E78DA"/>
    <w:rsid w:val="009F00B1"/>
    <w:rsid w:val="00A01371"/>
    <w:rsid w:val="00A02828"/>
    <w:rsid w:val="00A028F3"/>
    <w:rsid w:val="00A04C5F"/>
    <w:rsid w:val="00A04ED0"/>
    <w:rsid w:val="00A0673E"/>
    <w:rsid w:val="00A14CBE"/>
    <w:rsid w:val="00A17C80"/>
    <w:rsid w:val="00A20A96"/>
    <w:rsid w:val="00A2205C"/>
    <w:rsid w:val="00A22C99"/>
    <w:rsid w:val="00A23026"/>
    <w:rsid w:val="00A231F1"/>
    <w:rsid w:val="00A25E4D"/>
    <w:rsid w:val="00A315DE"/>
    <w:rsid w:val="00A3470F"/>
    <w:rsid w:val="00A35F14"/>
    <w:rsid w:val="00A411B7"/>
    <w:rsid w:val="00A41A13"/>
    <w:rsid w:val="00A44C35"/>
    <w:rsid w:val="00A472A7"/>
    <w:rsid w:val="00A474F5"/>
    <w:rsid w:val="00A533DF"/>
    <w:rsid w:val="00A54EAE"/>
    <w:rsid w:val="00A62F07"/>
    <w:rsid w:val="00A6758F"/>
    <w:rsid w:val="00A67B96"/>
    <w:rsid w:val="00A7142C"/>
    <w:rsid w:val="00A74E29"/>
    <w:rsid w:val="00A857D1"/>
    <w:rsid w:val="00A9001F"/>
    <w:rsid w:val="00A91C56"/>
    <w:rsid w:val="00A95189"/>
    <w:rsid w:val="00A966D3"/>
    <w:rsid w:val="00AA03C4"/>
    <w:rsid w:val="00AA1D9A"/>
    <w:rsid w:val="00AA79B1"/>
    <w:rsid w:val="00AB2941"/>
    <w:rsid w:val="00AB571B"/>
    <w:rsid w:val="00AB6B7D"/>
    <w:rsid w:val="00AB7B91"/>
    <w:rsid w:val="00AC09A6"/>
    <w:rsid w:val="00AD0BBD"/>
    <w:rsid w:val="00AD0BFB"/>
    <w:rsid w:val="00AD42CC"/>
    <w:rsid w:val="00AD5F11"/>
    <w:rsid w:val="00AD6E9D"/>
    <w:rsid w:val="00AE4834"/>
    <w:rsid w:val="00AE6203"/>
    <w:rsid w:val="00AE6A25"/>
    <w:rsid w:val="00AE6C2C"/>
    <w:rsid w:val="00AE7C27"/>
    <w:rsid w:val="00AF2919"/>
    <w:rsid w:val="00B06D90"/>
    <w:rsid w:val="00B154F5"/>
    <w:rsid w:val="00B205F2"/>
    <w:rsid w:val="00B22F2B"/>
    <w:rsid w:val="00B25B75"/>
    <w:rsid w:val="00B262A0"/>
    <w:rsid w:val="00B3012A"/>
    <w:rsid w:val="00B322D4"/>
    <w:rsid w:val="00B32B70"/>
    <w:rsid w:val="00B32F12"/>
    <w:rsid w:val="00B40104"/>
    <w:rsid w:val="00B43176"/>
    <w:rsid w:val="00B5443E"/>
    <w:rsid w:val="00B63C3B"/>
    <w:rsid w:val="00B63C78"/>
    <w:rsid w:val="00B644BA"/>
    <w:rsid w:val="00B66316"/>
    <w:rsid w:val="00B67450"/>
    <w:rsid w:val="00B70192"/>
    <w:rsid w:val="00B836C8"/>
    <w:rsid w:val="00B8373A"/>
    <w:rsid w:val="00B86B5B"/>
    <w:rsid w:val="00B926BF"/>
    <w:rsid w:val="00B93F73"/>
    <w:rsid w:val="00B94856"/>
    <w:rsid w:val="00BA1DE1"/>
    <w:rsid w:val="00BA3079"/>
    <w:rsid w:val="00BA3FF7"/>
    <w:rsid w:val="00BA41F1"/>
    <w:rsid w:val="00BA5C83"/>
    <w:rsid w:val="00BA5DB5"/>
    <w:rsid w:val="00BA679C"/>
    <w:rsid w:val="00BA7951"/>
    <w:rsid w:val="00BB4372"/>
    <w:rsid w:val="00BB5C7A"/>
    <w:rsid w:val="00BB5C9A"/>
    <w:rsid w:val="00BC2BDE"/>
    <w:rsid w:val="00BC48CF"/>
    <w:rsid w:val="00BD2621"/>
    <w:rsid w:val="00BD3083"/>
    <w:rsid w:val="00BD4176"/>
    <w:rsid w:val="00BD7529"/>
    <w:rsid w:val="00BD7E42"/>
    <w:rsid w:val="00BD7EE7"/>
    <w:rsid w:val="00BE74B3"/>
    <w:rsid w:val="00BE7EE6"/>
    <w:rsid w:val="00BE7FA1"/>
    <w:rsid w:val="00BF1330"/>
    <w:rsid w:val="00BF197A"/>
    <w:rsid w:val="00BF4405"/>
    <w:rsid w:val="00BF671A"/>
    <w:rsid w:val="00BF7821"/>
    <w:rsid w:val="00C00F18"/>
    <w:rsid w:val="00C06E11"/>
    <w:rsid w:val="00C15E5B"/>
    <w:rsid w:val="00C2311F"/>
    <w:rsid w:val="00C246B0"/>
    <w:rsid w:val="00C27F7C"/>
    <w:rsid w:val="00C315D9"/>
    <w:rsid w:val="00C3681B"/>
    <w:rsid w:val="00C374FC"/>
    <w:rsid w:val="00C40A9F"/>
    <w:rsid w:val="00C42FC3"/>
    <w:rsid w:val="00C43596"/>
    <w:rsid w:val="00C51AC1"/>
    <w:rsid w:val="00C54389"/>
    <w:rsid w:val="00C5504C"/>
    <w:rsid w:val="00C61179"/>
    <w:rsid w:val="00C67F05"/>
    <w:rsid w:val="00C7556F"/>
    <w:rsid w:val="00C76952"/>
    <w:rsid w:val="00C77E6D"/>
    <w:rsid w:val="00C8001F"/>
    <w:rsid w:val="00C834CB"/>
    <w:rsid w:val="00C83BE7"/>
    <w:rsid w:val="00C924E0"/>
    <w:rsid w:val="00C938F6"/>
    <w:rsid w:val="00C93AB8"/>
    <w:rsid w:val="00C95A52"/>
    <w:rsid w:val="00C97066"/>
    <w:rsid w:val="00C978C8"/>
    <w:rsid w:val="00CA1BFA"/>
    <w:rsid w:val="00CA1C63"/>
    <w:rsid w:val="00CA2757"/>
    <w:rsid w:val="00CB25CB"/>
    <w:rsid w:val="00CB5261"/>
    <w:rsid w:val="00CC10C1"/>
    <w:rsid w:val="00CC1642"/>
    <w:rsid w:val="00CC5CA9"/>
    <w:rsid w:val="00CC5F46"/>
    <w:rsid w:val="00CD5894"/>
    <w:rsid w:val="00CE4C40"/>
    <w:rsid w:val="00CE60E5"/>
    <w:rsid w:val="00CF180C"/>
    <w:rsid w:val="00CF5ED4"/>
    <w:rsid w:val="00CF62AB"/>
    <w:rsid w:val="00CF64E9"/>
    <w:rsid w:val="00CF6722"/>
    <w:rsid w:val="00D00761"/>
    <w:rsid w:val="00D010D7"/>
    <w:rsid w:val="00D07250"/>
    <w:rsid w:val="00D20B72"/>
    <w:rsid w:val="00D210B6"/>
    <w:rsid w:val="00D305CE"/>
    <w:rsid w:val="00D32506"/>
    <w:rsid w:val="00D40631"/>
    <w:rsid w:val="00D452CC"/>
    <w:rsid w:val="00D4535A"/>
    <w:rsid w:val="00D47A5F"/>
    <w:rsid w:val="00D50FB8"/>
    <w:rsid w:val="00D60E51"/>
    <w:rsid w:val="00D633A4"/>
    <w:rsid w:val="00D719B3"/>
    <w:rsid w:val="00D80EDB"/>
    <w:rsid w:val="00D8143B"/>
    <w:rsid w:val="00D83491"/>
    <w:rsid w:val="00D8768E"/>
    <w:rsid w:val="00D8785E"/>
    <w:rsid w:val="00D923E6"/>
    <w:rsid w:val="00D95EF8"/>
    <w:rsid w:val="00D95F1A"/>
    <w:rsid w:val="00D96A2E"/>
    <w:rsid w:val="00DA2770"/>
    <w:rsid w:val="00DA55AD"/>
    <w:rsid w:val="00DB1159"/>
    <w:rsid w:val="00DB4A18"/>
    <w:rsid w:val="00DB4B9A"/>
    <w:rsid w:val="00DB50E8"/>
    <w:rsid w:val="00DC19D0"/>
    <w:rsid w:val="00DC1E1F"/>
    <w:rsid w:val="00DC26E7"/>
    <w:rsid w:val="00DC7804"/>
    <w:rsid w:val="00DD0024"/>
    <w:rsid w:val="00DD2329"/>
    <w:rsid w:val="00DD259A"/>
    <w:rsid w:val="00DD5FAD"/>
    <w:rsid w:val="00DD6CF9"/>
    <w:rsid w:val="00DE1023"/>
    <w:rsid w:val="00DE195F"/>
    <w:rsid w:val="00DF0B77"/>
    <w:rsid w:val="00DF5835"/>
    <w:rsid w:val="00DF6177"/>
    <w:rsid w:val="00E051E4"/>
    <w:rsid w:val="00E058D9"/>
    <w:rsid w:val="00E060B6"/>
    <w:rsid w:val="00E100CF"/>
    <w:rsid w:val="00E13E8F"/>
    <w:rsid w:val="00E14762"/>
    <w:rsid w:val="00E1600C"/>
    <w:rsid w:val="00E230CE"/>
    <w:rsid w:val="00E2311F"/>
    <w:rsid w:val="00E273B7"/>
    <w:rsid w:val="00E34304"/>
    <w:rsid w:val="00E348B8"/>
    <w:rsid w:val="00E36D29"/>
    <w:rsid w:val="00E47757"/>
    <w:rsid w:val="00E50136"/>
    <w:rsid w:val="00E54D62"/>
    <w:rsid w:val="00E600F1"/>
    <w:rsid w:val="00E61FF0"/>
    <w:rsid w:val="00E62CD6"/>
    <w:rsid w:val="00E67693"/>
    <w:rsid w:val="00E7121C"/>
    <w:rsid w:val="00E72C5B"/>
    <w:rsid w:val="00E747E8"/>
    <w:rsid w:val="00E7569F"/>
    <w:rsid w:val="00E83C44"/>
    <w:rsid w:val="00E87C7E"/>
    <w:rsid w:val="00E91F24"/>
    <w:rsid w:val="00E97C4C"/>
    <w:rsid w:val="00EA0BAD"/>
    <w:rsid w:val="00EA4184"/>
    <w:rsid w:val="00EB3811"/>
    <w:rsid w:val="00EC0710"/>
    <w:rsid w:val="00EC672C"/>
    <w:rsid w:val="00ED0A5F"/>
    <w:rsid w:val="00ED0FA5"/>
    <w:rsid w:val="00ED18AF"/>
    <w:rsid w:val="00ED292F"/>
    <w:rsid w:val="00ED4F2F"/>
    <w:rsid w:val="00EE2253"/>
    <w:rsid w:val="00EE5901"/>
    <w:rsid w:val="00EF032E"/>
    <w:rsid w:val="00EF102A"/>
    <w:rsid w:val="00EF7120"/>
    <w:rsid w:val="00F01B8B"/>
    <w:rsid w:val="00F02556"/>
    <w:rsid w:val="00F02E27"/>
    <w:rsid w:val="00F02F23"/>
    <w:rsid w:val="00F05534"/>
    <w:rsid w:val="00F24010"/>
    <w:rsid w:val="00F24A90"/>
    <w:rsid w:val="00F24C46"/>
    <w:rsid w:val="00F25274"/>
    <w:rsid w:val="00F25CEB"/>
    <w:rsid w:val="00F2654C"/>
    <w:rsid w:val="00F26D04"/>
    <w:rsid w:val="00F3156F"/>
    <w:rsid w:val="00F4117C"/>
    <w:rsid w:val="00F53E20"/>
    <w:rsid w:val="00F574F8"/>
    <w:rsid w:val="00F601EC"/>
    <w:rsid w:val="00F60722"/>
    <w:rsid w:val="00F609B1"/>
    <w:rsid w:val="00F70EA8"/>
    <w:rsid w:val="00F72489"/>
    <w:rsid w:val="00F74761"/>
    <w:rsid w:val="00F80C04"/>
    <w:rsid w:val="00F81222"/>
    <w:rsid w:val="00F84457"/>
    <w:rsid w:val="00F86E55"/>
    <w:rsid w:val="00F87645"/>
    <w:rsid w:val="00F90DB9"/>
    <w:rsid w:val="00F95404"/>
    <w:rsid w:val="00FA132C"/>
    <w:rsid w:val="00FA49FE"/>
    <w:rsid w:val="00FA6E8B"/>
    <w:rsid w:val="00FC37E0"/>
    <w:rsid w:val="00FC7CB5"/>
    <w:rsid w:val="00FC7CEE"/>
    <w:rsid w:val="00FD2D8F"/>
    <w:rsid w:val="00FD50BF"/>
    <w:rsid w:val="00FE0235"/>
    <w:rsid w:val="00FF0760"/>
    <w:rsid w:val="00FF0BA4"/>
    <w:rsid w:val="00FF1D12"/>
    <w:rsid w:val="00FF1EED"/>
    <w:rsid w:val="00FF2B3A"/>
    <w:rsid w:val="00FF7007"/>
    <w:rsid w:val="00FF767C"/>
    <w:rsid w:val="00FF7DB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A8B4ACE"/>
  <w15:chartTrackingRefBased/>
  <w15:docId w15:val="{08FFDBCC-EA16-FC41-9024-F725A8CC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8FD"/>
    <w:pPr>
      <w:widowControl w:val="0"/>
      <w:wordWrap w:val="0"/>
      <w:autoSpaceDE w:val="0"/>
      <w:autoSpaceDN w:val="0"/>
    </w:pPr>
  </w:style>
  <w:style w:type="paragraph" w:styleId="1">
    <w:name w:val="heading 1"/>
    <w:basedOn w:val="a"/>
    <w:next w:val="a"/>
    <w:link w:val="1Char"/>
    <w:uiPriority w:val="9"/>
    <w:qFormat/>
    <w:rsid w:val="001938F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1938F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1938F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1938F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1938F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1938F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1938F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1938F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1938F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1938FD"/>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1938FD"/>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1938FD"/>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1938FD"/>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1938FD"/>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1938FD"/>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1938FD"/>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1938FD"/>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1938FD"/>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1938FD"/>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1938F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938F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1938FD"/>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1938FD"/>
    <w:pPr>
      <w:spacing w:before="160"/>
      <w:jc w:val="center"/>
    </w:pPr>
    <w:rPr>
      <w:i/>
      <w:iCs/>
      <w:color w:val="404040" w:themeColor="text1" w:themeTint="BF"/>
    </w:rPr>
  </w:style>
  <w:style w:type="character" w:customStyle="1" w:styleId="Char1">
    <w:name w:val="인용 Char"/>
    <w:basedOn w:val="a0"/>
    <w:link w:val="a5"/>
    <w:uiPriority w:val="29"/>
    <w:rsid w:val="001938FD"/>
    <w:rPr>
      <w:i/>
      <w:iCs/>
      <w:color w:val="404040" w:themeColor="text1" w:themeTint="BF"/>
    </w:rPr>
  </w:style>
  <w:style w:type="paragraph" w:styleId="a6">
    <w:name w:val="List Paragraph"/>
    <w:basedOn w:val="a"/>
    <w:uiPriority w:val="34"/>
    <w:qFormat/>
    <w:rsid w:val="001938FD"/>
    <w:pPr>
      <w:ind w:left="720"/>
      <w:contextualSpacing/>
    </w:pPr>
  </w:style>
  <w:style w:type="character" w:styleId="a7">
    <w:name w:val="Intense Emphasis"/>
    <w:basedOn w:val="a0"/>
    <w:uiPriority w:val="21"/>
    <w:qFormat/>
    <w:rsid w:val="001938FD"/>
    <w:rPr>
      <w:i/>
      <w:iCs/>
      <w:color w:val="0F4761" w:themeColor="accent1" w:themeShade="BF"/>
    </w:rPr>
  </w:style>
  <w:style w:type="paragraph" w:styleId="a8">
    <w:name w:val="Intense Quote"/>
    <w:basedOn w:val="a"/>
    <w:next w:val="a"/>
    <w:link w:val="Char2"/>
    <w:uiPriority w:val="30"/>
    <w:qFormat/>
    <w:rsid w:val="001938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1938FD"/>
    <w:rPr>
      <w:i/>
      <w:iCs/>
      <w:color w:val="0F4761" w:themeColor="accent1" w:themeShade="BF"/>
    </w:rPr>
  </w:style>
  <w:style w:type="character" w:styleId="a9">
    <w:name w:val="Intense Reference"/>
    <w:basedOn w:val="a0"/>
    <w:uiPriority w:val="32"/>
    <w:qFormat/>
    <w:rsid w:val="001938FD"/>
    <w:rPr>
      <w:b/>
      <w:bCs/>
      <w:smallCaps/>
      <w:color w:val="0F4761" w:themeColor="accent1" w:themeShade="BF"/>
      <w:spacing w:val="5"/>
    </w:rPr>
  </w:style>
  <w:style w:type="paragraph" w:styleId="aa">
    <w:name w:val="Normal (Web)"/>
    <w:basedOn w:val="a"/>
    <w:link w:val="Char3"/>
    <w:uiPriority w:val="99"/>
    <w:unhideWhenUsed/>
    <w:rsid w:val="001938FD"/>
    <w:pPr>
      <w:widowControl/>
      <w:wordWrap/>
      <w:autoSpaceDE/>
      <w:autoSpaceDN/>
      <w:spacing w:before="100" w:beforeAutospacing="1" w:after="100" w:afterAutospacing="1"/>
    </w:pPr>
    <w:rPr>
      <w:rFonts w:ascii="Gulim" w:eastAsia="Gulim" w:hAnsi="Gulim" w:cs="Gulim"/>
      <w:kern w:val="0"/>
      <w:sz w:val="24"/>
      <w14:ligatures w14:val="none"/>
    </w:rPr>
  </w:style>
  <w:style w:type="character" w:customStyle="1" w:styleId="Char3">
    <w:name w:val="일반 (웹) Char"/>
    <w:basedOn w:val="a0"/>
    <w:link w:val="aa"/>
    <w:uiPriority w:val="99"/>
    <w:rsid w:val="001938FD"/>
    <w:rPr>
      <w:rFonts w:ascii="Gulim" w:eastAsia="Gulim" w:hAnsi="Gulim" w:cs="Gulim"/>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674</Words>
  <Characters>3843</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 Joo Yang</dc:creator>
  <cp:keywords/>
  <dc:description/>
  <cp:lastModifiedBy>Eun Joo Yang</cp:lastModifiedBy>
  <cp:revision>1</cp:revision>
  <dcterms:created xsi:type="dcterms:W3CDTF">2026-06-20T06:54:00Z</dcterms:created>
  <dcterms:modified xsi:type="dcterms:W3CDTF">2026-06-20T06:54:00Z</dcterms:modified>
</cp:coreProperties>
</file>