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0669E" w14:textId="77777777" w:rsidR="00A64536" w:rsidRPr="00401593" w:rsidRDefault="00A64536" w:rsidP="00A64536">
      <w:pPr>
        <w:pBdr>
          <w:top w:val="none" w:sz="0" w:space="0" w:color="000000"/>
          <w:left w:val="none" w:sz="0" w:space="0" w:color="000000"/>
          <w:bottom w:val="none" w:sz="0" w:space="0" w:color="000000"/>
          <w:right w:val="none" w:sz="0" w:space="0" w:color="000000"/>
        </w:pBdr>
        <w:shd w:val="clear" w:color="auto" w:fill="FFFFFF" w:themeFill="background1"/>
        <w:spacing w:after="0" w:line="240" w:lineRule="auto"/>
        <w:rPr>
          <w:rFonts w:eastAsia="MS Mincho" w:cs="Arial"/>
          <w:kern w:val="0"/>
          <w14:ligatures w14:val="none"/>
        </w:rPr>
      </w:pPr>
      <w:r w:rsidRPr="00401593">
        <w:rPr>
          <w:rFonts w:eastAsia="Times New Roman" w:cs="Times New Roman"/>
          <w:b/>
          <w:kern w:val="0"/>
          <w:sz w:val="22"/>
          <w:szCs w:val="22"/>
          <w14:ligatures w14:val="none"/>
        </w:rPr>
        <w:t xml:space="preserve">Table 3. </w:t>
      </w:r>
      <w:r w:rsidRPr="001E1458">
        <w:rPr>
          <w:rFonts w:eastAsia="Times New Roman" w:cs="Times New Roman"/>
          <w:b/>
          <w:kern w:val="0"/>
          <w:sz w:val="22"/>
          <w:szCs w:val="22"/>
          <w14:ligatures w14:val="none"/>
        </w:rPr>
        <w:t>Factors associated with CLABSI and in-hospital mortality</w:t>
      </w:r>
    </w:p>
    <w:p w14:paraId="58CD9E14" w14:textId="77777777" w:rsidR="00A64536" w:rsidRPr="00401593" w:rsidRDefault="00A64536" w:rsidP="00A64536">
      <w:pPr>
        <w:pBdr>
          <w:top w:val="none" w:sz="0" w:space="0" w:color="000000"/>
          <w:left w:val="none" w:sz="0" w:space="0" w:color="000000"/>
          <w:bottom w:val="none" w:sz="0" w:space="0" w:color="000000"/>
          <w:right w:val="none" w:sz="0" w:space="0" w:color="000000"/>
        </w:pBdr>
        <w:shd w:val="clear" w:color="auto" w:fill="FFFFFF" w:themeFill="background1"/>
        <w:spacing w:after="0" w:line="240" w:lineRule="auto"/>
        <w:rPr>
          <w:rFonts w:eastAsia="MS Mincho" w:cs="Arial"/>
          <w:kern w:val="0"/>
          <w14:ligatures w14:val="none"/>
        </w:rPr>
      </w:pPr>
      <w:r w:rsidRPr="00401593">
        <w:rPr>
          <w:rFonts w:eastAsia="Times New Roman" w:cs="Times New Roman"/>
          <w:b/>
          <w:kern w:val="0"/>
          <w:sz w:val="19"/>
          <w:szCs w:val="19"/>
          <w14:ligatures w14:val="none"/>
        </w:rPr>
        <w:t xml:space="preserve">Panel A. </w:t>
      </w:r>
      <w:r w:rsidRPr="00944603">
        <w:rPr>
          <w:rFonts w:eastAsia="Times New Roman" w:cs="Times New Roman"/>
          <w:b/>
          <w:kern w:val="0"/>
          <w:sz w:val="19"/>
          <w:szCs w:val="19"/>
          <w14:ligatures w14:val="none"/>
        </w:rPr>
        <w:t>Factors associated with patient-level CLABSI</w:t>
      </w:r>
    </w:p>
    <w:tbl>
      <w:tblPr>
        <w:tblW w:w="5000" w:type="pct"/>
        <w:jc w:val="center"/>
        <w:tblLook w:val="0420" w:firstRow="1" w:lastRow="0" w:firstColumn="0" w:lastColumn="0" w:noHBand="0" w:noVBand="1"/>
      </w:tblPr>
      <w:tblGrid>
        <w:gridCol w:w="1434"/>
        <w:gridCol w:w="5191"/>
        <w:gridCol w:w="1632"/>
        <w:gridCol w:w="739"/>
      </w:tblGrid>
      <w:tr w:rsidR="00A64536" w:rsidRPr="0058305B" w14:paraId="58E0C170" w14:textId="77777777" w:rsidTr="00192F71">
        <w:trPr>
          <w:tblHeader/>
          <w:jc w:val="center"/>
        </w:trPr>
        <w:tc>
          <w:tcPr>
            <w:tcW w:w="797" w:type="pct"/>
            <w:tcBorders>
              <w:top w:val="single" w:sz="12" w:space="0" w:color="1C3A5F"/>
              <w:left w:val="single" w:sz="12" w:space="0" w:color="1C3A5F"/>
              <w:bottom w:val="single" w:sz="16" w:space="0" w:color="0C2340"/>
              <w:right w:val="none" w:sz="0" w:space="0" w:color="000000"/>
            </w:tcBorders>
            <w:shd w:val="clear" w:color="auto" w:fill="FFFFFF" w:themeFill="background1"/>
            <w:tcMar>
              <w:top w:w="0" w:type="dxa"/>
              <w:left w:w="0" w:type="dxa"/>
              <w:bottom w:w="0" w:type="dxa"/>
              <w:right w:w="0" w:type="dxa"/>
            </w:tcMar>
            <w:vAlign w:val="center"/>
          </w:tcPr>
          <w:p w14:paraId="63364792"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100" w:after="100" w:line="240" w:lineRule="auto"/>
              <w:ind w:left="90" w:right="90"/>
              <w:rPr>
                <w:rFonts w:eastAsia="Times New Roman" w:cs="Times New Roman"/>
                <w:b/>
                <w:kern w:val="0"/>
                <w:sz w:val="18"/>
                <w:szCs w:val="18"/>
                <w14:ligatures w14:val="none"/>
              </w:rPr>
            </w:pPr>
            <w:r w:rsidRPr="00401593">
              <w:rPr>
                <w:rFonts w:eastAsia="Times New Roman" w:cs="Times New Roman"/>
                <w:b/>
                <w:kern w:val="0"/>
                <w:sz w:val="18"/>
                <w:szCs w:val="18"/>
                <w14:ligatures w14:val="none"/>
              </w:rPr>
              <w:t>Characteristic</w:t>
            </w:r>
          </w:p>
        </w:tc>
        <w:tc>
          <w:tcPr>
            <w:tcW w:w="2885" w:type="pct"/>
            <w:tcBorders>
              <w:top w:val="single" w:sz="12" w:space="0" w:color="1C3A5F"/>
              <w:left w:val="none" w:sz="0" w:space="0" w:color="000000"/>
              <w:bottom w:val="single" w:sz="16" w:space="0" w:color="0C2340"/>
              <w:right w:val="none" w:sz="0" w:space="0" w:color="000000"/>
            </w:tcBorders>
            <w:shd w:val="clear" w:color="auto" w:fill="FFFFFF" w:themeFill="background1"/>
            <w:tcMar>
              <w:top w:w="0" w:type="dxa"/>
              <w:left w:w="0" w:type="dxa"/>
              <w:bottom w:w="0" w:type="dxa"/>
              <w:right w:w="0" w:type="dxa"/>
            </w:tcMar>
            <w:vAlign w:val="center"/>
          </w:tcPr>
          <w:p w14:paraId="346491DE"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100" w:after="100" w:line="240" w:lineRule="auto"/>
              <w:ind w:left="90" w:right="90"/>
              <w:rPr>
                <w:rFonts w:eastAsia="Times New Roman" w:cs="Times New Roman"/>
                <w:b/>
                <w:kern w:val="0"/>
                <w:sz w:val="18"/>
                <w:szCs w:val="18"/>
                <w14:ligatures w14:val="none"/>
              </w:rPr>
            </w:pPr>
            <w:r w:rsidRPr="00401593">
              <w:rPr>
                <w:rFonts w:eastAsia="Times New Roman" w:cs="Times New Roman"/>
                <w:b/>
                <w:kern w:val="0"/>
                <w:sz w:val="18"/>
                <w:szCs w:val="18"/>
                <w14:ligatures w14:val="none"/>
              </w:rPr>
              <w:t>Comparison or unit</w:t>
            </w:r>
          </w:p>
        </w:tc>
        <w:tc>
          <w:tcPr>
            <w:tcW w:w="907" w:type="pct"/>
            <w:tcBorders>
              <w:top w:val="single" w:sz="12" w:space="0" w:color="1C3A5F"/>
              <w:left w:val="none" w:sz="0" w:space="0" w:color="000000"/>
              <w:bottom w:val="single" w:sz="16" w:space="0" w:color="0C2340"/>
              <w:right w:val="none" w:sz="0" w:space="0" w:color="000000"/>
            </w:tcBorders>
            <w:shd w:val="clear" w:color="auto" w:fill="FFFFFF" w:themeFill="background1"/>
            <w:tcMar>
              <w:top w:w="0" w:type="dxa"/>
              <w:left w:w="0" w:type="dxa"/>
              <w:bottom w:w="0" w:type="dxa"/>
              <w:right w:w="0" w:type="dxa"/>
            </w:tcMar>
            <w:vAlign w:val="center"/>
          </w:tcPr>
          <w:p w14:paraId="113CC5B9"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100" w:after="100" w:line="240" w:lineRule="auto"/>
              <w:ind w:left="90" w:right="90"/>
              <w:rPr>
                <w:rFonts w:eastAsia="Times New Roman" w:cs="Times New Roman"/>
                <w:b/>
                <w:kern w:val="0"/>
                <w:sz w:val="18"/>
                <w:szCs w:val="18"/>
                <w14:ligatures w14:val="none"/>
              </w:rPr>
            </w:pPr>
            <w:r w:rsidRPr="00401593">
              <w:rPr>
                <w:rFonts w:eastAsia="Times New Roman" w:cs="Times New Roman"/>
                <w:b/>
                <w:kern w:val="0"/>
                <w:sz w:val="18"/>
                <w:szCs w:val="18"/>
                <w14:ligatures w14:val="none"/>
              </w:rPr>
              <w:t>Adjusted RR (95% CI)</w:t>
            </w:r>
          </w:p>
        </w:tc>
        <w:tc>
          <w:tcPr>
            <w:tcW w:w="412" w:type="pct"/>
            <w:tcBorders>
              <w:top w:val="single" w:sz="12" w:space="0" w:color="1C3A5F"/>
              <w:left w:val="none" w:sz="0" w:space="0" w:color="000000"/>
              <w:bottom w:val="single" w:sz="16" w:space="0" w:color="0C2340"/>
              <w:right w:val="single" w:sz="12" w:space="0" w:color="1C3A5F"/>
            </w:tcBorders>
            <w:shd w:val="clear" w:color="auto" w:fill="FFFFFF" w:themeFill="background1"/>
            <w:tcMar>
              <w:top w:w="0" w:type="dxa"/>
              <w:left w:w="0" w:type="dxa"/>
              <w:bottom w:w="0" w:type="dxa"/>
              <w:right w:w="0" w:type="dxa"/>
            </w:tcMar>
            <w:vAlign w:val="center"/>
          </w:tcPr>
          <w:p w14:paraId="6379F60A"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100" w:after="100" w:line="240" w:lineRule="auto"/>
              <w:ind w:left="90" w:right="90"/>
              <w:rPr>
                <w:rFonts w:eastAsia="Times New Roman" w:cs="Times New Roman"/>
                <w:b/>
                <w:kern w:val="0"/>
                <w:sz w:val="18"/>
                <w:szCs w:val="18"/>
                <w14:ligatures w14:val="none"/>
              </w:rPr>
            </w:pPr>
            <w:r w:rsidRPr="00401593">
              <w:rPr>
                <w:rFonts w:eastAsia="Times New Roman" w:cs="Times New Roman"/>
                <w:b/>
                <w:kern w:val="0"/>
                <w:sz w:val="18"/>
                <w:szCs w:val="18"/>
                <w14:ligatures w14:val="none"/>
              </w:rPr>
              <w:t>P value</w:t>
            </w:r>
          </w:p>
        </w:tc>
      </w:tr>
      <w:tr w:rsidR="00A64536" w:rsidRPr="0058305B" w14:paraId="36816E95" w14:textId="77777777" w:rsidTr="00192F71">
        <w:trPr>
          <w:jc w:val="center"/>
        </w:trPr>
        <w:tc>
          <w:tcPr>
            <w:tcW w:w="797" w:type="pct"/>
            <w:tcBorders>
              <w:top w:val="single" w:sz="16" w:space="0" w:color="0C2340"/>
              <w:left w:val="single" w:sz="12" w:space="0" w:color="1C3A5F"/>
              <w:bottom w:val="single" w:sz="4" w:space="0" w:color="C5D3E0"/>
              <w:right w:val="none" w:sz="0" w:space="0" w:color="000000"/>
            </w:tcBorders>
            <w:shd w:val="clear" w:color="auto" w:fill="FFFFFF" w:themeFill="background1"/>
            <w:tcMar>
              <w:top w:w="0" w:type="dxa"/>
              <w:left w:w="0" w:type="dxa"/>
              <w:bottom w:w="0" w:type="dxa"/>
              <w:right w:w="0" w:type="dxa"/>
            </w:tcMar>
          </w:tcPr>
          <w:p w14:paraId="4169BD6E"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Sex</w:t>
            </w:r>
          </w:p>
        </w:tc>
        <w:tc>
          <w:tcPr>
            <w:tcW w:w="2885" w:type="pct"/>
            <w:tcBorders>
              <w:top w:val="single" w:sz="16" w:space="0" w:color="0C234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1094F357"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Female versus male</w:t>
            </w:r>
          </w:p>
        </w:tc>
        <w:tc>
          <w:tcPr>
            <w:tcW w:w="907" w:type="pct"/>
            <w:tcBorders>
              <w:top w:val="single" w:sz="16" w:space="0" w:color="0C234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3D4803EF"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0.96 (0.75–1.24)</w:t>
            </w:r>
          </w:p>
        </w:tc>
        <w:tc>
          <w:tcPr>
            <w:tcW w:w="412" w:type="pct"/>
            <w:tcBorders>
              <w:top w:val="single" w:sz="16" w:space="0" w:color="0C2340"/>
              <w:left w:val="none" w:sz="0" w:space="0" w:color="000000"/>
              <w:bottom w:val="single" w:sz="4" w:space="0" w:color="C5D3E0"/>
              <w:right w:val="single" w:sz="12" w:space="0" w:color="1C3A5F"/>
            </w:tcBorders>
            <w:shd w:val="clear" w:color="auto" w:fill="FFFFFF" w:themeFill="background1"/>
            <w:tcMar>
              <w:top w:w="0" w:type="dxa"/>
              <w:left w:w="0" w:type="dxa"/>
              <w:bottom w:w="0" w:type="dxa"/>
              <w:right w:w="0" w:type="dxa"/>
            </w:tcMar>
          </w:tcPr>
          <w:p w14:paraId="0ECBAB90"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0.761</w:t>
            </w:r>
          </w:p>
        </w:tc>
      </w:tr>
      <w:tr w:rsidR="00A64536" w:rsidRPr="0058305B" w14:paraId="6B7BA448" w14:textId="77777777" w:rsidTr="00192F71">
        <w:trPr>
          <w:jc w:val="center"/>
        </w:trPr>
        <w:tc>
          <w:tcPr>
            <w:tcW w:w="797" w:type="pct"/>
            <w:vMerge w:val="restart"/>
            <w:tcBorders>
              <w:top w:val="single" w:sz="4" w:space="0" w:color="C5D3E0"/>
              <w:left w:val="single" w:sz="12" w:space="0" w:color="1C3A5F"/>
              <w:bottom w:val="single" w:sz="4" w:space="0" w:color="C5D3E0"/>
              <w:right w:val="none" w:sz="0" w:space="0" w:color="000000"/>
            </w:tcBorders>
            <w:shd w:val="clear" w:color="auto" w:fill="FFFFFF" w:themeFill="background1"/>
            <w:tcMar>
              <w:top w:w="0" w:type="dxa"/>
              <w:left w:w="0" w:type="dxa"/>
              <w:bottom w:w="0" w:type="dxa"/>
              <w:right w:w="0" w:type="dxa"/>
            </w:tcMar>
          </w:tcPr>
          <w:p w14:paraId="1E7C179B"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Age group</w:t>
            </w:r>
          </w:p>
        </w:tc>
        <w:tc>
          <w:tcPr>
            <w:tcW w:w="2885"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19A2681B"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Young child versus infant</w:t>
            </w:r>
          </w:p>
        </w:tc>
        <w:tc>
          <w:tcPr>
            <w:tcW w:w="907"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0680A2A3"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0.79 (0.59–1.07)</w:t>
            </w:r>
          </w:p>
        </w:tc>
        <w:tc>
          <w:tcPr>
            <w:tcW w:w="412" w:type="pct"/>
            <w:tcBorders>
              <w:top w:val="single" w:sz="4" w:space="0" w:color="C5D3E0"/>
              <w:left w:val="none" w:sz="0" w:space="0" w:color="000000"/>
              <w:bottom w:val="single" w:sz="4" w:space="0" w:color="C5D3E0"/>
              <w:right w:val="single" w:sz="12" w:space="0" w:color="1C3A5F"/>
            </w:tcBorders>
            <w:shd w:val="clear" w:color="auto" w:fill="FFFFFF" w:themeFill="background1"/>
            <w:tcMar>
              <w:top w:w="0" w:type="dxa"/>
              <w:left w:w="0" w:type="dxa"/>
              <w:bottom w:w="0" w:type="dxa"/>
              <w:right w:w="0" w:type="dxa"/>
            </w:tcMar>
          </w:tcPr>
          <w:p w14:paraId="0FEBFDFE"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0.126</w:t>
            </w:r>
          </w:p>
        </w:tc>
      </w:tr>
      <w:tr w:rsidR="00A64536" w:rsidRPr="0058305B" w14:paraId="6C1B56B0" w14:textId="77777777" w:rsidTr="00192F71">
        <w:trPr>
          <w:jc w:val="center"/>
        </w:trPr>
        <w:tc>
          <w:tcPr>
            <w:tcW w:w="797" w:type="pct"/>
            <w:vMerge/>
            <w:tcBorders>
              <w:top w:val="single" w:sz="4" w:space="0" w:color="C5D3E0"/>
              <w:left w:val="single" w:sz="12" w:space="0" w:color="1C3A5F"/>
              <w:bottom w:val="single" w:sz="4" w:space="0" w:color="C5D3E0"/>
              <w:right w:val="none" w:sz="0" w:space="0" w:color="000000"/>
            </w:tcBorders>
            <w:shd w:val="clear" w:color="auto" w:fill="FFFFFF" w:themeFill="background1"/>
            <w:tcMar>
              <w:top w:w="0" w:type="dxa"/>
              <w:left w:w="0" w:type="dxa"/>
              <w:bottom w:w="0" w:type="dxa"/>
              <w:right w:w="0" w:type="dxa"/>
            </w:tcMar>
          </w:tcPr>
          <w:p w14:paraId="015A420A"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p>
        </w:tc>
        <w:tc>
          <w:tcPr>
            <w:tcW w:w="2885"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7EA4320D"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Child versus infant</w:t>
            </w:r>
          </w:p>
        </w:tc>
        <w:tc>
          <w:tcPr>
            <w:tcW w:w="907"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7C21144E"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1.05 (0.74–1.48)</w:t>
            </w:r>
          </w:p>
        </w:tc>
        <w:tc>
          <w:tcPr>
            <w:tcW w:w="412" w:type="pct"/>
            <w:tcBorders>
              <w:top w:val="single" w:sz="4" w:space="0" w:color="C5D3E0"/>
              <w:left w:val="none" w:sz="0" w:space="0" w:color="000000"/>
              <w:bottom w:val="single" w:sz="4" w:space="0" w:color="C5D3E0"/>
              <w:right w:val="single" w:sz="12" w:space="0" w:color="1C3A5F"/>
            </w:tcBorders>
            <w:shd w:val="clear" w:color="auto" w:fill="FFFFFF" w:themeFill="background1"/>
            <w:tcMar>
              <w:top w:w="0" w:type="dxa"/>
              <w:left w:w="0" w:type="dxa"/>
              <w:bottom w:w="0" w:type="dxa"/>
              <w:right w:w="0" w:type="dxa"/>
            </w:tcMar>
          </w:tcPr>
          <w:p w14:paraId="1C14FC2F"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0.797</w:t>
            </w:r>
          </w:p>
        </w:tc>
      </w:tr>
      <w:tr w:rsidR="00A64536" w:rsidRPr="0058305B" w14:paraId="35324646" w14:textId="77777777" w:rsidTr="00192F71">
        <w:trPr>
          <w:jc w:val="center"/>
        </w:trPr>
        <w:tc>
          <w:tcPr>
            <w:tcW w:w="797" w:type="pct"/>
            <w:vMerge/>
            <w:tcBorders>
              <w:top w:val="single" w:sz="4" w:space="0" w:color="C5D3E0"/>
              <w:left w:val="single" w:sz="12" w:space="0" w:color="1C3A5F"/>
              <w:bottom w:val="single" w:sz="4" w:space="0" w:color="C5D3E0"/>
              <w:right w:val="none" w:sz="0" w:space="0" w:color="000000"/>
            </w:tcBorders>
            <w:shd w:val="clear" w:color="auto" w:fill="FFFFFF" w:themeFill="background1"/>
            <w:tcMar>
              <w:top w:w="0" w:type="dxa"/>
              <w:left w:w="0" w:type="dxa"/>
              <w:bottom w:w="0" w:type="dxa"/>
              <w:right w:w="0" w:type="dxa"/>
            </w:tcMar>
          </w:tcPr>
          <w:p w14:paraId="6FD97FF1"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p>
        </w:tc>
        <w:tc>
          <w:tcPr>
            <w:tcW w:w="2885"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060E30DF"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Adolescent versus infant</w:t>
            </w:r>
          </w:p>
        </w:tc>
        <w:tc>
          <w:tcPr>
            <w:tcW w:w="907"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69759946"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0.57 (0.30–1.08)</w:t>
            </w:r>
          </w:p>
        </w:tc>
        <w:tc>
          <w:tcPr>
            <w:tcW w:w="412" w:type="pct"/>
            <w:tcBorders>
              <w:top w:val="single" w:sz="4" w:space="0" w:color="C5D3E0"/>
              <w:left w:val="none" w:sz="0" w:space="0" w:color="000000"/>
              <w:bottom w:val="single" w:sz="4" w:space="0" w:color="C5D3E0"/>
              <w:right w:val="single" w:sz="12" w:space="0" w:color="1C3A5F"/>
            </w:tcBorders>
            <w:shd w:val="clear" w:color="auto" w:fill="FFFFFF" w:themeFill="background1"/>
            <w:tcMar>
              <w:top w:w="0" w:type="dxa"/>
              <w:left w:w="0" w:type="dxa"/>
              <w:bottom w:w="0" w:type="dxa"/>
              <w:right w:w="0" w:type="dxa"/>
            </w:tcMar>
          </w:tcPr>
          <w:p w14:paraId="5F861075"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0.083</w:t>
            </w:r>
          </w:p>
        </w:tc>
      </w:tr>
      <w:tr w:rsidR="00A64536" w:rsidRPr="0058305B" w14:paraId="43DEB596" w14:textId="77777777" w:rsidTr="00192F71">
        <w:trPr>
          <w:jc w:val="center"/>
        </w:trPr>
        <w:tc>
          <w:tcPr>
            <w:tcW w:w="797" w:type="pct"/>
            <w:vMerge w:val="restart"/>
            <w:tcBorders>
              <w:top w:val="single" w:sz="4" w:space="0" w:color="C5D3E0"/>
              <w:left w:val="single" w:sz="12" w:space="0" w:color="1C3A5F"/>
              <w:bottom w:val="single" w:sz="12" w:space="0" w:color="1C3A5F"/>
              <w:right w:val="none" w:sz="0" w:space="0" w:color="000000"/>
            </w:tcBorders>
            <w:shd w:val="clear" w:color="auto" w:fill="FFFFFF" w:themeFill="background1"/>
            <w:tcMar>
              <w:top w:w="0" w:type="dxa"/>
              <w:left w:w="0" w:type="dxa"/>
              <w:bottom w:w="0" w:type="dxa"/>
              <w:right w:w="0" w:type="dxa"/>
            </w:tcMar>
          </w:tcPr>
          <w:p w14:paraId="64BEC93D"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Admission ward</w:t>
            </w:r>
          </w:p>
        </w:tc>
        <w:tc>
          <w:tcPr>
            <w:tcW w:w="2885"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063B12E3"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Cardiac ICU/open-heart ICU versus PICU/general ICU</w:t>
            </w:r>
          </w:p>
        </w:tc>
        <w:tc>
          <w:tcPr>
            <w:tcW w:w="907"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23504D42"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1.35 (1.00–1.82)</w:t>
            </w:r>
          </w:p>
        </w:tc>
        <w:tc>
          <w:tcPr>
            <w:tcW w:w="412" w:type="pct"/>
            <w:tcBorders>
              <w:top w:val="single" w:sz="4" w:space="0" w:color="C5D3E0"/>
              <w:left w:val="none" w:sz="0" w:space="0" w:color="000000"/>
              <w:bottom w:val="single" w:sz="4" w:space="0" w:color="C5D3E0"/>
              <w:right w:val="single" w:sz="12" w:space="0" w:color="1C3A5F"/>
            </w:tcBorders>
            <w:shd w:val="clear" w:color="auto" w:fill="FFFFFF" w:themeFill="background1"/>
            <w:tcMar>
              <w:top w:w="0" w:type="dxa"/>
              <w:left w:w="0" w:type="dxa"/>
              <w:bottom w:w="0" w:type="dxa"/>
              <w:right w:w="0" w:type="dxa"/>
            </w:tcMar>
          </w:tcPr>
          <w:p w14:paraId="5AB098B1"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0.047</w:t>
            </w:r>
          </w:p>
        </w:tc>
      </w:tr>
      <w:tr w:rsidR="00A64536" w:rsidRPr="0058305B" w14:paraId="5BA0D46F" w14:textId="77777777" w:rsidTr="00192F71">
        <w:trPr>
          <w:jc w:val="center"/>
        </w:trPr>
        <w:tc>
          <w:tcPr>
            <w:tcW w:w="797" w:type="pct"/>
            <w:vMerge/>
            <w:tcBorders>
              <w:top w:val="single" w:sz="12" w:space="0" w:color="1C3A5F"/>
              <w:left w:val="single" w:sz="12" w:space="0" w:color="1C3A5F"/>
              <w:bottom w:val="single" w:sz="4" w:space="0" w:color="C5D3E0"/>
              <w:right w:val="none" w:sz="0" w:space="0" w:color="000000"/>
            </w:tcBorders>
            <w:shd w:val="clear" w:color="auto" w:fill="FFFFFF" w:themeFill="background1"/>
            <w:tcMar>
              <w:top w:w="0" w:type="dxa"/>
              <w:left w:w="0" w:type="dxa"/>
              <w:bottom w:w="0" w:type="dxa"/>
              <w:right w:w="0" w:type="dxa"/>
            </w:tcMar>
          </w:tcPr>
          <w:p w14:paraId="51E91BED"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p>
        </w:tc>
        <w:tc>
          <w:tcPr>
            <w:tcW w:w="2885"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76E1242B"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Transplant/oncology versus PICU/general ICU</w:t>
            </w:r>
          </w:p>
        </w:tc>
        <w:tc>
          <w:tcPr>
            <w:tcW w:w="907"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363573FE"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0.57 (0.37–0.88)</w:t>
            </w:r>
          </w:p>
        </w:tc>
        <w:tc>
          <w:tcPr>
            <w:tcW w:w="412" w:type="pct"/>
            <w:tcBorders>
              <w:top w:val="single" w:sz="4" w:space="0" w:color="C5D3E0"/>
              <w:left w:val="none" w:sz="0" w:space="0" w:color="000000"/>
              <w:bottom w:val="single" w:sz="4" w:space="0" w:color="C5D3E0"/>
              <w:right w:val="single" w:sz="12" w:space="0" w:color="1C3A5F"/>
            </w:tcBorders>
            <w:shd w:val="clear" w:color="auto" w:fill="FFFFFF" w:themeFill="background1"/>
            <w:tcMar>
              <w:top w:w="0" w:type="dxa"/>
              <w:left w:w="0" w:type="dxa"/>
              <w:bottom w:w="0" w:type="dxa"/>
              <w:right w:w="0" w:type="dxa"/>
            </w:tcMar>
          </w:tcPr>
          <w:p w14:paraId="3BAFA02E"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0.012</w:t>
            </w:r>
          </w:p>
        </w:tc>
      </w:tr>
      <w:tr w:rsidR="00A64536" w:rsidRPr="0058305B" w14:paraId="37A2412C" w14:textId="77777777" w:rsidTr="00192F71">
        <w:trPr>
          <w:jc w:val="center"/>
        </w:trPr>
        <w:tc>
          <w:tcPr>
            <w:tcW w:w="797" w:type="pct"/>
            <w:vMerge/>
            <w:tcBorders>
              <w:top w:val="single" w:sz="4" w:space="0" w:color="C5D3E0"/>
              <w:left w:val="single" w:sz="12" w:space="0" w:color="1C3A5F"/>
              <w:bottom w:val="single" w:sz="4" w:space="0" w:color="C5D3E0"/>
              <w:right w:val="none" w:sz="0" w:space="0" w:color="000000"/>
            </w:tcBorders>
            <w:shd w:val="clear" w:color="auto" w:fill="FFFFFF" w:themeFill="background1"/>
            <w:tcMar>
              <w:top w:w="0" w:type="dxa"/>
              <w:left w:w="0" w:type="dxa"/>
              <w:bottom w:w="0" w:type="dxa"/>
              <w:right w:w="0" w:type="dxa"/>
            </w:tcMar>
          </w:tcPr>
          <w:p w14:paraId="44028A5B"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p>
        </w:tc>
        <w:tc>
          <w:tcPr>
            <w:tcW w:w="2885"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30828B58"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NICU/neonatal open-heart ICU versus PICU/general ICU</w:t>
            </w:r>
          </w:p>
        </w:tc>
        <w:tc>
          <w:tcPr>
            <w:tcW w:w="907"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1B2870FC"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0.88 (0.54–1.46)</w:t>
            </w:r>
          </w:p>
        </w:tc>
        <w:tc>
          <w:tcPr>
            <w:tcW w:w="412" w:type="pct"/>
            <w:tcBorders>
              <w:top w:val="single" w:sz="4" w:space="0" w:color="C5D3E0"/>
              <w:left w:val="none" w:sz="0" w:space="0" w:color="000000"/>
              <w:bottom w:val="single" w:sz="4" w:space="0" w:color="C5D3E0"/>
              <w:right w:val="single" w:sz="12" w:space="0" w:color="1C3A5F"/>
            </w:tcBorders>
            <w:shd w:val="clear" w:color="auto" w:fill="FFFFFF" w:themeFill="background1"/>
            <w:tcMar>
              <w:top w:w="0" w:type="dxa"/>
              <w:left w:w="0" w:type="dxa"/>
              <w:bottom w:w="0" w:type="dxa"/>
              <w:right w:w="0" w:type="dxa"/>
            </w:tcMar>
          </w:tcPr>
          <w:p w14:paraId="798327FE"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0.625</w:t>
            </w:r>
          </w:p>
        </w:tc>
      </w:tr>
      <w:tr w:rsidR="00A64536" w:rsidRPr="0058305B" w14:paraId="6E235135" w14:textId="77777777" w:rsidTr="00192F71">
        <w:trPr>
          <w:jc w:val="center"/>
        </w:trPr>
        <w:tc>
          <w:tcPr>
            <w:tcW w:w="797" w:type="pct"/>
            <w:vMerge/>
            <w:tcBorders>
              <w:top w:val="single" w:sz="4" w:space="0" w:color="C5D3E0"/>
              <w:left w:val="single" w:sz="12" w:space="0" w:color="1C3A5F"/>
              <w:bottom w:val="single" w:sz="4" w:space="0" w:color="C5D3E0"/>
              <w:right w:val="none" w:sz="0" w:space="0" w:color="000000"/>
            </w:tcBorders>
            <w:shd w:val="clear" w:color="auto" w:fill="FFFFFF" w:themeFill="background1"/>
            <w:tcMar>
              <w:top w:w="0" w:type="dxa"/>
              <w:left w:w="0" w:type="dxa"/>
              <w:bottom w:w="0" w:type="dxa"/>
              <w:right w:w="0" w:type="dxa"/>
            </w:tcMar>
          </w:tcPr>
          <w:p w14:paraId="66AAFF3C"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p>
        </w:tc>
        <w:tc>
          <w:tcPr>
            <w:tcW w:w="2885"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490EA139"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General medical wards versus PICU/general ICU</w:t>
            </w:r>
          </w:p>
        </w:tc>
        <w:tc>
          <w:tcPr>
            <w:tcW w:w="907"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514BEE48"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1.25 (0.75–2.10)</w:t>
            </w:r>
          </w:p>
        </w:tc>
        <w:tc>
          <w:tcPr>
            <w:tcW w:w="412" w:type="pct"/>
            <w:tcBorders>
              <w:top w:val="single" w:sz="4" w:space="0" w:color="C5D3E0"/>
              <w:left w:val="none" w:sz="0" w:space="0" w:color="000000"/>
              <w:bottom w:val="single" w:sz="4" w:space="0" w:color="C5D3E0"/>
              <w:right w:val="single" w:sz="12" w:space="0" w:color="1C3A5F"/>
            </w:tcBorders>
            <w:shd w:val="clear" w:color="auto" w:fill="FFFFFF" w:themeFill="background1"/>
            <w:tcMar>
              <w:top w:w="0" w:type="dxa"/>
              <w:left w:w="0" w:type="dxa"/>
              <w:bottom w:w="0" w:type="dxa"/>
              <w:right w:w="0" w:type="dxa"/>
            </w:tcMar>
          </w:tcPr>
          <w:p w14:paraId="6901338B"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0.390</w:t>
            </w:r>
          </w:p>
        </w:tc>
      </w:tr>
      <w:tr w:rsidR="00A64536" w:rsidRPr="0058305B" w14:paraId="00C5573A" w14:textId="77777777" w:rsidTr="00192F71">
        <w:trPr>
          <w:jc w:val="center"/>
        </w:trPr>
        <w:tc>
          <w:tcPr>
            <w:tcW w:w="797" w:type="pct"/>
            <w:vMerge/>
            <w:tcBorders>
              <w:top w:val="single" w:sz="4" w:space="0" w:color="C5D3E0"/>
              <w:left w:val="single" w:sz="12" w:space="0" w:color="1C3A5F"/>
              <w:bottom w:val="single" w:sz="12" w:space="0" w:color="1C3A5F"/>
              <w:right w:val="none" w:sz="0" w:space="0" w:color="000000"/>
            </w:tcBorders>
            <w:shd w:val="clear" w:color="auto" w:fill="FFFFFF" w:themeFill="background1"/>
            <w:tcMar>
              <w:top w:w="0" w:type="dxa"/>
              <w:left w:w="0" w:type="dxa"/>
              <w:bottom w:w="0" w:type="dxa"/>
              <w:right w:w="0" w:type="dxa"/>
            </w:tcMar>
          </w:tcPr>
          <w:p w14:paraId="5BEF45CE"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p>
        </w:tc>
        <w:tc>
          <w:tcPr>
            <w:tcW w:w="2885" w:type="pct"/>
            <w:tcBorders>
              <w:top w:val="single" w:sz="4" w:space="0" w:color="C5D3E0"/>
              <w:left w:val="none" w:sz="0" w:space="0" w:color="000000"/>
              <w:bottom w:val="single" w:sz="12" w:space="0" w:color="1C3A5F"/>
              <w:right w:val="none" w:sz="0" w:space="0" w:color="000000"/>
            </w:tcBorders>
            <w:shd w:val="clear" w:color="auto" w:fill="FFFFFF" w:themeFill="background1"/>
            <w:tcMar>
              <w:top w:w="0" w:type="dxa"/>
              <w:left w:w="0" w:type="dxa"/>
              <w:bottom w:w="0" w:type="dxa"/>
              <w:right w:w="0" w:type="dxa"/>
            </w:tcMar>
          </w:tcPr>
          <w:p w14:paraId="0555CAE1"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Surgical ward versus PICU/general ICU</w:t>
            </w:r>
          </w:p>
        </w:tc>
        <w:tc>
          <w:tcPr>
            <w:tcW w:w="907" w:type="pct"/>
            <w:tcBorders>
              <w:top w:val="single" w:sz="4" w:space="0" w:color="C5D3E0"/>
              <w:left w:val="none" w:sz="0" w:space="0" w:color="000000"/>
              <w:bottom w:val="single" w:sz="12" w:space="0" w:color="1C3A5F"/>
              <w:right w:val="none" w:sz="0" w:space="0" w:color="000000"/>
            </w:tcBorders>
            <w:shd w:val="clear" w:color="auto" w:fill="FFFFFF" w:themeFill="background1"/>
            <w:tcMar>
              <w:top w:w="0" w:type="dxa"/>
              <w:left w:w="0" w:type="dxa"/>
              <w:bottom w:w="0" w:type="dxa"/>
              <w:right w:w="0" w:type="dxa"/>
            </w:tcMar>
          </w:tcPr>
          <w:p w14:paraId="4754C173"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2.59 (1.48–4.52)</w:t>
            </w:r>
          </w:p>
        </w:tc>
        <w:tc>
          <w:tcPr>
            <w:tcW w:w="412" w:type="pct"/>
            <w:tcBorders>
              <w:top w:val="single" w:sz="4" w:space="0" w:color="C5D3E0"/>
              <w:left w:val="none" w:sz="0" w:space="0" w:color="000000"/>
              <w:bottom w:val="single" w:sz="12" w:space="0" w:color="1C3A5F"/>
              <w:right w:val="single" w:sz="12" w:space="0" w:color="1C3A5F"/>
            </w:tcBorders>
            <w:shd w:val="clear" w:color="auto" w:fill="FFFFFF" w:themeFill="background1"/>
            <w:tcMar>
              <w:top w:w="0" w:type="dxa"/>
              <w:left w:w="0" w:type="dxa"/>
              <w:bottom w:w="0" w:type="dxa"/>
              <w:right w:w="0" w:type="dxa"/>
            </w:tcMar>
          </w:tcPr>
          <w:p w14:paraId="198E3CF6"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&lt;0.001</w:t>
            </w:r>
          </w:p>
        </w:tc>
      </w:tr>
    </w:tbl>
    <w:p w14:paraId="2DB005D7" w14:textId="77777777" w:rsidR="00A64536" w:rsidRPr="00401593" w:rsidRDefault="00A64536" w:rsidP="00A64536">
      <w:pPr>
        <w:pBdr>
          <w:top w:val="none" w:sz="0" w:space="0" w:color="000000"/>
          <w:left w:val="none" w:sz="0" w:space="0" w:color="000000"/>
          <w:bottom w:val="none" w:sz="0" w:space="0" w:color="000000"/>
          <w:right w:val="none" w:sz="0" w:space="0" w:color="000000"/>
        </w:pBdr>
        <w:shd w:val="clear" w:color="auto" w:fill="FFFFFF" w:themeFill="background1"/>
        <w:spacing w:after="0" w:line="240" w:lineRule="auto"/>
        <w:rPr>
          <w:rFonts w:eastAsia="MS Mincho" w:cs="Arial"/>
          <w:kern w:val="0"/>
          <w14:ligatures w14:val="none"/>
        </w:rPr>
      </w:pPr>
      <w:r w:rsidRPr="00401593">
        <w:rPr>
          <w:rFonts w:eastAsia="Times New Roman" w:cs="Times New Roman"/>
          <w:b/>
          <w:kern w:val="0"/>
          <w:sz w:val="19"/>
          <w:szCs w:val="19"/>
          <w14:ligatures w14:val="none"/>
        </w:rPr>
        <w:t xml:space="preserve">Panel B. </w:t>
      </w:r>
      <w:r w:rsidRPr="00944603">
        <w:rPr>
          <w:rFonts w:eastAsia="Times New Roman" w:cs="Times New Roman"/>
          <w:b/>
          <w:kern w:val="0"/>
          <w:sz w:val="19"/>
          <w:szCs w:val="19"/>
          <w14:ligatures w14:val="none"/>
        </w:rPr>
        <w:t>Primary mortality model among children with CLABSI</w:t>
      </w:r>
    </w:p>
    <w:tbl>
      <w:tblPr>
        <w:tblW w:w="5000" w:type="pct"/>
        <w:jc w:val="center"/>
        <w:tblLook w:val="0420" w:firstRow="1" w:lastRow="0" w:firstColumn="0" w:lastColumn="0" w:noHBand="0" w:noVBand="1"/>
      </w:tblPr>
      <w:tblGrid>
        <w:gridCol w:w="1434"/>
        <w:gridCol w:w="5191"/>
        <w:gridCol w:w="1632"/>
        <w:gridCol w:w="739"/>
      </w:tblGrid>
      <w:tr w:rsidR="00A64536" w:rsidRPr="0058305B" w14:paraId="591199D3" w14:textId="77777777" w:rsidTr="00192F71">
        <w:trPr>
          <w:tblHeader/>
          <w:jc w:val="center"/>
        </w:trPr>
        <w:tc>
          <w:tcPr>
            <w:tcW w:w="797" w:type="pct"/>
            <w:tcBorders>
              <w:top w:val="single" w:sz="12" w:space="0" w:color="1C3A5F"/>
              <w:left w:val="single" w:sz="12" w:space="0" w:color="1C3A5F"/>
              <w:bottom w:val="single" w:sz="16" w:space="0" w:color="0C2340"/>
              <w:right w:val="none" w:sz="0" w:space="0" w:color="000000"/>
            </w:tcBorders>
            <w:shd w:val="clear" w:color="auto" w:fill="FFFFFF" w:themeFill="background1"/>
            <w:tcMar>
              <w:top w:w="0" w:type="dxa"/>
              <w:left w:w="0" w:type="dxa"/>
              <w:bottom w:w="0" w:type="dxa"/>
              <w:right w:w="0" w:type="dxa"/>
            </w:tcMar>
            <w:vAlign w:val="center"/>
          </w:tcPr>
          <w:p w14:paraId="54DCE4AB"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100" w:after="100" w:line="240" w:lineRule="auto"/>
              <w:ind w:left="90" w:right="90"/>
              <w:rPr>
                <w:rFonts w:eastAsia="Times New Roman" w:cs="Times New Roman"/>
                <w:b/>
                <w:kern w:val="0"/>
                <w:sz w:val="18"/>
                <w:szCs w:val="18"/>
                <w14:ligatures w14:val="none"/>
              </w:rPr>
            </w:pPr>
            <w:r w:rsidRPr="00401593">
              <w:rPr>
                <w:rFonts w:eastAsia="Times New Roman" w:cs="Times New Roman"/>
                <w:b/>
                <w:kern w:val="0"/>
                <w:sz w:val="18"/>
                <w:szCs w:val="18"/>
                <w14:ligatures w14:val="none"/>
              </w:rPr>
              <w:t>Characteristic</w:t>
            </w:r>
          </w:p>
        </w:tc>
        <w:tc>
          <w:tcPr>
            <w:tcW w:w="2885" w:type="pct"/>
            <w:tcBorders>
              <w:top w:val="single" w:sz="12" w:space="0" w:color="1C3A5F"/>
              <w:left w:val="none" w:sz="0" w:space="0" w:color="000000"/>
              <w:bottom w:val="single" w:sz="16" w:space="0" w:color="0C2340"/>
              <w:right w:val="none" w:sz="0" w:space="0" w:color="000000"/>
            </w:tcBorders>
            <w:shd w:val="clear" w:color="auto" w:fill="FFFFFF" w:themeFill="background1"/>
            <w:tcMar>
              <w:top w:w="0" w:type="dxa"/>
              <w:left w:w="0" w:type="dxa"/>
              <w:bottom w:w="0" w:type="dxa"/>
              <w:right w:w="0" w:type="dxa"/>
            </w:tcMar>
            <w:vAlign w:val="center"/>
          </w:tcPr>
          <w:p w14:paraId="393D581D"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100" w:after="100" w:line="240" w:lineRule="auto"/>
              <w:ind w:left="90" w:right="90"/>
              <w:rPr>
                <w:rFonts w:eastAsia="Times New Roman" w:cs="Times New Roman"/>
                <w:b/>
                <w:kern w:val="0"/>
                <w:sz w:val="18"/>
                <w:szCs w:val="18"/>
                <w14:ligatures w14:val="none"/>
              </w:rPr>
            </w:pPr>
            <w:r w:rsidRPr="00401593">
              <w:rPr>
                <w:rFonts w:eastAsia="Times New Roman" w:cs="Times New Roman"/>
                <w:b/>
                <w:kern w:val="0"/>
                <w:sz w:val="18"/>
                <w:szCs w:val="18"/>
                <w14:ligatures w14:val="none"/>
              </w:rPr>
              <w:t>Comparison or unit</w:t>
            </w:r>
          </w:p>
        </w:tc>
        <w:tc>
          <w:tcPr>
            <w:tcW w:w="907" w:type="pct"/>
            <w:tcBorders>
              <w:top w:val="single" w:sz="12" w:space="0" w:color="1C3A5F"/>
              <w:left w:val="none" w:sz="0" w:space="0" w:color="000000"/>
              <w:bottom w:val="single" w:sz="16" w:space="0" w:color="0C2340"/>
              <w:right w:val="none" w:sz="0" w:space="0" w:color="000000"/>
            </w:tcBorders>
            <w:shd w:val="clear" w:color="auto" w:fill="FFFFFF" w:themeFill="background1"/>
            <w:tcMar>
              <w:top w:w="0" w:type="dxa"/>
              <w:left w:w="0" w:type="dxa"/>
              <w:bottom w:w="0" w:type="dxa"/>
              <w:right w:w="0" w:type="dxa"/>
            </w:tcMar>
            <w:vAlign w:val="center"/>
          </w:tcPr>
          <w:p w14:paraId="016A268F"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100" w:after="100" w:line="240" w:lineRule="auto"/>
              <w:ind w:left="90" w:right="90"/>
              <w:rPr>
                <w:rFonts w:eastAsia="Times New Roman" w:cs="Times New Roman"/>
                <w:b/>
                <w:kern w:val="0"/>
                <w:sz w:val="18"/>
                <w:szCs w:val="18"/>
                <w14:ligatures w14:val="none"/>
              </w:rPr>
            </w:pPr>
            <w:r w:rsidRPr="00401593">
              <w:rPr>
                <w:rFonts w:eastAsia="Times New Roman" w:cs="Times New Roman"/>
                <w:b/>
                <w:kern w:val="0"/>
                <w:sz w:val="18"/>
                <w:szCs w:val="18"/>
                <w14:ligatures w14:val="none"/>
              </w:rPr>
              <w:t>Adjusted OR (95% CI)</w:t>
            </w:r>
          </w:p>
        </w:tc>
        <w:tc>
          <w:tcPr>
            <w:tcW w:w="412" w:type="pct"/>
            <w:tcBorders>
              <w:top w:val="single" w:sz="12" w:space="0" w:color="1C3A5F"/>
              <w:left w:val="none" w:sz="0" w:space="0" w:color="000000"/>
              <w:bottom w:val="single" w:sz="16" w:space="0" w:color="0C2340"/>
              <w:right w:val="single" w:sz="12" w:space="0" w:color="1C3A5F"/>
            </w:tcBorders>
            <w:shd w:val="clear" w:color="auto" w:fill="FFFFFF" w:themeFill="background1"/>
            <w:tcMar>
              <w:top w:w="0" w:type="dxa"/>
              <w:left w:w="0" w:type="dxa"/>
              <w:bottom w:w="0" w:type="dxa"/>
              <w:right w:w="0" w:type="dxa"/>
            </w:tcMar>
            <w:vAlign w:val="center"/>
          </w:tcPr>
          <w:p w14:paraId="6055DD24"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100" w:after="100" w:line="240" w:lineRule="auto"/>
              <w:ind w:left="90" w:right="90"/>
              <w:rPr>
                <w:rFonts w:eastAsia="Times New Roman" w:cs="Times New Roman"/>
                <w:b/>
                <w:kern w:val="0"/>
                <w:sz w:val="18"/>
                <w:szCs w:val="18"/>
                <w14:ligatures w14:val="none"/>
              </w:rPr>
            </w:pPr>
            <w:r w:rsidRPr="00401593">
              <w:rPr>
                <w:rFonts w:eastAsia="Times New Roman" w:cs="Times New Roman"/>
                <w:b/>
                <w:kern w:val="0"/>
                <w:sz w:val="18"/>
                <w:szCs w:val="18"/>
                <w14:ligatures w14:val="none"/>
              </w:rPr>
              <w:t>P value</w:t>
            </w:r>
          </w:p>
        </w:tc>
      </w:tr>
      <w:tr w:rsidR="00A64536" w:rsidRPr="0058305B" w14:paraId="4CBA8BA9" w14:textId="77777777" w:rsidTr="00192F71">
        <w:trPr>
          <w:jc w:val="center"/>
        </w:trPr>
        <w:tc>
          <w:tcPr>
            <w:tcW w:w="797" w:type="pct"/>
            <w:tcBorders>
              <w:top w:val="single" w:sz="16" w:space="0" w:color="0C2340"/>
              <w:left w:val="single" w:sz="12" w:space="0" w:color="1C3A5F"/>
              <w:bottom w:val="single" w:sz="4" w:space="0" w:color="C5D3E0"/>
              <w:right w:val="none" w:sz="0" w:space="0" w:color="000000"/>
            </w:tcBorders>
            <w:shd w:val="clear" w:color="auto" w:fill="FFFFFF" w:themeFill="background1"/>
            <w:tcMar>
              <w:top w:w="0" w:type="dxa"/>
              <w:left w:w="0" w:type="dxa"/>
              <w:bottom w:w="0" w:type="dxa"/>
              <w:right w:w="0" w:type="dxa"/>
            </w:tcMar>
          </w:tcPr>
          <w:p w14:paraId="1347209A"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Age</w:t>
            </w:r>
          </w:p>
        </w:tc>
        <w:tc>
          <w:tcPr>
            <w:tcW w:w="2885" w:type="pct"/>
            <w:tcBorders>
              <w:top w:val="single" w:sz="16" w:space="0" w:color="0C234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2ABA6B78"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Per 5-year increase</w:t>
            </w:r>
          </w:p>
        </w:tc>
        <w:tc>
          <w:tcPr>
            <w:tcW w:w="907" w:type="pct"/>
            <w:tcBorders>
              <w:top w:val="single" w:sz="16" w:space="0" w:color="0C234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4CB9A4EC"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0.87 (0.48–1.48)</w:t>
            </w:r>
          </w:p>
        </w:tc>
        <w:tc>
          <w:tcPr>
            <w:tcW w:w="412" w:type="pct"/>
            <w:tcBorders>
              <w:top w:val="single" w:sz="16" w:space="0" w:color="0C2340"/>
              <w:left w:val="none" w:sz="0" w:space="0" w:color="000000"/>
              <w:bottom w:val="single" w:sz="4" w:space="0" w:color="C5D3E0"/>
              <w:right w:val="single" w:sz="12" w:space="0" w:color="1C3A5F"/>
            </w:tcBorders>
            <w:shd w:val="clear" w:color="auto" w:fill="FFFFFF" w:themeFill="background1"/>
            <w:tcMar>
              <w:top w:w="0" w:type="dxa"/>
              <w:left w:w="0" w:type="dxa"/>
              <w:bottom w:w="0" w:type="dxa"/>
              <w:right w:w="0" w:type="dxa"/>
            </w:tcMar>
          </w:tcPr>
          <w:p w14:paraId="08F8D2C5"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0.613</w:t>
            </w:r>
          </w:p>
        </w:tc>
      </w:tr>
      <w:tr w:rsidR="00A64536" w:rsidRPr="0058305B" w14:paraId="40AD686E" w14:textId="77777777" w:rsidTr="00192F71">
        <w:trPr>
          <w:jc w:val="center"/>
        </w:trPr>
        <w:tc>
          <w:tcPr>
            <w:tcW w:w="797" w:type="pct"/>
            <w:tcBorders>
              <w:top w:val="single" w:sz="4" w:space="0" w:color="C5D3E0"/>
              <w:left w:val="single" w:sz="12" w:space="0" w:color="1C3A5F"/>
              <w:bottom w:val="single" w:sz="4" w:space="0" w:color="C5D3E0"/>
              <w:right w:val="none" w:sz="0" w:space="0" w:color="000000"/>
            </w:tcBorders>
            <w:shd w:val="clear" w:color="auto" w:fill="FFFFFF" w:themeFill="background1"/>
            <w:tcMar>
              <w:top w:w="0" w:type="dxa"/>
              <w:left w:w="0" w:type="dxa"/>
              <w:bottom w:w="0" w:type="dxa"/>
              <w:right w:w="0" w:type="dxa"/>
            </w:tcMar>
          </w:tcPr>
          <w:p w14:paraId="2B8C9FCC"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Sex</w:t>
            </w:r>
          </w:p>
        </w:tc>
        <w:tc>
          <w:tcPr>
            <w:tcW w:w="2885"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4CDB20F0"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Female versus male</w:t>
            </w:r>
          </w:p>
        </w:tc>
        <w:tc>
          <w:tcPr>
            <w:tcW w:w="907"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0D8B6A23"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1.18 (0.55–2.50)</w:t>
            </w:r>
          </w:p>
        </w:tc>
        <w:tc>
          <w:tcPr>
            <w:tcW w:w="412" w:type="pct"/>
            <w:tcBorders>
              <w:top w:val="single" w:sz="4" w:space="0" w:color="C5D3E0"/>
              <w:left w:val="none" w:sz="0" w:space="0" w:color="000000"/>
              <w:bottom w:val="single" w:sz="4" w:space="0" w:color="C5D3E0"/>
              <w:right w:val="single" w:sz="12" w:space="0" w:color="1C3A5F"/>
            </w:tcBorders>
            <w:shd w:val="clear" w:color="auto" w:fill="FFFFFF" w:themeFill="background1"/>
            <w:tcMar>
              <w:top w:w="0" w:type="dxa"/>
              <w:left w:w="0" w:type="dxa"/>
              <w:bottom w:w="0" w:type="dxa"/>
              <w:right w:w="0" w:type="dxa"/>
            </w:tcMar>
          </w:tcPr>
          <w:p w14:paraId="3873771D"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0.674</w:t>
            </w:r>
          </w:p>
        </w:tc>
      </w:tr>
      <w:tr w:rsidR="00A64536" w:rsidRPr="0058305B" w14:paraId="271F770E" w14:textId="77777777" w:rsidTr="00192F71">
        <w:trPr>
          <w:jc w:val="center"/>
        </w:trPr>
        <w:tc>
          <w:tcPr>
            <w:tcW w:w="797" w:type="pct"/>
            <w:tcBorders>
              <w:top w:val="single" w:sz="4" w:space="0" w:color="C5D3E0"/>
              <w:left w:val="single" w:sz="12" w:space="0" w:color="1C3A5F"/>
              <w:bottom w:val="single" w:sz="4" w:space="0" w:color="C5D3E0"/>
              <w:right w:val="none" w:sz="0" w:space="0" w:color="000000"/>
            </w:tcBorders>
            <w:shd w:val="clear" w:color="auto" w:fill="FFFFFF" w:themeFill="background1"/>
            <w:tcMar>
              <w:top w:w="0" w:type="dxa"/>
              <w:left w:w="0" w:type="dxa"/>
              <w:bottom w:w="0" w:type="dxa"/>
              <w:right w:w="0" w:type="dxa"/>
            </w:tcMar>
          </w:tcPr>
          <w:p w14:paraId="578C1615"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Underlying disease</w:t>
            </w:r>
          </w:p>
        </w:tc>
        <w:tc>
          <w:tcPr>
            <w:tcW w:w="2885"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34380077"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Oncologic, hematologic, or immunologic versus other</w:t>
            </w:r>
          </w:p>
        </w:tc>
        <w:tc>
          <w:tcPr>
            <w:tcW w:w="907"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6376B117"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1.62 (0.63–4.10)</w:t>
            </w:r>
          </w:p>
        </w:tc>
        <w:tc>
          <w:tcPr>
            <w:tcW w:w="412" w:type="pct"/>
            <w:tcBorders>
              <w:top w:val="single" w:sz="4" w:space="0" w:color="C5D3E0"/>
              <w:left w:val="none" w:sz="0" w:space="0" w:color="000000"/>
              <w:bottom w:val="single" w:sz="4" w:space="0" w:color="C5D3E0"/>
              <w:right w:val="single" w:sz="12" w:space="0" w:color="1C3A5F"/>
            </w:tcBorders>
            <w:shd w:val="clear" w:color="auto" w:fill="FFFFFF" w:themeFill="background1"/>
            <w:tcMar>
              <w:top w:w="0" w:type="dxa"/>
              <w:left w:w="0" w:type="dxa"/>
              <w:bottom w:w="0" w:type="dxa"/>
              <w:right w:w="0" w:type="dxa"/>
            </w:tcMar>
          </w:tcPr>
          <w:p w14:paraId="5B74B3B8"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0.309</w:t>
            </w:r>
          </w:p>
        </w:tc>
      </w:tr>
      <w:tr w:rsidR="00A64536" w:rsidRPr="0058305B" w14:paraId="54E72896" w14:textId="77777777" w:rsidTr="00192F71">
        <w:trPr>
          <w:jc w:val="center"/>
        </w:trPr>
        <w:tc>
          <w:tcPr>
            <w:tcW w:w="797" w:type="pct"/>
            <w:tcBorders>
              <w:top w:val="single" w:sz="4" w:space="0" w:color="C5D3E0"/>
              <w:left w:val="single" w:sz="12" w:space="0" w:color="1C3A5F"/>
              <w:bottom w:val="single" w:sz="4" w:space="0" w:color="C5D3E0"/>
              <w:right w:val="none" w:sz="0" w:space="0" w:color="000000"/>
            </w:tcBorders>
            <w:shd w:val="clear" w:color="auto" w:fill="FFFFFF" w:themeFill="background1"/>
            <w:tcMar>
              <w:top w:w="0" w:type="dxa"/>
              <w:left w:w="0" w:type="dxa"/>
              <w:bottom w:w="0" w:type="dxa"/>
              <w:right w:w="0" w:type="dxa"/>
            </w:tcMar>
          </w:tcPr>
          <w:p w14:paraId="7D272C6C"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Catheter site</w:t>
            </w:r>
          </w:p>
        </w:tc>
        <w:tc>
          <w:tcPr>
            <w:tcW w:w="2885"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62E0315B"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Femoral versus non-femoral</w:t>
            </w:r>
          </w:p>
        </w:tc>
        <w:tc>
          <w:tcPr>
            <w:tcW w:w="907"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4DD24F4B"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3.04 (1.37–6.82)</w:t>
            </w:r>
          </w:p>
        </w:tc>
        <w:tc>
          <w:tcPr>
            <w:tcW w:w="412" w:type="pct"/>
            <w:tcBorders>
              <w:top w:val="single" w:sz="4" w:space="0" w:color="C5D3E0"/>
              <w:left w:val="none" w:sz="0" w:space="0" w:color="000000"/>
              <w:bottom w:val="single" w:sz="4" w:space="0" w:color="C5D3E0"/>
              <w:right w:val="single" w:sz="12" w:space="0" w:color="1C3A5F"/>
            </w:tcBorders>
            <w:shd w:val="clear" w:color="auto" w:fill="FFFFFF" w:themeFill="background1"/>
            <w:tcMar>
              <w:top w:w="0" w:type="dxa"/>
              <w:left w:w="0" w:type="dxa"/>
              <w:bottom w:w="0" w:type="dxa"/>
              <w:right w:w="0" w:type="dxa"/>
            </w:tcMar>
          </w:tcPr>
          <w:p w14:paraId="1838C4EB"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0.006</w:t>
            </w:r>
          </w:p>
        </w:tc>
      </w:tr>
      <w:tr w:rsidR="00A64536" w:rsidRPr="0058305B" w14:paraId="0666D9BE" w14:textId="77777777" w:rsidTr="00192F71">
        <w:trPr>
          <w:jc w:val="center"/>
        </w:trPr>
        <w:tc>
          <w:tcPr>
            <w:tcW w:w="797" w:type="pct"/>
            <w:tcBorders>
              <w:top w:val="single" w:sz="4" w:space="0" w:color="C5D3E0"/>
              <w:left w:val="single" w:sz="12" w:space="0" w:color="1C3A5F"/>
              <w:bottom w:val="single" w:sz="4" w:space="0" w:color="C5D3E0"/>
              <w:right w:val="none" w:sz="0" w:space="0" w:color="000000"/>
            </w:tcBorders>
            <w:shd w:val="clear" w:color="auto" w:fill="FFFFFF" w:themeFill="background1"/>
            <w:tcMar>
              <w:top w:w="0" w:type="dxa"/>
              <w:left w:w="0" w:type="dxa"/>
              <w:bottom w:w="0" w:type="dxa"/>
              <w:right w:w="0" w:type="dxa"/>
            </w:tcMar>
          </w:tcPr>
          <w:p w14:paraId="430CEBB1"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Organism group</w:t>
            </w:r>
          </w:p>
        </w:tc>
        <w:tc>
          <w:tcPr>
            <w:tcW w:w="2885"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61BAC00A"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Gram-negative versus other organisms</w:t>
            </w:r>
          </w:p>
        </w:tc>
        <w:tc>
          <w:tcPr>
            <w:tcW w:w="907" w:type="pct"/>
            <w:tcBorders>
              <w:top w:val="single" w:sz="4" w:space="0" w:color="C5D3E0"/>
              <w:left w:val="none" w:sz="0" w:space="0" w:color="000000"/>
              <w:bottom w:val="single" w:sz="4" w:space="0" w:color="C5D3E0"/>
              <w:right w:val="none" w:sz="0" w:space="0" w:color="000000"/>
            </w:tcBorders>
            <w:shd w:val="clear" w:color="auto" w:fill="FFFFFF" w:themeFill="background1"/>
            <w:tcMar>
              <w:top w:w="0" w:type="dxa"/>
              <w:left w:w="0" w:type="dxa"/>
              <w:bottom w:w="0" w:type="dxa"/>
              <w:right w:w="0" w:type="dxa"/>
            </w:tcMar>
          </w:tcPr>
          <w:p w14:paraId="54661832"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1.21 (0.54–2.81)</w:t>
            </w:r>
          </w:p>
        </w:tc>
        <w:tc>
          <w:tcPr>
            <w:tcW w:w="412" w:type="pct"/>
            <w:tcBorders>
              <w:top w:val="single" w:sz="4" w:space="0" w:color="C5D3E0"/>
              <w:left w:val="none" w:sz="0" w:space="0" w:color="000000"/>
              <w:bottom w:val="single" w:sz="4" w:space="0" w:color="C5D3E0"/>
              <w:right w:val="single" w:sz="12" w:space="0" w:color="1C3A5F"/>
            </w:tcBorders>
            <w:shd w:val="clear" w:color="auto" w:fill="FFFFFF" w:themeFill="background1"/>
            <w:tcMar>
              <w:top w:w="0" w:type="dxa"/>
              <w:left w:w="0" w:type="dxa"/>
              <w:bottom w:w="0" w:type="dxa"/>
              <w:right w:w="0" w:type="dxa"/>
            </w:tcMar>
          </w:tcPr>
          <w:p w14:paraId="6BBB2AD3"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0.645</w:t>
            </w:r>
          </w:p>
        </w:tc>
      </w:tr>
      <w:tr w:rsidR="00A64536" w:rsidRPr="0058305B" w14:paraId="69A4FF82" w14:textId="77777777" w:rsidTr="00192F71">
        <w:trPr>
          <w:jc w:val="center"/>
        </w:trPr>
        <w:tc>
          <w:tcPr>
            <w:tcW w:w="797" w:type="pct"/>
            <w:tcBorders>
              <w:top w:val="single" w:sz="4" w:space="0" w:color="C5D3E0"/>
              <w:left w:val="single" w:sz="12" w:space="0" w:color="1C3A5F"/>
              <w:bottom w:val="single" w:sz="12" w:space="0" w:color="1C3A5F"/>
              <w:right w:val="none" w:sz="0" w:space="0" w:color="000000"/>
            </w:tcBorders>
            <w:shd w:val="clear" w:color="auto" w:fill="FFFFFF" w:themeFill="background1"/>
            <w:tcMar>
              <w:top w:w="0" w:type="dxa"/>
              <w:left w:w="0" w:type="dxa"/>
              <w:bottom w:w="0" w:type="dxa"/>
              <w:right w:w="0" w:type="dxa"/>
            </w:tcMar>
          </w:tcPr>
          <w:p w14:paraId="32BBEF84"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Platelet count</w:t>
            </w:r>
          </w:p>
        </w:tc>
        <w:tc>
          <w:tcPr>
            <w:tcW w:w="2885" w:type="pct"/>
            <w:tcBorders>
              <w:top w:val="single" w:sz="4" w:space="0" w:color="C5D3E0"/>
              <w:left w:val="none" w:sz="0" w:space="0" w:color="000000"/>
              <w:bottom w:val="single" w:sz="12" w:space="0" w:color="1C3A5F"/>
              <w:right w:val="none" w:sz="0" w:space="0" w:color="000000"/>
            </w:tcBorders>
            <w:shd w:val="clear" w:color="auto" w:fill="FFFFFF" w:themeFill="background1"/>
            <w:tcMar>
              <w:top w:w="0" w:type="dxa"/>
              <w:left w:w="0" w:type="dxa"/>
              <w:bottom w:w="0" w:type="dxa"/>
              <w:right w:w="0" w:type="dxa"/>
            </w:tcMar>
          </w:tcPr>
          <w:p w14:paraId="6EE07C35"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Per halving of platelet count</w:t>
            </w:r>
          </w:p>
        </w:tc>
        <w:tc>
          <w:tcPr>
            <w:tcW w:w="907" w:type="pct"/>
            <w:tcBorders>
              <w:top w:val="single" w:sz="4" w:space="0" w:color="C5D3E0"/>
              <w:left w:val="none" w:sz="0" w:space="0" w:color="000000"/>
              <w:bottom w:val="single" w:sz="12" w:space="0" w:color="1C3A5F"/>
              <w:right w:val="none" w:sz="0" w:space="0" w:color="000000"/>
            </w:tcBorders>
            <w:shd w:val="clear" w:color="auto" w:fill="FFFFFF" w:themeFill="background1"/>
            <w:tcMar>
              <w:top w:w="0" w:type="dxa"/>
              <w:left w:w="0" w:type="dxa"/>
              <w:bottom w:w="0" w:type="dxa"/>
              <w:right w:w="0" w:type="dxa"/>
            </w:tcMar>
          </w:tcPr>
          <w:p w14:paraId="3509F49E"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1.51 (1.20–1.94)</w:t>
            </w:r>
          </w:p>
        </w:tc>
        <w:tc>
          <w:tcPr>
            <w:tcW w:w="412" w:type="pct"/>
            <w:tcBorders>
              <w:top w:val="single" w:sz="4" w:space="0" w:color="C5D3E0"/>
              <w:left w:val="none" w:sz="0" w:space="0" w:color="000000"/>
              <w:bottom w:val="single" w:sz="12" w:space="0" w:color="1C3A5F"/>
              <w:right w:val="single" w:sz="12" w:space="0" w:color="1C3A5F"/>
            </w:tcBorders>
            <w:shd w:val="clear" w:color="auto" w:fill="FFFFFF" w:themeFill="background1"/>
            <w:tcMar>
              <w:top w:w="0" w:type="dxa"/>
              <w:left w:w="0" w:type="dxa"/>
              <w:bottom w:w="0" w:type="dxa"/>
              <w:right w:w="0" w:type="dxa"/>
            </w:tcMar>
          </w:tcPr>
          <w:p w14:paraId="59FA1283"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&lt;0.001</w:t>
            </w:r>
          </w:p>
        </w:tc>
      </w:tr>
    </w:tbl>
    <w:p w14:paraId="79EB08D9" w14:textId="77777777" w:rsidR="00A64536" w:rsidRPr="00401593" w:rsidRDefault="00A64536" w:rsidP="00A64536">
      <w:pPr>
        <w:pBdr>
          <w:top w:val="none" w:sz="0" w:space="0" w:color="000000"/>
          <w:left w:val="none" w:sz="0" w:space="0" w:color="000000"/>
          <w:bottom w:val="none" w:sz="0" w:space="0" w:color="000000"/>
          <w:right w:val="none" w:sz="0" w:space="0" w:color="000000"/>
        </w:pBdr>
        <w:shd w:val="clear" w:color="auto" w:fill="FFFFFF" w:themeFill="background1"/>
        <w:spacing w:after="0" w:line="240" w:lineRule="auto"/>
        <w:rPr>
          <w:rFonts w:eastAsia="MS Mincho" w:cs="Arial"/>
          <w:kern w:val="0"/>
          <w14:ligatures w14:val="none"/>
        </w:rPr>
      </w:pPr>
      <w:r w:rsidRPr="00401593">
        <w:rPr>
          <w:rFonts w:eastAsia="Times New Roman" w:cs="Times New Roman"/>
          <w:b/>
          <w:kern w:val="0"/>
          <w:sz w:val="19"/>
          <w:szCs w:val="19"/>
          <w14:ligatures w14:val="none"/>
        </w:rPr>
        <w:t>Panel C. Secondary recorded severity marker</w:t>
      </w:r>
    </w:p>
    <w:tbl>
      <w:tblPr>
        <w:tblW w:w="5000" w:type="pct"/>
        <w:jc w:val="center"/>
        <w:tblLook w:val="0420" w:firstRow="1" w:lastRow="0" w:firstColumn="0" w:lastColumn="0" w:noHBand="0" w:noVBand="1"/>
      </w:tblPr>
      <w:tblGrid>
        <w:gridCol w:w="1434"/>
        <w:gridCol w:w="5191"/>
        <w:gridCol w:w="1632"/>
        <w:gridCol w:w="739"/>
      </w:tblGrid>
      <w:tr w:rsidR="00A64536" w:rsidRPr="0058305B" w14:paraId="16B70403" w14:textId="77777777" w:rsidTr="00192F71">
        <w:trPr>
          <w:tblHeader/>
          <w:jc w:val="center"/>
        </w:trPr>
        <w:tc>
          <w:tcPr>
            <w:tcW w:w="797" w:type="pct"/>
            <w:tcBorders>
              <w:top w:val="single" w:sz="12" w:space="0" w:color="1C3A5F"/>
              <w:left w:val="single" w:sz="12" w:space="0" w:color="1C3A5F"/>
              <w:bottom w:val="single" w:sz="16" w:space="0" w:color="0C2340"/>
              <w:right w:val="none" w:sz="0" w:space="0" w:color="000000"/>
            </w:tcBorders>
            <w:shd w:val="clear" w:color="auto" w:fill="FFFFFF" w:themeFill="background1"/>
            <w:tcMar>
              <w:top w:w="0" w:type="dxa"/>
              <w:left w:w="0" w:type="dxa"/>
              <w:bottom w:w="0" w:type="dxa"/>
              <w:right w:w="0" w:type="dxa"/>
            </w:tcMar>
            <w:vAlign w:val="center"/>
          </w:tcPr>
          <w:p w14:paraId="48BF58E1"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100" w:after="100" w:line="240" w:lineRule="auto"/>
              <w:ind w:left="90" w:right="90"/>
              <w:rPr>
                <w:rFonts w:eastAsia="Times New Roman" w:cs="Times New Roman"/>
                <w:b/>
                <w:kern w:val="0"/>
                <w:sz w:val="18"/>
                <w:szCs w:val="18"/>
                <w14:ligatures w14:val="none"/>
              </w:rPr>
            </w:pPr>
            <w:r w:rsidRPr="00401593">
              <w:rPr>
                <w:rFonts w:eastAsia="Times New Roman" w:cs="Times New Roman"/>
                <w:b/>
                <w:kern w:val="0"/>
                <w:sz w:val="18"/>
                <w:szCs w:val="18"/>
                <w14:ligatures w14:val="none"/>
              </w:rPr>
              <w:t>Characteristic</w:t>
            </w:r>
          </w:p>
        </w:tc>
        <w:tc>
          <w:tcPr>
            <w:tcW w:w="2885" w:type="pct"/>
            <w:tcBorders>
              <w:top w:val="single" w:sz="12" w:space="0" w:color="1C3A5F"/>
              <w:left w:val="none" w:sz="0" w:space="0" w:color="000000"/>
              <w:bottom w:val="single" w:sz="16" w:space="0" w:color="0C2340"/>
              <w:right w:val="none" w:sz="0" w:space="0" w:color="000000"/>
            </w:tcBorders>
            <w:shd w:val="clear" w:color="auto" w:fill="FFFFFF" w:themeFill="background1"/>
            <w:tcMar>
              <w:top w:w="0" w:type="dxa"/>
              <w:left w:w="0" w:type="dxa"/>
              <w:bottom w:w="0" w:type="dxa"/>
              <w:right w:w="0" w:type="dxa"/>
            </w:tcMar>
            <w:vAlign w:val="center"/>
          </w:tcPr>
          <w:p w14:paraId="6FC186E1"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100" w:after="100" w:line="240" w:lineRule="auto"/>
              <w:ind w:left="90" w:right="90"/>
              <w:rPr>
                <w:rFonts w:eastAsia="Times New Roman" w:cs="Times New Roman"/>
                <w:b/>
                <w:kern w:val="0"/>
                <w:sz w:val="18"/>
                <w:szCs w:val="18"/>
                <w14:ligatures w14:val="none"/>
              </w:rPr>
            </w:pPr>
            <w:r w:rsidRPr="00401593">
              <w:rPr>
                <w:rFonts w:eastAsia="Times New Roman" w:cs="Times New Roman"/>
                <w:b/>
                <w:kern w:val="0"/>
                <w:sz w:val="18"/>
                <w:szCs w:val="18"/>
                <w14:ligatures w14:val="none"/>
              </w:rPr>
              <w:t>Comparison or unit</w:t>
            </w:r>
          </w:p>
        </w:tc>
        <w:tc>
          <w:tcPr>
            <w:tcW w:w="907" w:type="pct"/>
            <w:tcBorders>
              <w:top w:val="single" w:sz="12" w:space="0" w:color="1C3A5F"/>
              <w:left w:val="none" w:sz="0" w:space="0" w:color="000000"/>
              <w:bottom w:val="single" w:sz="16" w:space="0" w:color="0C2340"/>
              <w:right w:val="none" w:sz="0" w:space="0" w:color="000000"/>
            </w:tcBorders>
            <w:shd w:val="clear" w:color="auto" w:fill="FFFFFF" w:themeFill="background1"/>
            <w:tcMar>
              <w:top w:w="0" w:type="dxa"/>
              <w:left w:w="0" w:type="dxa"/>
              <w:bottom w:w="0" w:type="dxa"/>
              <w:right w:w="0" w:type="dxa"/>
            </w:tcMar>
            <w:vAlign w:val="center"/>
          </w:tcPr>
          <w:p w14:paraId="6E604917"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100" w:after="100" w:line="240" w:lineRule="auto"/>
              <w:ind w:left="90" w:right="90"/>
              <w:rPr>
                <w:rFonts w:eastAsia="Times New Roman" w:cs="Times New Roman"/>
                <w:b/>
                <w:kern w:val="0"/>
                <w:sz w:val="18"/>
                <w:szCs w:val="18"/>
                <w14:ligatures w14:val="none"/>
              </w:rPr>
            </w:pPr>
            <w:r w:rsidRPr="00401593">
              <w:rPr>
                <w:rFonts w:eastAsia="Times New Roman" w:cs="Times New Roman"/>
                <w:b/>
                <w:kern w:val="0"/>
                <w:sz w:val="18"/>
                <w:szCs w:val="18"/>
                <w14:ligatures w14:val="none"/>
              </w:rPr>
              <w:t>Adjusted OR (95% CI)</w:t>
            </w:r>
          </w:p>
        </w:tc>
        <w:tc>
          <w:tcPr>
            <w:tcW w:w="412" w:type="pct"/>
            <w:tcBorders>
              <w:top w:val="single" w:sz="12" w:space="0" w:color="1C3A5F"/>
              <w:left w:val="none" w:sz="0" w:space="0" w:color="000000"/>
              <w:bottom w:val="single" w:sz="16" w:space="0" w:color="0C2340"/>
              <w:right w:val="single" w:sz="12" w:space="0" w:color="1C3A5F"/>
            </w:tcBorders>
            <w:shd w:val="clear" w:color="auto" w:fill="FFFFFF" w:themeFill="background1"/>
            <w:tcMar>
              <w:top w:w="0" w:type="dxa"/>
              <w:left w:w="0" w:type="dxa"/>
              <w:bottom w:w="0" w:type="dxa"/>
              <w:right w:w="0" w:type="dxa"/>
            </w:tcMar>
            <w:vAlign w:val="center"/>
          </w:tcPr>
          <w:p w14:paraId="7EE0F229"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100" w:after="100" w:line="240" w:lineRule="auto"/>
              <w:ind w:left="90" w:right="90"/>
              <w:rPr>
                <w:rFonts w:eastAsia="Times New Roman" w:cs="Times New Roman"/>
                <w:b/>
                <w:kern w:val="0"/>
                <w:sz w:val="18"/>
                <w:szCs w:val="18"/>
                <w14:ligatures w14:val="none"/>
              </w:rPr>
            </w:pPr>
            <w:r w:rsidRPr="00401593">
              <w:rPr>
                <w:rFonts w:eastAsia="Times New Roman" w:cs="Times New Roman"/>
                <w:b/>
                <w:kern w:val="0"/>
                <w:sz w:val="18"/>
                <w:szCs w:val="18"/>
                <w14:ligatures w14:val="none"/>
              </w:rPr>
              <w:t>P value</w:t>
            </w:r>
          </w:p>
        </w:tc>
      </w:tr>
      <w:tr w:rsidR="00A64536" w:rsidRPr="0058305B" w14:paraId="1B6B745E" w14:textId="77777777" w:rsidTr="00192F71">
        <w:trPr>
          <w:jc w:val="center"/>
        </w:trPr>
        <w:tc>
          <w:tcPr>
            <w:tcW w:w="797" w:type="pct"/>
            <w:tcBorders>
              <w:top w:val="single" w:sz="16" w:space="0" w:color="0C2340"/>
              <w:left w:val="single" w:sz="12" w:space="0" w:color="1C3A5F"/>
              <w:bottom w:val="single" w:sz="12" w:space="0" w:color="1C3A5F"/>
              <w:right w:val="none" w:sz="0" w:space="0" w:color="000000"/>
            </w:tcBorders>
            <w:shd w:val="clear" w:color="auto" w:fill="FFFFFF" w:themeFill="background1"/>
            <w:tcMar>
              <w:top w:w="0" w:type="dxa"/>
              <w:left w:w="0" w:type="dxa"/>
              <w:bottom w:w="0" w:type="dxa"/>
              <w:right w:w="0" w:type="dxa"/>
            </w:tcMar>
          </w:tcPr>
          <w:p w14:paraId="062196F9"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Recorded clinical severity</w:t>
            </w:r>
          </w:p>
        </w:tc>
        <w:tc>
          <w:tcPr>
            <w:tcW w:w="2885" w:type="pct"/>
            <w:tcBorders>
              <w:top w:val="single" w:sz="16" w:space="0" w:color="0C2340"/>
              <w:left w:val="none" w:sz="0" w:space="0" w:color="000000"/>
              <w:bottom w:val="single" w:sz="12" w:space="0" w:color="1C3A5F"/>
              <w:right w:val="none" w:sz="0" w:space="0" w:color="000000"/>
            </w:tcBorders>
            <w:shd w:val="clear" w:color="auto" w:fill="FFFFFF" w:themeFill="background1"/>
            <w:tcMar>
              <w:top w:w="0" w:type="dxa"/>
              <w:left w:w="0" w:type="dxa"/>
              <w:bottom w:w="0" w:type="dxa"/>
              <w:right w:w="0" w:type="dxa"/>
            </w:tcMar>
          </w:tcPr>
          <w:p w14:paraId="51A9848E"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Concurrent mechanical ventilation and inotropic support</w:t>
            </w:r>
          </w:p>
        </w:tc>
        <w:tc>
          <w:tcPr>
            <w:tcW w:w="907" w:type="pct"/>
            <w:tcBorders>
              <w:top w:val="single" w:sz="16" w:space="0" w:color="0C2340"/>
              <w:left w:val="none" w:sz="0" w:space="0" w:color="000000"/>
              <w:bottom w:val="single" w:sz="12" w:space="0" w:color="1C3A5F"/>
              <w:right w:val="none" w:sz="0" w:space="0" w:color="000000"/>
            </w:tcBorders>
            <w:shd w:val="clear" w:color="auto" w:fill="FFFFFF" w:themeFill="background1"/>
            <w:tcMar>
              <w:top w:w="0" w:type="dxa"/>
              <w:left w:w="0" w:type="dxa"/>
              <w:bottom w:w="0" w:type="dxa"/>
              <w:right w:w="0" w:type="dxa"/>
            </w:tcMar>
          </w:tcPr>
          <w:p w14:paraId="6F4F1AF8"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15.60 (5.86–49.83)</w:t>
            </w:r>
          </w:p>
        </w:tc>
        <w:tc>
          <w:tcPr>
            <w:tcW w:w="412" w:type="pct"/>
            <w:tcBorders>
              <w:top w:val="single" w:sz="16" w:space="0" w:color="0C2340"/>
              <w:left w:val="none" w:sz="0" w:space="0" w:color="000000"/>
              <w:bottom w:val="single" w:sz="12" w:space="0" w:color="1C3A5F"/>
              <w:right w:val="single" w:sz="12" w:space="0" w:color="1C3A5F"/>
            </w:tcBorders>
            <w:shd w:val="clear" w:color="auto" w:fill="FFFFFF" w:themeFill="background1"/>
            <w:tcMar>
              <w:top w:w="0" w:type="dxa"/>
              <w:left w:w="0" w:type="dxa"/>
              <w:bottom w:w="0" w:type="dxa"/>
              <w:right w:w="0" w:type="dxa"/>
            </w:tcMar>
          </w:tcPr>
          <w:p w14:paraId="48CA7EB3" w14:textId="77777777" w:rsidR="00A64536" w:rsidRPr="00401593" w:rsidRDefault="00A64536" w:rsidP="00192F71">
            <w:pPr>
              <w:pBdr>
                <w:top w:val="none" w:sz="0" w:space="0" w:color="000000"/>
                <w:left w:val="none" w:sz="0" w:space="0" w:color="000000"/>
                <w:bottom w:val="none" w:sz="0" w:space="0" w:color="000000"/>
                <w:right w:val="none" w:sz="0" w:space="0" w:color="000000"/>
              </w:pBdr>
              <w:shd w:val="clear" w:color="auto" w:fill="FFFFFF" w:themeFill="background1"/>
              <w:spacing w:before="70" w:after="70" w:line="264" w:lineRule="auto"/>
              <w:ind w:left="90" w:right="90"/>
              <w:rPr>
                <w:rFonts w:eastAsia="Times New Roman" w:cs="Times New Roman"/>
                <w:kern w:val="0"/>
                <w:sz w:val="17"/>
                <w:szCs w:val="17"/>
                <w14:ligatures w14:val="none"/>
              </w:rPr>
            </w:pPr>
            <w:r w:rsidRPr="00401593">
              <w:rPr>
                <w:rFonts w:eastAsia="Times New Roman" w:cs="Times New Roman"/>
                <w:kern w:val="0"/>
                <w:sz w:val="17"/>
                <w:szCs w:val="17"/>
                <w14:ligatures w14:val="none"/>
              </w:rPr>
              <w:t>&lt;0.001</w:t>
            </w:r>
          </w:p>
        </w:tc>
      </w:tr>
    </w:tbl>
    <w:p w14:paraId="045BFDBD" w14:textId="77777777" w:rsidR="00A64536" w:rsidRPr="00401593" w:rsidRDefault="00A64536" w:rsidP="00A64536">
      <w:pPr>
        <w:pBdr>
          <w:top w:val="none" w:sz="0" w:space="0" w:color="000000"/>
          <w:left w:val="none" w:sz="0" w:space="0" w:color="000000"/>
          <w:bottom w:val="none" w:sz="0" w:space="0" w:color="000000"/>
          <w:right w:val="none" w:sz="0" w:space="0" w:color="000000"/>
        </w:pBdr>
        <w:shd w:val="clear" w:color="auto" w:fill="FFFFFF" w:themeFill="background1"/>
        <w:spacing w:after="0" w:line="240" w:lineRule="auto"/>
        <w:rPr>
          <w:rFonts w:eastAsia="MS Mincho" w:cs="Arial"/>
          <w:kern w:val="0"/>
          <w14:ligatures w14:val="none"/>
        </w:rPr>
      </w:pPr>
      <w:r w:rsidRPr="00401593">
        <w:rPr>
          <w:rFonts w:eastAsia="Times New Roman" w:cs="Times New Roman"/>
          <w:i/>
          <w:kern w:val="0"/>
          <w:sz w:val="16"/>
          <w:szCs w:val="16"/>
          <w14:ligatures w14:val="none"/>
        </w:rPr>
        <w:t xml:space="preserve">Adjusted risk ratios were estimated for infection. Adjusted odds ratios were estimated using penalized logistic regression. The primary mortality model excludes organ support because its timing relative to infection onset was unavailable. CI, confidence interval; OR, odds ratio; RR, risk </w:t>
      </w:r>
      <w:r w:rsidRPr="00401593">
        <w:rPr>
          <w:rFonts w:eastAsia="Times New Roman" w:cs="Times New Roman"/>
          <w:i/>
          <w:color w:val="000000"/>
          <w:kern w:val="0"/>
          <w:sz w:val="16"/>
          <w:szCs w:val="16"/>
          <w14:ligatures w14:val="none"/>
        </w:rPr>
        <w:t>ratio.</w:t>
      </w:r>
    </w:p>
    <w:p w14:paraId="5821E8FE" w14:textId="77777777" w:rsidR="00A64536" w:rsidRDefault="00A64536" w:rsidP="00A64536">
      <w:pPr>
        <w:jc w:val="both"/>
        <w:rPr>
          <w:rFonts w:ascii="Calibri" w:hAnsi="Calibri" w:cs="Calibri"/>
        </w:rPr>
      </w:pPr>
    </w:p>
    <w:p w14:paraId="27F42DFE" w14:textId="77777777" w:rsidR="00A64536" w:rsidRDefault="00A64536" w:rsidP="00A64536">
      <w:pPr>
        <w:jc w:val="both"/>
        <w:rPr>
          <w:rFonts w:ascii="Calibri" w:hAnsi="Calibri" w:cs="Calibri"/>
        </w:rPr>
      </w:pPr>
    </w:p>
    <w:p w14:paraId="36A110D9"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536"/>
    <w:rsid w:val="000C4033"/>
    <w:rsid w:val="00173ED8"/>
    <w:rsid w:val="002F50B1"/>
    <w:rsid w:val="004B42CB"/>
    <w:rsid w:val="005F2B46"/>
    <w:rsid w:val="006E1731"/>
    <w:rsid w:val="00866D74"/>
    <w:rsid w:val="00882A73"/>
    <w:rsid w:val="008C2DBB"/>
    <w:rsid w:val="00906905"/>
    <w:rsid w:val="0095305D"/>
    <w:rsid w:val="00A64536"/>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349F6"/>
  <w15:chartTrackingRefBased/>
  <w15:docId w15:val="{F5622C12-CD7E-4FB8-B2F1-0E0F223C3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536"/>
    <w:rPr>
      <w:lang w:val="en-US"/>
    </w:rPr>
  </w:style>
  <w:style w:type="paragraph" w:styleId="Heading1">
    <w:name w:val="heading 1"/>
    <w:basedOn w:val="Normal"/>
    <w:next w:val="Normal"/>
    <w:link w:val="Heading1Char"/>
    <w:uiPriority w:val="9"/>
    <w:qFormat/>
    <w:rsid w:val="00A64536"/>
    <w:pPr>
      <w:keepNext/>
      <w:keepLines/>
      <w:spacing w:before="360" w:after="80"/>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A64536"/>
    <w:pPr>
      <w:keepNext/>
      <w:keepLines/>
      <w:spacing w:before="160" w:after="80"/>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A64536"/>
    <w:pPr>
      <w:keepNext/>
      <w:keepLines/>
      <w:spacing w:before="160" w:after="80"/>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A64536"/>
    <w:pPr>
      <w:keepNext/>
      <w:keepLines/>
      <w:spacing w:before="80" w:after="40"/>
      <w:outlineLvl w:val="3"/>
    </w:pPr>
    <w:rPr>
      <w:rFonts w:eastAsiaTheme="majorEastAsia" w:cstheme="majorBidi"/>
      <w:i/>
      <w:iCs/>
      <w:color w:val="0F4761" w:themeColor="accent1" w:themeShade="BF"/>
      <w:lang w:val="en-IN"/>
    </w:rPr>
  </w:style>
  <w:style w:type="paragraph" w:styleId="Heading5">
    <w:name w:val="heading 5"/>
    <w:basedOn w:val="Normal"/>
    <w:next w:val="Normal"/>
    <w:link w:val="Heading5Char"/>
    <w:uiPriority w:val="9"/>
    <w:semiHidden/>
    <w:unhideWhenUsed/>
    <w:qFormat/>
    <w:rsid w:val="00A64536"/>
    <w:pPr>
      <w:keepNext/>
      <w:keepLines/>
      <w:spacing w:before="80" w:after="40"/>
      <w:outlineLvl w:val="4"/>
    </w:pPr>
    <w:rPr>
      <w:rFonts w:eastAsiaTheme="majorEastAsia" w:cstheme="majorBidi"/>
      <w:color w:val="0F4761" w:themeColor="accent1" w:themeShade="BF"/>
      <w:lang w:val="en-IN"/>
    </w:rPr>
  </w:style>
  <w:style w:type="paragraph" w:styleId="Heading6">
    <w:name w:val="heading 6"/>
    <w:basedOn w:val="Normal"/>
    <w:next w:val="Normal"/>
    <w:link w:val="Heading6Char"/>
    <w:uiPriority w:val="9"/>
    <w:semiHidden/>
    <w:unhideWhenUsed/>
    <w:qFormat/>
    <w:rsid w:val="00A64536"/>
    <w:pPr>
      <w:keepNext/>
      <w:keepLines/>
      <w:spacing w:before="40" w:after="0"/>
      <w:outlineLvl w:val="5"/>
    </w:pPr>
    <w:rPr>
      <w:rFonts w:eastAsiaTheme="majorEastAsia" w:cstheme="majorBidi"/>
      <w:i/>
      <w:iCs/>
      <w:color w:val="595959" w:themeColor="text1" w:themeTint="A6"/>
      <w:lang w:val="en-IN"/>
    </w:rPr>
  </w:style>
  <w:style w:type="paragraph" w:styleId="Heading7">
    <w:name w:val="heading 7"/>
    <w:basedOn w:val="Normal"/>
    <w:next w:val="Normal"/>
    <w:link w:val="Heading7Char"/>
    <w:uiPriority w:val="9"/>
    <w:semiHidden/>
    <w:unhideWhenUsed/>
    <w:qFormat/>
    <w:rsid w:val="00A64536"/>
    <w:pPr>
      <w:keepNext/>
      <w:keepLines/>
      <w:spacing w:before="40" w:after="0"/>
      <w:outlineLvl w:val="6"/>
    </w:pPr>
    <w:rPr>
      <w:rFonts w:eastAsiaTheme="majorEastAsia" w:cstheme="majorBidi"/>
      <w:color w:val="595959" w:themeColor="text1" w:themeTint="A6"/>
      <w:lang w:val="en-IN"/>
    </w:rPr>
  </w:style>
  <w:style w:type="paragraph" w:styleId="Heading8">
    <w:name w:val="heading 8"/>
    <w:basedOn w:val="Normal"/>
    <w:next w:val="Normal"/>
    <w:link w:val="Heading8Char"/>
    <w:uiPriority w:val="9"/>
    <w:semiHidden/>
    <w:unhideWhenUsed/>
    <w:qFormat/>
    <w:rsid w:val="00A64536"/>
    <w:pPr>
      <w:keepNext/>
      <w:keepLines/>
      <w:spacing w:after="0"/>
      <w:outlineLvl w:val="7"/>
    </w:pPr>
    <w:rPr>
      <w:rFonts w:eastAsiaTheme="majorEastAsia" w:cstheme="majorBidi"/>
      <w:i/>
      <w:iCs/>
      <w:color w:val="272727" w:themeColor="text1" w:themeTint="D8"/>
      <w:lang w:val="en-IN"/>
    </w:rPr>
  </w:style>
  <w:style w:type="paragraph" w:styleId="Heading9">
    <w:name w:val="heading 9"/>
    <w:basedOn w:val="Normal"/>
    <w:next w:val="Normal"/>
    <w:link w:val="Heading9Char"/>
    <w:uiPriority w:val="9"/>
    <w:semiHidden/>
    <w:unhideWhenUsed/>
    <w:qFormat/>
    <w:rsid w:val="00A64536"/>
    <w:pPr>
      <w:keepNext/>
      <w:keepLines/>
      <w:spacing w:after="0"/>
      <w:outlineLvl w:val="8"/>
    </w:pPr>
    <w:rPr>
      <w:rFonts w:eastAsiaTheme="majorEastAsia" w:cstheme="majorBidi"/>
      <w:color w:val="272727" w:themeColor="text1" w:themeTint="D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5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45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45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45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45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45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5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5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536"/>
    <w:rPr>
      <w:rFonts w:eastAsiaTheme="majorEastAsia" w:cstheme="majorBidi"/>
      <w:color w:val="272727" w:themeColor="text1" w:themeTint="D8"/>
    </w:rPr>
  </w:style>
  <w:style w:type="paragraph" w:styleId="Title">
    <w:name w:val="Title"/>
    <w:basedOn w:val="Normal"/>
    <w:next w:val="Normal"/>
    <w:link w:val="TitleChar"/>
    <w:uiPriority w:val="10"/>
    <w:qFormat/>
    <w:rsid w:val="00A64536"/>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A645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536"/>
    <w:pPr>
      <w:numPr>
        <w:ilvl w:val="1"/>
      </w:numPr>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A645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536"/>
    <w:pPr>
      <w:spacing w:before="160"/>
      <w:jc w:val="center"/>
    </w:pPr>
    <w:rPr>
      <w:i/>
      <w:iCs/>
      <w:color w:val="404040" w:themeColor="text1" w:themeTint="BF"/>
      <w:lang w:val="en-IN"/>
    </w:rPr>
  </w:style>
  <w:style w:type="character" w:customStyle="1" w:styleId="QuoteChar">
    <w:name w:val="Quote Char"/>
    <w:basedOn w:val="DefaultParagraphFont"/>
    <w:link w:val="Quote"/>
    <w:uiPriority w:val="29"/>
    <w:rsid w:val="00A64536"/>
    <w:rPr>
      <w:i/>
      <w:iCs/>
      <w:color w:val="404040" w:themeColor="text1" w:themeTint="BF"/>
    </w:rPr>
  </w:style>
  <w:style w:type="paragraph" w:styleId="ListParagraph">
    <w:name w:val="List Paragraph"/>
    <w:basedOn w:val="Normal"/>
    <w:uiPriority w:val="34"/>
    <w:qFormat/>
    <w:rsid w:val="00A64536"/>
    <w:pPr>
      <w:ind w:left="720"/>
      <w:contextualSpacing/>
    </w:pPr>
    <w:rPr>
      <w:lang w:val="en-IN"/>
    </w:rPr>
  </w:style>
  <w:style w:type="character" w:styleId="IntenseEmphasis">
    <w:name w:val="Intense Emphasis"/>
    <w:basedOn w:val="DefaultParagraphFont"/>
    <w:uiPriority w:val="21"/>
    <w:qFormat/>
    <w:rsid w:val="00A64536"/>
    <w:rPr>
      <w:i/>
      <w:iCs/>
      <w:color w:val="0F4761" w:themeColor="accent1" w:themeShade="BF"/>
    </w:rPr>
  </w:style>
  <w:style w:type="paragraph" w:styleId="IntenseQuote">
    <w:name w:val="Intense Quote"/>
    <w:basedOn w:val="Normal"/>
    <w:next w:val="Normal"/>
    <w:link w:val="IntenseQuoteChar"/>
    <w:uiPriority w:val="30"/>
    <w:qFormat/>
    <w:rsid w:val="00A64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IN"/>
    </w:rPr>
  </w:style>
  <w:style w:type="character" w:customStyle="1" w:styleId="IntenseQuoteChar">
    <w:name w:val="Intense Quote Char"/>
    <w:basedOn w:val="DefaultParagraphFont"/>
    <w:link w:val="IntenseQuote"/>
    <w:uiPriority w:val="30"/>
    <w:rsid w:val="00A64536"/>
    <w:rPr>
      <w:i/>
      <w:iCs/>
      <w:color w:val="0F4761" w:themeColor="accent1" w:themeShade="BF"/>
    </w:rPr>
  </w:style>
  <w:style w:type="character" w:styleId="IntenseReference">
    <w:name w:val="Intense Reference"/>
    <w:basedOn w:val="DefaultParagraphFont"/>
    <w:uiPriority w:val="32"/>
    <w:qFormat/>
    <w:rsid w:val="00A645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1532</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2026-07-07T12:59:00Z</dcterms:created>
  <dcterms:modified xsi:type="dcterms:W3CDTF">2026-07-07T12:59:00Z</dcterms:modified>
</cp:coreProperties>
</file>