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CB0E4" w14:textId="77777777" w:rsidR="00971880" w:rsidRDefault="00000000">
      <w:pPr>
        <w:spacing w:line="480" w:lineRule="auto"/>
        <w:ind w:left="-9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Supplementary Methods</w:t>
      </w:r>
    </w:p>
    <w:p w14:paraId="270AE143" w14:textId="77777777" w:rsidR="00971880" w:rsidRDefault="00000000">
      <w:pPr>
        <w:spacing w:line="480" w:lineRule="auto"/>
        <w:ind w:left="-9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Egger-Regression</w:t>
      </w:r>
    </w:p>
    <w:p w14:paraId="67709749" w14:textId="0060FD0F" w:rsidR="0097188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propose a PCA-MR-Egger </w:t>
      </w:r>
      <w:proofErr w:type="gramStart"/>
      <w:r>
        <w:rPr>
          <w:rFonts w:ascii="Times New Roman" w:eastAsia="Times New Roman" w:hAnsi="Times New Roman" w:cs="Times New Roman"/>
          <w:sz w:val="24"/>
          <w:szCs w:val="24"/>
        </w:rPr>
        <w:t>extension,</w:t>
      </w:r>
      <w:proofErr w:type="gramEnd"/>
      <w:r>
        <w:rPr>
          <w:rFonts w:ascii="Times New Roman" w:eastAsia="Times New Roman" w:hAnsi="Times New Roman" w:cs="Times New Roman"/>
          <w:sz w:val="24"/>
          <w:szCs w:val="24"/>
        </w:rPr>
        <w:t xml:space="preserve"> however we did not perform a dedicated simulation study to evaluate its performance. MR-Egger has much lower statistical power compared to IVW and ML</w:t>
      </w:r>
      <w:r w:rsidR="00952105">
        <w:rPr>
          <w:rFonts w:ascii="Times New Roman" w:eastAsia="Times New Roman" w:hAnsi="Times New Roman" w:cs="Times New Roman"/>
          <w:sz w:val="24"/>
          <w:szCs w:val="24"/>
        </w:rPr>
        <w:t xml:space="preserve"> </w:t>
      </w:r>
      <w:r w:rsidR="00483A99">
        <w:rPr>
          <w:rFonts w:ascii="Times New Roman" w:eastAsia="Times New Roman" w:hAnsi="Times New Roman" w:cs="Times New Roman"/>
          <w:sz w:val="24"/>
          <w:szCs w:val="24"/>
        </w:rPr>
        <w:fldChar w:fldCharType="begin"/>
      </w:r>
      <w:r w:rsidR="00483A99">
        <w:rPr>
          <w:rFonts w:ascii="Times New Roman" w:eastAsia="Times New Roman" w:hAnsi="Times New Roman" w:cs="Times New Roman"/>
          <w:sz w:val="24"/>
          <w:szCs w:val="24"/>
        </w:rPr>
        <w:instrText xml:space="preserve"> ADDIN ZOTERO_ITEM CSL_CITATION {"citationID":"ui0LBgVb","properties":{"unsorted":false,"formattedCitation":"[1]","plainCitation":"[1]","noteIndex":0},"citationItems":[{"id":699,"uris":["http://zotero.org/users/16916604/items/7QXYPS94"],"itemData":{"id":699,"type":"article-journal","abstract":"Pleiotropy, the phenomenon of a single genetic variant influencing multiple traits, is likely widespread in the human genome. If pleiotropy arises because the single nucleotide polymorphism (SNP) influences one trait, which in turn influences another (‘vertical pleiotropy’), then Mendelian randomization (MR) can be used to estimate the causal influence between the traits. Of prime focus among the many limitations to MR is the unprovable assumption that apparent pleiotropic associations are mediated by the exposure (i.e. reflect vertical pleiotropy), and do not arise due to SNPs influencing the two traits through independent pathways (‘horizontal pleiotropy’). The burgeoning treasure trove of genetic associations yielded through genome wide association studies makes for a tantalizing prospect of phenome-wide causal inference. Recent years have seen substantial attention devoted to the problem of horizontal pleiotropy, and in this review we outline how newly developed methods can be used together to improve the reliability of MR.","container-title":"Human Molecular Genetics","DOI":"10.1093/hmg/ddy163","ISSN":"0964-6906","issue":"R2","journalAbbreviation":"Hum Mol Genet","page":"R195-R208","PMID":"29771313","PMCID":"PMC6061876","source":"PubMed Central","title":"Evaluating the potential role of pleiotropy in Mendelian randomization studies","URL":"https://pmc.ncbi.nlm.nih.gov/articles/PMC6061876/","volume":"27","author":[{"family":"Hemani","given":"Gibran"},{"family":"Bowden","given":"Jack"},{"family":"Davey Smith","given":"George"}],"accessed":{"date-parts":[["2025",11,16]]},"issued":{"date-parts":[["2018",8,1]]}}}],"schema":"https://github.com/citation-style-language/schema/raw/master/csl-citation.json"} </w:instrText>
      </w:r>
      <w:r w:rsidR="00483A99">
        <w:rPr>
          <w:rFonts w:ascii="Times New Roman" w:eastAsia="Times New Roman" w:hAnsi="Times New Roman" w:cs="Times New Roman"/>
          <w:sz w:val="24"/>
          <w:szCs w:val="24"/>
        </w:rPr>
        <w:fldChar w:fldCharType="separate"/>
      </w:r>
      <w:r w:rsidR="00483A99">
        <w:rPr>
          <w:rFonts w:ascii="Times New Roman" w:eastAsia="Times New Roman" w:hAnsi="Times New Roman" w:cs="Times New Roman"/>
          <w:noProof/>
          <w:sz w:val="24"/>
          <w:szCs w:val="24"/>
        </w:rPr>
        <w:t>[1]</w:t>
      </w:r>
      <w:r w:rsidR="00483A99">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it is not practical with exposure sample sizes less than 500. MR-Egger is robust to uncorrelated horizontal pleiotropy wherein a genetic variant(s) has an effect on Y that is not mediated by X</w:t>
      </w:r>
      <w:r w:rsidR="00952105">
        <w:rPr>
          <w:rFonts w:ascii="Times New Roman" w:eastAsia="Times New Roman" w:hAnsi="Times New Roman" w:cs="Times New Roman"/>
          <w:sz w:val="24"/>
          <w:szCs w:val="24"/>
        </w:rPr>
        <w:t xml:space="preserve"> </w:t>
      </w:r>
      <w:r w:rsidR="00952105">
        <w:rPr>
          <w:rFonts w:ascii="Times New Roman" w:eastAsia="Times New Roman" w:hAnsi="Times New Roman" w:cs="Times New Roman"/>
          <w:sz w:val="24"/>
          <w:szCs w:val="24"/>
        </w:rPr>
        <w:fldChar w:fldCharType="begin"/>
      </w:r>
      <w:r w:rsidR="00952105">
        <w:rPr>
          <w:rFonts w:ascii="Times New Roman" w:eastAsia="Times New Roman" w:hAnsi="Times New Roman" w:cs="Times New Roman"/>
          <w:sz w:val="24"/>
          <w:szCs w:val="24"/>
        </w:rPr>
        <w:instrText xml:space="preserve"> ADDIN ZOTERO_ITEM CSL_CITATION {"citationID":"k2Pe1HMA","properties":{"unsorted":false,"formattedCitation":"[2,3]","plainCitation":"[2,3]","noteIndex":0},"citationItems":[{"id":720,"uris":["http://zotero.org/users/16916604/items/WQRXAQ24"],"itemData":{"id":720,"type":"article-journal","abstract":"Background: The number of Mendelian randomization analyses including large numbers of genetic variants is rapidly increasing. This is due to the proliferation of genome-wide association studies, and the desire to obtain more precise estimates of causal effects. However, some genetic variants may not be valid instrumental variables, in particular due to them having more than one proximal phenotypic correlate (pleiotropy).Methods: We view Mendelian randomization with multiple instruments as a meta-analysis, and show that bias caused by pleiotropy can be regarded as analogous to small study bias. Causal estimates using each instrument can be displayed visually by a funnel plot to assess potential asymmetry. Egger regression, a tool to detect small study bias in meta-analysis, can be adapted to test for bias from pleiotropy, and the slope coefficient from Egger regression provides an estimate of the causal effect. Under the assumption that the association of each genetic variant with the exposure is independent of the pleiotropic effect of the variant (not via the exposure), Egger’s test gives a valid test of the null causal hypothesis and a consistent causal effect estimate even when all the genetic variants are invalid instrumental variables.Results: We illustrate the use of this approach by re-analysing two published Mendelian randomization studies of the causal effect of height on lung function, and the causal effect of blood pressure on coronary artery disease risk. The conservative nature of this approach is illustrated with these examples.Conclusions: An adaption of Egger regression (which we call MR-Egger) can detect some violations of the standard instrumental variable assumptions, and provide an effect estimate which is not subject to these violations. The approach provides a sensitivity analysis for the robustness of the findings from a Mendelian randomization investigation.","container-title":"International Journal of Epidemiology","DOI":"10.1093/ije/dyv080","ISSN":"0300-5771","issue":"2","journalAbbreviation":"Int J Epidemiol","page":"512-525","source":"Silverchair","title":"Mendelian randomization with invalid instruments: effect estimation and bias detection through Egger regression","title-short":"Mendelian randomization with invalid instruments","URL":"https://doi.org/10.1093/ije/dyv080","volume":"44","author":[{"family":"Bowden","given":"Jack"},{"family":"Davey Smith","given":"George"},{"family":"Burgess","given":"Stephen"}],"accessed":{"date-parts":[["2025",11,16]]},"issued":{"date-parts":[["2015",4,1]]}}},{"id":653,"uris":["http://zotero.org/users/16916604/items/T7D25JC6"],"itemData":{"id":653,"type":"article-journal","abstract":"With the increasing availability of large-scale GWAS summary data on various traits, Mendelian randomization (MR) has become commonly used to infer causality between a pair of traits, an exposure and an outcome. It depends on using genetic variants, typically SNPs, as instrumental variables (IVs). The inverse-variance weighted (IVW) method (with a fixed-effect meta-analysis model) is most powerful when all IVs are valid; however, when horizontal pleiotropy is present, it may lead to biased inference. On the other hand, Egger regression is one of the most widely used methods robust to (uncorrelated) pleiotropy, but it suffers from loss of power. We propose a two-component mixture of regressions to combine and thus take advantage of both IVW and Egger regression; it is often both more efficient (i.e. higher powered) and more robust to pleiotropy (i.e. controlling type I error) than either IVW or Egger regression alone by accounting for both valid and invalid IVs respectively. We propose a model averaging approach and a novel data perturbation scheme to account for uncertainties in model/IV selection, leading to more robust statistical inference for finite samples. Through extensive simulations and applications to the GWAS summary data of 48 risk factor-disease pairs and 63 genetically uncorrelated trait pairs, we showcase that our proposed methods could often control type I error better while achieving much higher power than IVW and Egger regression (and sometimes than several other new/popular MR methods). We expect that our proposed methods will be a useful addition to the toolbox of Mendelian randomization for causal inference., For causal inference, inverse-variance weighting (IVW) and Egger regression are two of the most widely applied Mendelian randomization methods nowadays. IVW is the most powerful under the perhaps too restrictive assumption that all IVs are valid, while Egger regression is often unnecessarily too flexible in assuming all IVs to be invalid with uncorrelated pleiotropic effects. In spite of their usefulness, we point out their limitations: an IVW estimate of a causal effect would be biased if some/all IVs have directional pleiotropic effects, and an Egger regression estimate has too large a variance, leading to its loss of power. Accordingly we propose a mixture model to combine them to take advantage of their strengths while overcoming their major limitations. Furthermore, we propose a model-averaging approach and a novel data perturbation scheme to account for uncertainties in model/IV selection, leading to more robust statistical inference. Through simulations and applications to some publicly available large-scale GWAS summary data, we demonstrate the superiority of our methods over IVW and Egger regression (and over some other state-of-the-art MR methods in some scenarios).","container-title":"PLoS Genetics","DOI":"10.1371/journal.pgen.1009922","ISSN":"1553-7390","issue":"11","journalAbbreviation":"PLoS Genet","page":"e1009922","PMID":"34793444","PMCID":"PMC8639093","source":"PubMed Central","title":"Combining the strengths of inverse-variance weighting and Egger regression in Mendelian randomization using a mixture of regressions model","URL":"https://pmc.ncbi.nlm.nih.gov/articles/PMC8639093/","volume":"17","author":[{"family":"Lin","given":"Zhaotong"},{"family":"Deng","given":"Yangqing"},{"family":"Pan","given":"Wei"}],"accessed":{"date-parts":[["2025",11,14]]},"issued":{"date-parts":[["2021",11,18]]}}}],"schema":"https://github.com/citation-style-language/schema/raw/master/csl-citation.json"} </w:instrText>
      </w:r>
      <w:r w:rsidR="00952105">
        <w:rPr>
          <w:rFonts w:ascii="Times New Roman" w:eastAsia="Times New Roman" w:hAnsi="Times New Roman" w:cs="Times New Roman"/>
          <w:sz w:val="24"/>
          <w:szCs w:val="24"/>
        </w:rPr>
        <w:fldChar w:fldCharType="separate"/>
      </w:r>
      <w:r w:rsidR="00952105">
        <w:rPr>
          <w:rFonts w:ascii="Times New Roman" w:eastAsia="Times New Roman" w:hAnsi="Times New Roman" w:cs="Times New Roman"/>
          <w:noProof/>
          <w:sz w:val="24"/>
          <w:szCs w:val="24"/>
        </w:rPr>
        <w:t>[2,3]</w:t>
      </w:r>
      <w:r w:rsidR="00952105">
        <w:rPr>
          <w:rFonts w:ascii="Times New Roman" w:eastAsia="Times New Roman" w:hAnsi="Times New Roman" w:cs="Times New Roman"/>
          <w:sz w:val="24"/>
          <w:szCs w:val="24"/>
        </w:rPr>
        <w:fldChar w:fldCharType="end"/>
      </w:r>
      <w:r w:rsidR="0095210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We considered the following linear model:</w:t>
      </w:r>
    </w:p>
    <w:tbl>
      <w:tblPr>
        <w:tblStyle w:val="a"/>
        <w:tblW w:w="936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8505"/>
        <w:gridCol w:w="855"/>
      </w:tblGrid>
      <w:tr w:rsidR="00971880" w14:paraId="26DCF6BC" w14:textId="77777777">
        <w:tc>
          <w:tcPr>
            <w:tcW w:w="8505" w:type="dxa"/>
            <w:tcMar>
              <w:top w:w="100" w:type="dxa"/>
              <w:left w:w="100" w:type="dxa"/>
              <w:bottom w:w="100" w:type="dxa"/>
              <w:right w:w="100" w:type="dxa"/>
            </w:tcMar>
          </w:tcPr>
          <w:p w14:paraId="6568C474" w14:textId="77777777" w:rsidR="00971880" w:rsidRDefault="00000000">
            <w:pPr>
              <w:spacing w:line="480" w:lineRule="auto"/>
              <w:jc w:val="center"/>
              <w:rPr>
                <w:rFonts w:ascii="Times New Roman" w:eastAsia="Times New Roman" w:hAnsi="Times New Roman" w:cs="Times New Roman"/>
                <w:b/>
                <w:bCs/>
                <w:sz w:val="24"/>
                <w:szCs w:val="24"/>
              </w:rPr>
            </w:pPr>
            <w:hyperlink r:id="rId6" w:anchor="0">
              <w:r>
                <w:rPr>
                  <w:rFonts w:ascii="Times New Roman" w:eastAsia="Times New Roman" w:hAnsi="Times New Roman" w:cs="Times New Roman"/>
                  <w:noProof/>
                  <w:sz w:val="24"/>
                  <w:szCs w:val="24"/>
                </w:rPr>
                <w:drawing>
                  <wp:inline distT="19050" distB="19050" distL="19050" distR="19050" wp14:anchorId="6CCA7629" wp14:editId="2E23F9BB">
                    <wp:extent cx="2514600" cy="190500"/>
                    <wp:effectExtent l="0" t="0" r="0" b="0"/>
                    <wp:docPr id="3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
                            <a:srcRect/>
                            <a:stretch>
                              <a:fillRect/>
                            </a:stretch>
                          </pic:blipFill>
                          <pic:spPr>
                            <a:xfrm>
                              <a:off x="0" y="0"/>
                              <a:ext cx="2514600" cy="190500"/>
                            </a:xfrm>
                            <a:prstGeom prst="rect">
                              <a:avLst/>
                            </a:prstGeom>
                            <a:ln/>
                          </pic:spPr>
                        </pic:pic>
                      </a:graphicData>
                    </a:graphic>
                  </wp:inline>
                </w:drawing>
              </w:r>
            </w:hyperlink>
          </w:p>
        </w:tc>
        <w:tc>
          <w:tcPr>
            <w:tcW w:w="855" w:type="dxa"/>
            <w:tcMar>
              <w:top w:w="100" w:type="dxa"/>
              <w:left w:w="100" w:type="dxa"/>
              <w:bottom w:w="100" w:type="dxa"/>
              <w:right w:w="100" w:type="dxa"/>
            </w:tcMar>
          </w:tcPr>
          <w:p w14:paraId="7F45766C" w14:textId="77777777" w:rsidR="00971880" w:rsidRDefault="00000000">
            <w:pPr>
              <w:widowControl w:val="0"/>
              <w:spacing w:line="480" w:lineRule="auto"/>
              <w:jc w:val="center"/>
              <w:rPr>
                <w:rFonts w:ascii="Times New Roman" w:eastAsia="Times New Roman" w:hAnsi="Times New Roman" w:cs="Times New Roman"/>
                <w:sz w:val="24"/>
                <w:szCs w:val="24"/>
              </w:rPr>
            </w:pPr>
            <w:hyperlink r:id="rId8" w:anchor="0">
              <w:r>
                <w:rPr>
                  <w:rFonts w:ascii="Times New Roman" w:eastAsia="Times New Roman" w:hAnsi="Times New Roman" w:cs="Times New Roman"/>
                  <w:noProof/>
                  <w:sz w:val="24"/>
                  <w:szCs w:val="24"/>
                </w:rPr>
                <w:drawing>
                  <wp:inline distT="19050" distB="19050" distL="19050" distR="19050" wp14:anchorId="353057EC" wp14:editId="1AA9BC2C">
                    <wp:extent cx="241300" cy="152400"/>
                    <wp:effectExtent l="0" t="0" r="0" b="0"/>
                    <wp:docPr id="3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241300" cy="152400"/>
                            </a:xfrm>
                            <a:prstGeom prst="rect">
                              <a:avLst/>
                            </a:prstGeom>
                            <a:ln/>
                          </pic:spPr>
                        </pic:pic>
                      </a:graphicData>
                    </a:graphic>
                  </wp:inline>
                </w:drawing>
              </w:r>
            </w:hyperlink>
          </w:p>
        </w:tc>
      </w:tr>
    </w:tbl>
    <w:p w14:paraId="05F25A8D" w14:textId="77777777" w:rsidR="0097188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w:t>
      </w:r>
      <w:hyperlink r:id="rId10" w:anchor="0">
        <w:r>
          <w:rPr>
            <w:rFonts w:ascii="Times New Roman" w:eastAsia="Times New Roman" w:hAnsi="Times New Roman" w:cs="Times New Roman"/>
            <w:noProof/>
            <w:sz w:val="24"/>
            <w:szCs w:val="24"/>
          </w:rPr>
          <w:drawing>
            <wp:inline distT="19050" distB="19050" distL="19050" distR="19050" wp14:anchorId="7CA4A9BD" wp14:editId="5410BBFC">
              <wp:extent cx="114300" cy="88900"/>
              <wp:effectExtent l="0" t="0" r="0" b="0"/>
              <wp:docPr id="2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1"/>
                      <a:srcRect/>
                      <a:stretch>
                        <a:fillRect/>
                      </a:stretch>
                    </pic:blipFill>
                    <pic:spPr>
                      <a:xfrm>
                        <a:off x="0" y="0"/>
                        <a:ext cx="114300" cy="88900"/>
                      </a:xfrm>
                      <a:prstGeom prst="rect">
                        <a:avLst/>
                      </a:prstGeom>
                      <a:ln/>
                    </pic:spPr>
                  </pic:pic>
                </a:graphicData>
              </a:graphic>
            </wp:inline>
          </w:drawing>
        </w:r>
      </w:hyperlink>
      <w:r>
        <w:rPr>
          <w:rFonts w:ascii="Times New Roman" w:eastAsia="Times New Roman" w:hAnsi="Times New Roman" w:cs="Times New Roman"/>
          <w:sz w:val="24"/>
          <w:szCs w:val="24"/>
        </w:rPr>
        <w:t xml:space="preserve"> is the pleiotropic effect of the </w:t>
      </w:r>
      <w:proofErr w:type="spellStart"/>
      <w:r>
        <w:rPr>
          <w:rFonts w:ascii="Times New Roman" w:eastAsia="Times New Roman" w:hAnsi="Times New Roman" w:cs="Times New Roman"/>
          <w:sz w:val="24"/>
          <w:szCs w:val="24"/>
        </w:rPr>
        <w:t>i-th</w:t>
      </w:r>
      <w:proofErr w:type="spellEnd"/>
      <w:r>
        <w:rPr>
          <w:rFonts w:ascii="Times New Roman" w:eastAsia="Times New Roman" w:hAnsi="Times New Roman" w:cs="Times New Roman"/>
          <w:sz w:val="24"/>
          <w:szCs w:val="24"/>
        </w:rPr>
        <w:t xml:space="preserve"> PC. With the inclusion of an intercept and overdispersion, generalized linear regression can provide accurate causal estimates in the presence of both uncorrelated horizontal pleiotropy and balanced horizontal pleiotropy. When using correlated instruments, the causal estimate and its precision are characterized by the following equations:</w:t>
      </w:r>
    </w:p>
    <w:tbl>
      <w:tblPr>
        <w:tblStyle w:val="a0"/>
        <w:tblW w:w="936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8505"/>
        <w:gridCol w:w="855"/>
      </w:tblGrid>
      <w:tr w:rsidR="00971880" w14:paraId="0EF6750B" w14:textId="77777777">
        <w:trPr>
          <w:trHeight w:val="1071"/>
        </w:trPr>
        <w:tc>
          <w:tcPr>
            <w:tcW w:w="8505" w:type="dxa"/>
            <w:tcMar>
              <w:top w:w="100" w:type="dxa"/>
              <w:left w:w="100" w:type="dxa"/>
              <w:bottom w:w="100" w:type="dxa"/>
              <w:right w:w="100" w:type="dxa"/>
            </w:tcMar>
          </w:tcPr>
          <w:p w14:paraId="3D8874F1" w14:textId="77777777" w:rsidR="00971880" w:rsidRDefault="00000000">
            <w:pPr>
              <w:spacing w:line="480" w:lineRule="auto"/>
              <w:jc w:val="center"/>
              <w:rPr>
                <w:rFonts w:ascii="Times New Roman" w:eastAsia="Times New Roman" w:hAnsi="Times New Roman" w:cs="Times New Roman"/>
                <w:sz w:val="24"/>
                <w:szCs w:val="24"/>
              </w:rPr>
            </w:pPr>
            <w:hyperlink r:id="rId12" w:anchor="0">
              <w:r>
                <w:rPr>
                  <w:rFonts w:ascii="Times New Roman" w:eastAsia="Times New Roman" w:hAnsi="Times New Roman" w:cs="Times New Roman"/>
                  <w:noProof/>
                  <w:sz w:val="24"/>
                  <w:szCs w:val="24"/>
                </w:rPr>
                <w:drawing>
                  <wp:inline distT="19050" distB="19050" distL="19050" distR="19050" wp14:anchorId="210883D9" wp14:editId="5EB6D261">
                    <wp:extent cx="2971800" cy="279400"/>
                    <wp:effectExtent l="0" t="0" r="0" b="0"/>
                    <wp:docPr id="1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2971800" cy="279400"/>
                            </a:xfrm>
                            <a:prstGeom prst="rect">
                              <a:avLst/>
                            </a:prstGeom>
                            <a:ln/>
                          </pic:spPr>
                        </pic:pic>
                      </a:graphicData>
                    </a:graphic>
                  </wp:inline>
                </w:drawing>
              </w:r>
            </w:hyperlink>
          </w:p>
          <w:p w14:paraId="36FB115A" w14:textId="77777777" w:rsidR="00971880" w:rsidRDefault="00000000">
            <w:pPr>
              <w:spacing w:line="480" w:lineRule="auto"/>
              <w:jc w:val="center"/>
              <w:rPr>
                <w:rFonts w:ascii="Times New Roman" w:eastAsia="Times New Roman" w:hAnsi="Times New Roman" w:cs="Times New Roman"/>
                <w:sz w:val="24"/>
                <w:szCs w:val="24"/>
              </w:rPr>
            </w:pPr>
            <w:hyperlink r:id="rId14" w:anchor="0">
              <w:r>
                <w:rPr>
                  <w:rFonts w:ascii="Times New Roman" w:eastAsia="Times New Roman" w:hAnsi="Times New Roman" w:cs="Times New Roman"/>
                  <w:noProof/>
                  <w:sz w:val="24"/>
                  <w:szCs w:val="24"/>
                </w:rPr>
                <w:drawing>
                  <wp:inline distT="19050" distB="19050" distL="19050" distR="19050" wp14:anchorId="26B1B612" wp14:editId="0AA29A6C">
                    <wp:extent cx="1676400" cy="279400"/>
                    <wp:effectExtent l="0" t="0" r="0" b="0"/>
                    <wp:docPr id="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a:stretch>
                              <a:fillRect/>
                            </a:stretch>
                          </pic:blipFill>
                          <pic:spPr>
                            <a:xfrm>
                              <a:off x="0" y="0"/>
                              <a:ext cx="1676400" cy="279400"/>
                            </a:xfrm>
                            <a:prstGeom prst="rect">
                              <a:avLst/>
                            </a:prstGeom>
                            <a:ln/>
                          </pic:spPr>
                        </pic:pic>
                      </a:graphicData>
                    </a:graphic>
                  </wp:inline>
                </w:drawing>
              </w:r>
            </w:hyperlink>
          </w:p>
        </w:tc>
        <w:tc>
          <w:tcPr>
            <w:tcW w:w="855" w:type="dxa"/>
            <w:tcMar>
              <w:top w:w="100" w:type="dxa"/>
              <w:left w:w="100" w:type="dxa"/>
              <w:bottom w:w="100" w:type="dxa"/>
              <w:right w:w="100" w:type="dxa"/>
            </w:tcMar>
          </w:tcPr>
          <w:p w14:paraId="58D56E54" w14:textId="77777777" w:rsidR="00971880" w:rsidRDefault="00000000">
            <w:pPr>
              <w:widowControl w:val="0"/>
              <w:spacing w:line="480" w:lineRule="auto"/>
              <w:jc w:val="center"/>
              <w:rPr>
                <w:rFonts w:ascii="Times New Roman" w:eastAsia="Times New Roman" w:hAnsi="Times New Roman" w:cs="Times New Roman"/>
                <w:sz w:val="24"/>
                <w:szCs w:val="24"/>
              </w:rPr>
            </w:pPr>
            <w:hyperlink r:id="rId16" w:anchor="0">
              <w:r>
                <w:rPr>
                  <w:rFonts w:ascii="Times New Roman" w:eastAsia="Times New Roman" w:hAnsi="Times New Roman" w:cs="Times New Roman"/>
                  <w:noProof/>
                  <w:sz w:val="24"/>
                  <w:szCs w:val="24"/>
                </w:rPr>
                <w:drawing>
                  <wp:inline distT="19050" distB="19050" distL="19050" distR="19050" wp14:anchorId="1B0AD876" wp14:editId="0A1ED554">
                    <wp:extent cx="241300" cy="152400"/>
                    <wp:effectExtent l="0" t="0" r="0" b="0"/>
                    <wp:docPr id="2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241300" cy="152400"/>
                            </a:xfrm>
                            <a:prstGeom prst="rect">
                              <a:avLst/>
                            </a:prstGeom>
                            <a:ln/>
                          </pic:spPr>
                        </pic:pic>
                      </a:graphicData>
                    </a:graphic>
                  </wp:inline>
                </w:drawing>
              </w:r>
            </w:hyperlink>
          </w:p>
        </w:tc>
      </w:tr>
    </w:tbl>
    <w:p w14:paraId="1FF4E963" w14:textId="77777777" w:rsidR="00971880" w:rsidRDefault="00000000">
      <w:pPr>
        <w:spacing w:line="480" w:lineRule="auto"/>
        <w:ind w:left="-9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where </w:t>
      </w:r>
      <w:hyperlink r:id="rId18" w:anchor="0">
        <w:r>
          <w:rPr>
            <w:rFonts w:ascii="Times New Roman" w:eastAsia="Times New Roman" w:hAnsi="Times New Roman" w:cs="Times New Roman"/>
            <w:noProof/>
            <w:sz w:val="24"/>
            <w:szCs w:val="24"/>
          </w:rPr>
          <w:drawing>
            <wp:inline distT="19050" distB="19050" distL="19050" distR="19050" wp14:anchorId="5BEA9C4E" wp14:editId="527B3D4B">
              <wp:extent cx="749300" cy="3429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749300" cy="342900"/>
                      </a:xfrm>
                      <a:prstGeom prst="rect">
                        <a:avLst/>
                      </a:prstGeom>
                      <a:ln/>
                    </pic:spPr>
                  </pic:pic>
                </a:graphicData>
              </a:graphic>
            </wp:inline>
          </w:drawing>
        </w:r>
      </w:hyperlink>
      <w:r>
        <w:rPr>
          <w:rFonts w:ascii="Times New Roman" w:eastAsia="Times New Roman" w:hAnsi="Times New Roman" w:cs="Times New Roman"/>
          <w:b/>
          <w:bCs/>
          <w:sz w:val="24"/>
          <w:szCs w:val="24"/>
        </w:rPr>
        <w:t>.</w:t>
      </w:r>
    </w:p>
    <w:p w14:paraId="11AA2BE5" w14:textId="77777777" w:rsidR="00971880" w:rsidRDefault="00000000">
      <w:pPr>
        <w:spacing w:line="480" w:lineRule="auto"/>
        <w:ind w:left="-9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Supplementary Results</w:t>
      </w:r>
    </w:p>
    <w:p w14:paraId="4862BB1F" w14:textId="77777777" w:rsidR="00971880" w:rsidRDefault="00000000">
      <w:pPr>
        <w:spacing w:line="480" w:lineRule="auto"/>
        <w:ind w:left="-9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The alternative weight matrix outperforms precision weighting alone</w:t>
      </w:r>
    </w:p>
    <w:p w14:paraId="0EB16051" w14:textId="77777777" w:rsidR="00971880" w:rsidRDefault="00000000">
      <w:pPr>
        <w:spacing w:line="480" w:lineRule="auto"/>
        <w:ind w:left="-9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 xml:space="preserve">We evaluated PCA-MR extensions with and without the alternative precision matrix in the first and second simulation study regimes (See methods). Additionally, we analyzed the utility </w:t>
      </w:r>
      <w:r>
        <w:rPr>
          <w:rFonts w:ascii="Times New Roman" w:eastAsia="Times New Roman" w:hAnsi="Times New Roman" w:cs="Times New Roman"/>
          <w:sz w:val="24"/>
          <w:szCs w:val="24"/>
        </w:rPr>
        <w:lastRenderedPageBreak/>
        <w:t>of the F-statistic truncation. For the first simulation scenarios with 10 valid IVs and high LD (</w:t>
      </w:r>
      <w:hyperlink r:id="rId20" w:anchor="0">
        <w:r>
          <w:rPr>
            <w:rFonts w:ascii="Times New Roman" w:eastAsia="Times New Roman" w:hAnsi="Times New Roman" w:cs="Times New Roman"/>
            <w:noProof/>
            <w:sz w:val="24"/>
            <w:szCs w:val="24"/>
          </w:rPr>
          <w:drawing>
            <wp:inline distT="19050" distB="19050" distL="19050" distR="19050" wp14:anchorId="5CEB41BB" wp14:editId="48459AD2">
              <wp:extent cx="457200" cy="1270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457200" cy="127000"/>
                      </a:xfrm>
                      <a:prstGeom prst="rect">
                        <a:avLst/>
                      </a:prstGeom>
                      <a:ln/>
                    </pic:spPr>
                  </pic:pic>
                </a:graphicData>
              </a:graphic>
            </wp:inline>
          </w:drawing>
        </w:r>
      </w:hyperlink>
      <w:r>
        <w:rPr>
          <w:rFonts w:ascii="Times New Roman" w:eastAsia="Times New Roman" w:hAnsi="Times New Roman" w:cs="Times New Roman"/>
          <w:sz w:val="24"/>
          <w:szCs w:val="24"/>
        </w:rPr>
        <w:t xml:space="preserve">), the alternative weight matrix substantially improved both power and coverage, with significantly lower RMSE and precision compared to precision-weighting alone (Supplementary Figures 1 &amp; 2). </w:t>
      </w:r>
    </w:p>
    <w:p w14:paraId="45C8C4EA" w14:textId="77777777" w:rsidR="00971880" w:rsidRDefault="00000000">
      <w:pPr>
        <w:spacing w:line="480" w:lineRule="auto"/>
        <w:ind w:left="-9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15135BE" wp14:editId="1387907E">
            <wp:extent cx="5943600" cy="3860800"/>
            <wp:effectExtent l="0" t="0" r="0" b="0"/>
            <wp:docPr id="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5943600" cy="3860800"/>
                    </a:xfrm>
                    <a:prstGeom prst="rect">
                      <a:avLst/>
                    </a:prstGeom>
                    <a:ln/>
                  </pic:spPr>
                </pic:pic>
              </a:graphicData>
            </a:graphic>
          </wp:inline>
        </w:drawing>
      </w:r>
    </w:p>
    <w:p w14:paraId="42371568" w14:textId="77777777" w:rsidR="0097188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 1. TIE (</w:t>
      </w:r>
      <w:hyperlink r:id="rId23" w:anchor="0">
        <w:r>
          <w:rPr>
            <w:rFonts w:ascii="Times New Roman" w:eastAsia="Times New Roman" w:hAnsi="Times New Roman" w:cs="Times New Roman"/>
            <w:noProof/>
            <w:sz w:val="24"/>
            <w:szCs w:val="24"/>
          </w:rPr>
          <w:drawing>
            <wp:inline distT="19050" distB="19050" distL="19050" distR="19050" wp14:anchorId="52BEFCC7" wp14:editId="03F43151">
              <wp:extent cx="558800" cy="101600"/>
              <wp:effectExtent l="0" t="0" r="0" b="0"/>
              <wp:docPr id="3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558800" cy="101600"/>
                      </a:xfrm>
                      <a:prstGeom prst="rect">
                        <a:avLst/>
                      </a:prstGeom>
                      <a:ln/>
                    </pic:spPr>
                  </pic:pic>
                </a:graphicData>
              </a:graphic>
            </wp:inline>
          </w:drawing>
        </w:r>
      </w:hyperlink>
      <w:r>
        <w:rPr>
          <w:rFonts w:ascii="Times New Roman" w:eastAsia="Times New Roman" w:hAnsi="Times New Roman" w:cs="Times New Roman"/>
          <w:sz w:val="24"/>
          <w:szCs w:val="24"/>
        </w:rPr>
        <w:t xml:space="preserve">), RMSE, and 95% confidence interval coverage across simulation replicates of PCA-MR-IVW and ML (With and without the alternative weight matrix, </w:t>
      </w:r>
      <w:hyperlink r:id="rId25" w:anchor="0">
        <w:r>
          <w:rPr>
            <w:rFonts w:ascii="Times New Roman" w:eastAsia="Times New Roman" w:hAnsi="Times New Roman" w:cs="Times New Roman"/>
            <w:noProof/>
            <w:sz w:val="24"/>
            <w:szCs w:val="24"/>
          </w:rPr>
          <w:drawing>
            <wp:inline distT="19050" distB="19050" distL="19050" distR="19050" wp14:anchorId="4A14ADCB" wp14:editId="165C1586">
              <wp:extent cx="203200" cy="114300"/>
              <wp:effectExtent l="0" t="0" r="0" b="0"/>
              <wp:docPr id="2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2032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and </w:t>
      </w:r>
      <w:hyperlink r:id="rId27" w:anchor="0">
        <w:r>
          <w:rPr>
            <w:rFonts w:ascii="Times New Roman" w:eastAsia="Times New Roman" w:hAnsi="Times New Roman" w:cs="Times New Roman"/>
            <w:noProof/>
            <w:sz w:val="24"/>
            <w:szCs w:val="24"/>
          </w:rPr>
          <w:drawing>
            <wp:inline distT="19050" distB="19050" distL="19050" distR="19050" wp14:anchorId="65B261CF" wp14:editId="075F41E1">
              <wp:extent cx="88900" cy="1016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88900" cy="101600"/>
                      </a:xfrm>
                      <a:prstGeom prst="rect">
                        <a:avLst/>
                      </a:prstGeom>
                      <a:ln/>
                    </pic:spPr>
                  </pic:pic>
                </a:graphicData>
              </a:graphic>
            </wp:inline>
          </w:drawing>
        </w:r>
      </w:hyperlink>
      <w:r>
        <w:rPr>
          <w:rFonts w:ascii="Times New Roman" w:eastAsia="Times New Roman" w:hAnsi="Times New Roman" w:cs="Times New Roman"/>
          <w:sz w:val="24"/>
          <w:szCs w:val="24"/>
        </w:rPr>
        <w:t xml:space="preserve"> respectively), PCA-IVW, GIVW, and GML for the first scenario regime with all valid IVs in high LD (</w:t>
      </w:r>
      <w:hyperlink r:id="rId29" w:anchor="0">
        <w:r>
          <w:rPr>
            <w:rFonts w:ascii="Times New Roman" w:eastAsia="Times New Roman" w:hAnsi="Times New Roman" w:cs="Times New Roman"/>
            <w:noProof/>
            <w:sz w:val="24"/>
            <w:szCs w:val="24"/>
          </w:rPr>
          <w:drawing>
            <wp:inline distT="19050" distB="19050" distL="19050" distR="19050" wp14:anchorId="6C6F1BFE" wp14:editId="7D91D582">
              <wp:extent cx="457200" cy="1270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457200" cy="127000"/>
                      </a:xfrm>
                      <a:prstGeom prst="rect">
                        <a:avLst/>
                      </a:prstGeom>
                      <a:ln/>
                    </pic:spPr>
                  </pic:pic>
                </a:graphicData>
              </a:graphic>
            </wp:inline>
          </w:drawing>
        </w:r>
      </w:hyperlink>
      <w:r>
        <w:rPr>
          <w:rFonts w:ascii="Times New Roman" w:eastAsia="Times New Roman" w:hAnsi="Times New Roman" w:cs="Times New Roman"/>
          <w:sz w:val="24"/>
          <w:szCs w:val="24"/>
        </w:rPr>
        <w:t xml:space="preserve">). Results are shown across exposure sample sizes as a function of the </w:t>
      </w:r>
      <w:r>
        <w:rPr>
          <w:rFonts w:ascii="Times New Roman" w:eastAsia="Times New Roman" w:hAnsi="Times New Roman" w:cs="Times New Roman"/>
          <w:sz w:val="24"/>
          <w:szCs w:val="24"/>
        </w:rPr>
        <w:lastRenderedPageBreak/>
        <w:t xml:space="preserve">true </w:t>
      </w:r>
      <w:hyperlink r:id="rId30" w:anchor="0">
        <w:r>
          <w:rPr>
            <w:rFonts w:ascii="Times New Roman" w:eastAsia="Times New Roman" w:hAnsi="Times New Roman" w:cs="Times New Roman"/>
            <w:noProof/>
            <w:sz w:val="24"/>
            <w:szCs w:val="24"/>
          </w:rPr>
          <w:drawing>
            <wp:inline distT="19050" distB="19050" distL="19050" distR="19050" wp14:anchorId="5EB8CE31" wp14:editId="72CB1247">
              <wp:extent cx="63500" cy="114300"/>
              <wp:effectExtent l="0" t="0" r="0" b="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a:off x="0" y="0"/>
                        <a:ext cx="63500" cy="114300"/>
                      </a:xfrm>
                      <a:prstGeom prst="rect">
                        <a:avLst/>
                      </a:prstGeom>
                      <a:ln/>
                    </pic:spPr>
                  </pic:pic>
                </a:graphicData>
              </a:graphic>
            </wp:inline>
          </w:drawing>
        </w:r>
      </w:hyperlink>
      <w:r>
        <w:rPr>
          <w:rFonts w:ascii="Times New Roman" w:eastAsia="Times New Roman" w:hAnsi="Times New Roman" w:cs="Times New Roman"/>
          <w:sz w:val="24"/>
          <w:szCs w:val="24"/>
        </w:rPr>
        <w:t>. Dashed lines represent the nominal TIE rate and nominal coverage (0.95), respectively</w:t>
      </w:r>
      <w:r>
        <w:rPr>
          <w:rFonts w:ascii="Times New Roman" w:eastAsia="Times New Roman" w:hAnsi="Times New Roman" w:cs="Times New Roman"/>
          <w:b/>
          <w:bCs/>
          <w:noProof/>
          <w:sz w:val="24"/>
          <w:szCs w:val="24"/>
        </w:rPr>
        <w:drawing>
          <wp:inline distT="114300" distB="114300" distL="114300" distR="114300" wp14:anchorId="73891DE2" wp14:editId="6E4C5D1C">
            <wp:extent cx="5943600" cy="3479800"/>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5943600" cy="3479800"/>
                    </a:xfrm>
                    <a:prstGeom prst="rect">
                      <a:avLst/>
                    </a:prstGeom>
                    <a:ln/>
                  </pic:spPr>
                </pic:pic>
              </a:graphicData>
            </a:graphic>
          </wp:inline>
        </w:drawing>
      </w:r>
    </w:p>
    <w:p w14:paraId="563D0CCC" w14:textId="77777777" w:rsidR="0097188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Supplementary Figure 2. Mean </w:t>
      </w:r>
      <w:hyperlink r:id="rId33" w:anchor="0">
        <w:r>
          <w:rPr>
            <w:rFonts w:ascii="Times New Roman" w:eastAsia="Times New Roman" w:hAnsi="Times New Roman" w:cs="Times New Roman"/>
            <w:noProof/>
            <w:sz w:val="24"/>
            <w:szCs w:val="24"/>
          </w:rPr>
          <w:drawing>
            <wp:inline distT="19050" distB="19050" distL="19050" distR="19050" wp14:anchorId="029CFEAD" wp14:editId="5BE2DDEE">
              <wp:extent cx="63500" cy="15240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4"/>
                      <a:srcRect/>
                      <a:stretch>
                        <a:fillRect/>
                      </a:stretch>
                    </pic:blipFill>
                    <pic:spPr>
                      <a:xfrm>
                        <a:off x="0" y="0"/>
                        <a:ext cx="63500" cy="152400"/>
                      </a:xfrm>
                      <a:prstGeom prst="rect">
                        <a:avLst/>
                      </a:prstGeom>
                      <a:ln/>
                    </pic:spPr>
                  </pic:pic>
                </a:graphicData>
              </a:graphic>
            </wp:inline>
          </w:drawing>
        </w:r>
      </w:hyperlink>
      <w:r>
        <w:rPr>
          <w:rFonts w:ascii="Times New Roman" w:eastAsia="Times New Roman" w:hAnsi="Times New Roman" w:cs="Times New Roman"/>
          <w:sz w:val="24"/>
          <w:szCs w:val="24"/>
        </w:rPr>
        <w:t xml:space="preserve"> estimates and standard deviation intervals across replicates for PCA-MR-IVW and ML (With and without the alternative weight matrix, </w:t>
      </w:r>
      <w:hyperlink r:id="rId35" w:anchor="0">
        <w:r>
          <w:rPr>
            <w:rFonts w:ascii="Times New Roman" w:eastAsia="Times New Roman" w:hAnsi="Times New Roman" w:cs="Times New Roman"/>
            <w:noProof/>
            <w:sz w:val="24"/>
            <w:szCs w:val="24"/>
          </w:rPr>
          <w:drawing>
            <wp:inline distT="19050" distB="19050" distL="19050" distR="19050" wp14:anchorId="2968DE50" wp14:editId="37256E4B">
              <wp:extent cx="203200" cy="114300"/>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2032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and </w:t>
      </w:r>
      <w:hyperlink r:id="rId36" w:anchor="0">
        <w:r>
          <w:rPr>
            <w:rFonts w:ascii="Times New Roman" w:eastAsia="Times New Roman" w:hAnsi="Times New Roman" w:cs="Times New Roman"/>
            <w:noProof/>
            <w:sz w:val="24"/>
            <w:szCs w:val="24"/>
          </w:rPr>
          <w:drawing>
            <wp:inline distT="19050" distB="19050" distL="19050" distR="19050" wp14:anchorId="3204F4CF" wp14:editId="03308092">
              <wp:extent cx="88900" cy="101600"/>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88900" cy="101600"/>
                      </a:xfrm>
                      <a:prstGeom prst="rect">
                        <a:avLst/>
                      </a:prstGeom>
                      <a:ln/>
                    </pic:spPr>
                  </pic:pic>
                </a:graphicData>
              </a:graphic>
            </wp:inline>
          </w:drawing>
        </w:r>
      </w:hyperlink>
      <w:r>
        <w:rPr>
          <w:rFonts w:ascii="Times New Roman" w:eastAsia="Times New Roman" w:hAnsi="Times New Roman" w:cs="Times New Roman"/>
          <w:sz w:val="24"/>
          <w:szCs w:val="24"/>
        </w:rPr>
        <w:t xml:space="preserve"> respectively), PCA-IVW, GIVW, and GML for the first scenario regime with all valid IVs in high LD (</w:t>
      </w:r>
      <w:hyperlink r:id="rId37" w:anchor="0">
        <w:r>
          <w:rPr>
            <w:rFonts w:ascii="Times New Roman" w:eastAsia="Times New Roman" w:hAnsi="Times New Roman" w:cs="Times New Roman"/>
            <w:noProof/>
            <w:sz w:val="24"/>
            <w:szCs w:val="24"/>
          </w:rPr>
          <w:drawing>
            <wp:inline distT="19050" distB="19050" distL="19050" distR="19050" wp14:anchorId="76C10C92" wp14:editId="670C2B55">
              <wp:extent cx="457200" cy="1270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457200" cy="127000"/>
                      </a:xfrm>
                      <a:prstGeom prst="rect">
                        <a:avLst/>
                      </a:prstGeom>
                      <a:ln/>
                    </pic:spPr>
                  </pic:pic>
                </a:graphicData>
              </a:graphic>
            </wp:inline>
          </w:drawing>
        </w:r>
      </w:hyperlink>
      <w:r>
        <w:rPr>
          <w:rFonts w:ascii="Times New Roman" w:eastAsia="Times New Roman" w:hAnsi="Times New Roman" w:cs="Times New Roman"/>
          <w:sz w:val="24"/>
          <w:szCs w:val="24"/>
        </w:rPr>
        <w:t xml:space="preserve">). Extreme standard deviation intervals were omitted, and extreme </w:t>
      </w:r>
      <w:hyperlink r:id="rId38" w:anchor="0">
        <w:r>
          <w:rPr>
            <w:rFonts w:ascii="Times New Roman" w:eastAsia="Times New Roman" w:hAnsi="Times New Roman" w:cs="Times New Roman"/>
            <w:noProof/>
            <w:sz w:val="24"/>
            <w:szCs w:val="24"/>
          </w:rPr>
          <w:drawing>
            <wp:inline distT="19050" distB="19050" distL="19050" distR="19050" wp14:anchorId="58E75B08" wp14:editId="3E9C251D">
              <wp:extent cx="63500" cy="152400"/>
              <wp:effectExtent l="0" t="0" r="0" b="0"/>
              <wp:docPr id="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63500" cy="152400"/>
                      </a:xfrm>
                      <a:prstGeom prst="rect">
                        <a:avLst/>
                      </a:prstGeom>
                      <a:ln/>
                    </pic:spPr>
                  </pic:pic>
                </a:graphicData>
              </a:graphic>
            </wp:inline>
          </w:drawing>
        </w:r>
      </w:hyperlink>
      <w:r>
        <w:rPr>
          <w:rFonts w:ascii="Times New Roman" w:eastAsia="Times New Roman" w:hAnsi="Times New Roman" w:cs="Times New Roman"/>
          <w:sz w:val="24"/>
          <w:szCs w:val="24"/>
        </w:rPr>
        <w:t xml:space="preserve"> estimates are denoted by “</w:t>
      </w:r>
      <w:hyperlink r:id="rId39" w:anchor="0">
        <w:r>
          <w:rPr>
            <w:rFonts w:ascii="Times New Roman" w:eastAsia="Times New Roman" w:hAnsi="Times New Roman" w:cs="Times New Roman"/>
            <w:noProof/>
            <w:sz w:val="24"/>
            <w:szCs w:val="24"/>
          </w:rPr>
          <w:drawing>
            <wp:inline distT="19050" distB="19050" distL="19050" distR="19050" wp14:anchorId="07488FE6" wp14:editId="05C50D2D">
              <wp:extent cx="50800" cy="635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50800" cy="63500"/>
                      </a:xfrm>
                      <a:prstGeom prst="rect">
                        <a:avLst/>
                      </a:prstGeom>
                      <a:ln/>
                    </pic:spPr>
                  </pic:pic>
                </a:graphicData>
              </a:graphic>
            </wp:inline>
          </w:drawing>
        </w:r>
      </w:hyperlink>
      <w:r>
        <w:rPr>
          <w:rFonts w:ascii="Times New Roman" w:eastAsia="Times New Roman" w:hAnsi="Times New Roman" w:cs="Times New Roman"/>
          <w:sz w:val="24"/>
          <w:szCs w:val="24"/>
        </w:rPr>
        <w:t>”.</w:t>
      </w:r>
    </w:p>
    <w:p w14:paraId="7F20DC07" w14:textId="77777777" w:rsidR="00971880" w:rsidRDefault="00000000">
      <w:pPr>
        <w:spacing w:line="48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Assessing the efficacy of the alternative weight matrix using weak instruments</w:t>
      </w:r>
    </w:p>
    <w:p w14:paraId="2AA5E44B" w14:textId="4C14293C" w:rsidR="00971880" w:rsidRDefault="00000000">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In the second set of simulations with weak-IVs, the alternative weight matrix substantially decreased weak-instrument bias towards null association. PCA-MR-IVW and ML showed </w:t>
      </w:r>
      <w:r w:rsidR="00E4489F">
        <w:rPr>
          <w:rFonts w:ascii="Times New Roman" w:eastAsia="Times New Roman" w:hAnsi="Times New Roman" w:cs="Times New Roman"/>
          <w:sz w:val="24"/>
          <w:szCs w:val="24"/>
        </w:rPr>
        <w:t>higher</w:t>
      </w:r>
      <w:r>
        <w:rPr>
          <w:rFonts w:ascii="Times New Roman" w:eastAsia="Times New Roman" w:hAnsi="Times New Roman" w:cs="Times New Roman"/>
          <w:sz w:val="24"/>
          <w:szCs w:val="24"/>
        </w:rPr>
        <w:t xml:space="preserve"> power, precision, and RMSE compared to PCA-IVW, GIVW, and GML. Additionally, PCA-MR exhibited controlled TIE under null association, while the existing frameworks were inflated. </w:t>
      </w:r>
    </w:p>
    <w:p w14:paraId="3933CC5E" w14:textId="77777777" w:rsidR="00971880" w:rsidRDefault="00000000">
      <w:pPr>
        <w:spacing w:line="480" w:lineRule="auto"/>
        <w:ind w:left="-90"/>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739727AC" wp14:editId="08D9F7C2">
            <wp:extent cx="5943600" cy="4559300"/>
            <wp:effectExtent l="0" t="0" r="0" b="0"/>
            <wp:docPr id="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1"/>
                    <a:srcRect/>
                    <a:stretch>
                      <a:fillRect/>
                    </a:stretch>
                  </pic:blipFill>
                  <pic:spPr>
                    <a:xfrm>
                      <a:off x="0" y="0"/>
                      <a:ext cx="5943600" cy="4559300"/>
                    </a:xfrm>
                    <a:prstGeom prst="rect">
                      <a:avLst/>
                    </a:prstGeom>
                    <a:ln/>
                  </pic:spPr>
                </pic:pic>
              </a:graphicData>
            </a:graphic>
          </wp:inline>
        </w:drawing>
      </w:r>
    </w:p>
    <w:p w14:paraId="1333F1B1" w14:textId="77777777" w:rsidR="0097188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 3. TIE (</w:t>
      </w:r>
      <w:hyperlink r:id="rId42" w:anchor="0">
        <w:r>
          <w:rPr>
            <w:rFonts w:ascii="Times New Roman" w:eastAsia="Times New Roman" w:hAnsi="Times New Roman" w:cs="Times New Roman"/>
            <w:noProof/>
            <w:sz w:val="24"/>
            <w:szCs w:val="24"/>
          </w:rPr>
          <w:drawing>
            <wp:inline distT="19050" distB="19050" distL="19050" distR="19050" wp14:anchorId="2D029423" wp14:editId="56F9C134">
              <wp:extent cx="558800" cy="101600"/>
              <wp:effectExtent l="0" t="0" r="0" b="0"/>
              <wp:docPr id="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558800" cy="101600"/>
                      </a:xfrm>
                      <a:prstGeom prst="rect">
                        <a:avLst/>
                      </a:prstGeom>
                      <a:ln/>
                    </pic:spPr>
                  </pic:pic>
                </a:graphicData>
              </a:graphic>
            </wp:inline>
          </w:drawing>
        </w:r>
      </w:hyperlink>
      <w:r>
        <w:rPr>
          <w:rFonts w:ascii="Times New Roman" w:eastAsia="Times New Roman" w:hAnsi="Times New Roman" w:cs="Times New Roman"/>
          <w:sz w:val="24"/>
          <w:szCs w:val="24"/>
        </w:rPr>
        <w:t xml:space="preserve">), RMSE, and 95% confidence interval coverage across simulation replicates of PCA-MR-IVW and ML (With and without the alternative weight matrix, </w:t>
      </w:r>
      <w:hyperlink r:id="rId43" w:anchor="0">
        <w:r>
          <w:rPr>
            <w:rFonts w:ascii="Times New Roman" w:eastAsia="Times New Roman" w:hAnsi="Times New Roman" w:cs="Times New Roman"/>
            <w:noProof/>
            <w:sz w:val="24"/>
            <w:szCs w:val="24"/>
          </w:rPr>
          <w:drawing>
            <wp:inline distT="19050" distB="19050" distL="19050" distR="19050" wp14:anchorId="4675D476" wp14:editId="31649446">
              <wp:extent cx="203200" cy="1143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2032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and </w:t>
      </w:r>
      <w:hyperlink r:id="rId44" w:anchor="0">
        <w:r>
          <w:rPr>
            <w:rFonts w:ascii="Times New Roman" w:eastAsia="Times New Roman" w:hAnsi="Times New Roman" w:cs="Times New Roman"/>
            <w:noProof/>
            <w:sz w:val="24"/>
            <w:szCs w:val="24"/>
          </w:rPr>
          <w:drawing>
            <wp:inline distT="19050" distB="19050" distL="19050" distR="19050" wp14:anchorId="7A99205C" wp14:editId="5F7B6EF1">
              <wp:extent cx="88900" cy="101600"/>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88900" cy="101600"/>
                      </a:xfrm>
                      <a:prstGeom prst="rect">
                        <a:avLst/>
                      </a:prstGeom>
                      <a:ln/>
                    </pic:spPr>
                  </pic:pic>
                </a:graphicData>
              </a:graphic>
            </wp:inline>
          </w:drawing>
        </w:r>
      </w:hyperlink>
      <w:r>
        <w:rPr>
          <w:rFonts w:ascii="Times New Roman" w:eastAsia="Times New Roman" w:hAnsi="Times New Roman" w:cs="Times New Roman"/>
          <w:sz w:val="24"/>
          <w:szCs w:val="24"/>
        </w:rPr>
        <w:t xml:space="preserve"> respectively), PCA-IVW, GIVW, and GML for the first scenario regime with weak-IVs (all valid) in high LD (</w:t>
      </w:r>
      <w:hyperlink r:id="rId45" w:anchor="0">
        <w:r>
          <w:rPr>
            <w:rFonts w:ascii="Times New Roman" w:eastAsia="Times New Roman" w:hAnsi="Times New Roman" w:cs="Times New Roman"/>
            <w:noProof/>
            <w:sz w:val="24"/>
            <w:szCs w:val="24"/>
          </w:rPr>
          <w:drawing>
            <wp:inline distT="19050" distB="19050" distL="19050" distR="19050" wp14:anchorId="1D5C079E" wp14:editId="6E9CF9BC">
              <wp:extent cx="457200" cy="127000"/>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457200" cy="127000"/>
                      </a:xfrm>
                      <a:prstGeom prst="rect">
                        <a:avLst/>
                      </a:prstGeom>
                      <a:ln/>
                    </pic:spPr>
                  </pic:pic>
                </a:graphicData>
              </a:graphic>
            </wp:inline>
          </w:drawing>
        </w:r>
      </w:hyperlink>
      <w:r>
        <w:rPr>
          <w:rFonts w:ascii="Times New Roman" w:eastAsia="Times New Roman" w:hAnsi="Times New Roman" w:cs="Times New Roman"/>
          <w:sz w:val="24"/>
          <w:szCs w:val="24"/>
        </w:rPr>
        <w:t xml:space="preserve">). Results are shown across exposure sample sizes as a function of the true </w:t>
      </w:r>
      <w:hyperlink r:id="rId46" w:anchor="0">
        <w:r>
          <w:rPr>
            <w:rFonts w:ascii="Times New Roman" w:eastAsia="Times New Roman" w:hAnsi="Times New Roman" w:cs="Times New Roman"/>
            <w:noProof/>
            <w:sz w:val="24"/>
            <w:szCs w:val="24"/>
          </w:rPr>
          <w:drawing>
            <wp:inline distT="19050" distB="19050" distL="19050" distR="19050" wp14:anchorId="17258A20" wp14:editId="1630A599">
              <wp:extent cx="63500" cy="114300"/>
              <wp:effectExtent l="0" t="0" r="0" b="0"/>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a:off x="0" y="0"/>
                        <a:ext cx="63500" cy="114300"/>
                      </a:xfrm>
                      <a:prstGeom prst="rect">
                        <a:avLst/>
                      </a:prstGeom>
                      <a:ln/>
                    </pic:spPr>
                  </pic:pic>
                </a:graphicData>
              </a:graphic>
            </wp:inline>
          </w:drawing>
        </w:r>
      </w:hyperlink>
      <w:r>
        <w:rPr>
          <w:rFonts w:ascii="Times New Roman" w:eastAsia="Times New Roman" w:hAnsi="Times New Roman" w:cs="Times New Roman"/>
          <w:sz w:val="24"/>
          <w:szCs w:val="24"/>
        </w:rPr>
        <w:t>. Dashed lines represent the nominal TIE rate and nominal coverage (0.95), respectively.</w:t>
      </w:r>
    </w:p>
    <w:p w14:paraId="4ACBC7FA" w14:textId="77777777" w:rsidR="00971880" w:rsidRDefault="00000000">
      <w:pPr>
        <w:spacing w:line="480" w:lineRule="auto"/>
        <w:ind w:left="-90"/>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634DAC5B" wp14:editId="35DA0DBB">
            <wp:extent cx="5943600" cy="3962400"/>
            <wp:effectExtent l="0" t="0" r="0" b="0"/>
            <wp:docPr id="3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7"/>
                    <a:srcRect/>
                    <a:stretch>
                      <a:fillRect/>
                    </a:stretch>
                  </pic:blipFill>
                  <pic:spPr>
                    <a:xfrm>
                      <a:off x="0" y="0"/>
                      <a:ext cx="5943600" cy="3962400"/>
                    </a:xfrm>
                    <a:prstGeom prst="rect">
                      <a:avLst/>
                    </a:prstGeom>
                    <a:ln/>
                  </pic:spPr>
                </pic:pic>
              </a:graphicData>
            </a:graphic>
          </wp:inline>
        </w:drawing>
      </w:r>
    </w:p>
    <w:p w14:paraId="06C38FE6" w14:textId="77777777" w:rsidR="0097188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Supplementary Figure 4. Mean </w:t>
      </w:r>
      <w:hyperlink r:id="rId48" w:anchor="0">
        <w:r>
          <w:rPr>
            <w:rFonts w:ascii="Times New Roman" w:eastAsia="Times New Roman" w:hAnsi="Times New Roman" w:cs="Times New Roman"/>
            <w:noProof/>
            <w:sz w:val="24"/>
            <w:szCs w:val="24"/>
          </w:rPr>
          <w:drawing>
            <wp:inline distT="19050" distB="19050" distL="19050" distR="19050" wp14:anchorId="094D7D47" wp14:editId="7CCBC510">
              <wp:extent cx="63500" cy="1524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4"/>
                      <a:srcRect/>
                      <a:stretch>
                        <a:fillRect/>
                      </a:stretch>
                    </pic:blipFill>
                    <pic:spPr>
                      <a:xfrm>
                        <a:off x="0" y="0"/>
                        <a:ext cx="63500" cy="152400"/>
                      </a:xfrm>
                      <a:prstGeom prst="rect">
                        <a:avLst/>
                      </a:prstGeom>
                      <a:ln/>
                    </pic:spPr>
                  </pic:pic>
                </a:graphicData>
              </a:graphic>
            </wp:inline>
          </w:drawing>
        </w:r>
      </w:hyperlink>
      <w:r>
        <w:rPr>
          <w:rFonts w:ascii="Times New Roman" w:eastAsia="Times New Roman" w:hAnsi="Times New Roman" w:cs="Times New Roman"/>
          <w:sz w:val="24"/>
          <w:szCs w:val="24"/>
        </w:rPr>
        <w:t xml:space="preserve"> estimates and standard deviation intervals across replicates for PCA-MR-IVW and ML (With and without the alternative weight matrix, </w:t>
      </w:r>
      <w:hyperlink r:id="rId49" w:anchor="0">
        <w:r>
          <w:rPr>
            <w:rFonts w:ascii="Times New Roman" w:eastAsia="Times New Roman" w:hAnsi="Times New Roman" w:cs="Times New Roman"/>
            <w:noProof/>
            <w:sz w:val="24"/>
            <w:szCs w:val="24"/>
          </w:rPr>
          <w:drawing>
            <wp:inline distT="19050" distB="19050" distL="19050" distR="19050" wp14:anchorId="3053E076" wp14:editId="1CD6ED0E">
              <wp:extent cx="203200" cy="114300"/>
              <wp:effectExtent l="0" t="0" r="0" b="0"/>
              <wp:docPr id="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2032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and </w:t>
      </w:r>
      <w:hyperlink r:id="rId50" w:anchor="0">
        <w:r>
          <w:rPr>
            <w:rFonts w:ascii="Times New Roman" w:eastAsia="Times New Roman" w:hAnsi="Times New Roman" w:cs="Times New Roman"/>
            <w:noProof/>
            <w:sz w:val="24"/>
            <w:szCs w:val="24"/>
          </w:rPr>
          <w:drawing>
            <wp:inline distT="19050" distB="19050" distL="19050" distR="19050" wp14:anchorId="7C50F1EC" wp14:editId="485DE1A5">
              <wp:extent cx="88900" cy="101600"/>
              <wp:effectExtent l="0" t="0" r="0" b="0"/>
              <wp:docPr id="2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88900" cy="101600"/>
                      </a:xfrm>
                      <a:prstGeom prst="rect">
                        <a:avLst/>
                      </a:prstGeom>
                      <a:ln/>
                    </pic:spPr>
                  </pic:pic>
                </a:graphicData>
              </a:graphic>
            </wp:inline>
          </w:drawing>
        </w:r>
      </w:hyperlink>
      <w:r>
        <w:rPr>
          <w:rFonts w:ascii="Times New Roman" w:eastAsia="Times New Roman" w:hAnsi="Times New Roman" w:cs="Times New Roman"/>
          <w:sz w:val="24"/>
          <w:szCs w:val="24"/>
        </w:rPr>
        <w:t xml:space="preserve"> respectively), PCA-IVW, GIVW, and GML for the first scenario regime with all valid IVs in high LD (</w:t>
      </w:r>
      <w:hyperlink r:id="rId51" w:anchor="0">
        <w:r>
          <w:rPr>
            <w:rFonts w:ascii="Times New Roman" w:eastAsia="Times New Roman" w:hAnsi="Times New Roman" w:cs="Times New Roman"/>
            <w:noProof/>
            <w:sz w:val="24"/>
            <w:szCs w:val="24"/>
          </w:rPr>
          <w:drawing>
            <wp:inline distT="19050" distB="19050" distL="19050" distR="19050" wp14:anchorId="54A65AF8" wp14:editId="0CFCC8BE">
              <wp:extent cx="457200" cy="127000"/>
              <wp:effectExtent l="0" t="0" r="0" b="0"/>
              <wp:docPr id="3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457200" cy="127000"/>
                      </a:xfrm>
                      <a:prstGeom prst="rect">
                        <a:avLst/>
                      </a:prstGeom>
                      <a:ln/>
                    </pic:spPr>
                  </pic:pic>
                </a:graphicData>
              </a:graphic>
            </wp:inline>
          </w:drawing>
        </w:r>
      </w:hyperlink>
      <w:r>
        <w:rPr>
          <w:rFonts w:ascii="Times New Roman" w:eastAsia="Times New Roman" w:hAnsi="Times New Roman" w:cs="Times New Roman"/>
          <w:sz w:val="24"/>
          <w:szCs w:val="24"/>
        </w:rPr>
        <w:t>) in the first scenario regime with weak-IVs (all valid) in high LD (</w:t>
      </w:r>
      <w:hyperlink r:id="rId52" w:anchor="0">
        <w:r>
          <w:rPr>
            <w:rFonts w:ascii="Times New Roman" w:eastAsia="Times New Roman" w:hAnsi="Times New Roman" w:cs="Times New Roman"/>
            <w:noProof/>
            <w:sz w:val="24"/>
            <w:szCs w:val="24"/>
          </w:rPr>
          <w:drawing>
            <wp:inline distT="19050" distB="19050" distL="19050" distR="19050" wp14:anchorId="58ADE309" wp14:editId="21EBAB16">
              <wp:extent cx="457200" cy="127000"/>
              <wp:effectExtent l="0" t="0" r="0" b="0"/>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457200" cy="127000"/>
                      </a:xfrm>
                      <a:prstGeom prst="rect">
                        <a:avLst/>
                      </a:prstGeom>
                      <a:ln/>
                    </pic:spPr>
                  </pic:pic>
                </a:graphicData>
              </a:graphic>
            </wp:inline>
          </w:drawing>
        </w:r>
      </w:hyperlink>
      <w:r>
        <w:rPr>
          <w:rFonts w:ascii="Times New Roman" w:eastAsia="Times New Roman" w:hAnsi="Times New Roman" w:cs="Times New Roman"/>
          <w:sz w:val="24"/>
          <w:szCs w:val="24"/>
        </w:rPr>
        <w:t xml:space="preserve">). Extreme standard deviation intervals were omitted, and extreme </w:t>
      </w:r>
      <w:hyperlink r:id="rId53" w:anchor="0">
        <w:r>
          <w:rPr>
            <w:rFonts w:ascii="Times New Roman" w:eastAsia="Times New Roman" w:hAnsi="Times New Roman" w:cs="Times New Roman"/>
            <w:noProof/>
            <w:sz w:val="24"/>
            <w:szCs w:val="24"/>
          </w:rPr>
          <w:drawing>
            <wp:inline distT="19050" distB="19050" distL="19050" distR="19050" wp14:anchorId="690F2429" wp14:editId="04EB2971">
              <wp:extent cx="63500" cy="1524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63500" cy="152400"/>
                      </a:xfrm>
                      <a:prstGeom prst="rect">
                        <a:avLst/>
                      </a:prstGeom>
                      <a:ln/>
                    </pic:spPr>
                  </pic:pic>
                </a:graphicData>
              </a:graphic>
            </wp:inline>
          </w:drawing>
        </w:r>
      </w:hyperlink>
      <w:r>
        <w:rPr>
          <w:rFonts w:ascii="Times New Roman" w:eastAsia="Times New Roman" w:hAnsi="Times New Roman" w:cs="Times New Roman"/>
          <w:sz w:val="24"/>
          <w:szCs w:val="24"/>
        </w:rPr>
        <w:t xml:space="preserve"> estimates are denoted by “</w:t>
      </w:r>
      <w:hyperlink r:id="rId54" w:anchor="0">
        <w:r>
          <w:rPr>
            <w:rFonts w:ascii="Times New Roman" w:eastAsia="Times New Roman" w:hAnsi="Times New Roman" w:cs="Times New Roman"/>
            <w:noProof/>
            <w:sz w:val="24"/>
            <w:szCs w:val="24"/>
          </w:rPr>
          <w:drawing>
            <wp:inline distT="19050" distB="19050" distL="19050" distR="19050" wp14:anchorId="4CA180C8" wp14:editId="6AD6635A">
              <wp:extent cx="50800" cy="635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50800" cy="63500"/>
                      </a:xfrm>
                      <a:prstGeom prst="rect">
                        <a:avLst/>
                      </a:prstGeom>
                      <a:ln/>
                    </pic:spPr>
                  </pic:pic>
                </a:graphicData>
              </a:graphic>
            </wp:inline>
          </w:drawing>
        </w:r>
      </w:hyperlink>
      <w:r>
        <w:rPr>
          <w:rFonts w:ascii="Times New Roman" w:eastAsia="Times New Roman" w:hAnsi="Times New Roman" w:cs="Times New Roman"/>
          <w:sz w:val="24"/>
          <w:szCs w:val="24"/>
        </w:rPr>
        <w:t>”.</w:t>
      </w:r>
    </w:p>
    <w:p w14:paraId="17742860" w14:textId="77777777" w:rsidR="00971880" w:rsidRDefault="00000000">
      <w:pPr>
        <w:spacing w:line="48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Supplementary Note 1.</w:t>
      </w:r>
    </w:p>
    <w:p w14:paraId="5E3D98BB" w14:textId="77777777" w:rsidR="0097188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alternative weight matrix extends standard precision weighting by incorporating the amount of genetic variance explained by PCs, using </w:t>
      </w:r>
      <w:hyperlink r:id="rId55" w:anchor="0">
        <w:r>
          <w:rPr>
            <w:rFonts w:ascii="Times New Roman" w:eastAsia="Times New Roman" w:hAnsi="Times New Roman" w:cs="Times New Roman"/>
            <w:noProof/>
            <w:sz w:val="24"/>
            <w:szCs w:val="24"/>
          </w:rPr>
          <w:drawing>
            <wp:inline distT="19050" distB="19050" distL="19050" distR="19050" wp14:anchorId="3DAE66B6" wp14:editId="66A72710">
              <wp:extent cx="76200" cy="114300"/>
              <wp:effectExtent l="0" t="0" r="0" b="0"/>
              <wp:docPr id="3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6"/>
                      <a:srcRect/>
                      <a:stretch>
                        <a:fillRect/>
                      </a:stretch>
                    </pic:blipFill>
                    <pic:spPr>
                      <a:xfrm>
                        <a:off x="0" y="0"/>
                        <a:ext cx="762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as a heuristic proxy for instrument relevance. PCA-MR implementations that incorporated the relevance-aware weighting scheme outperformed precision-based weighting alone, significantly reducing weak-instrument bias, increasing power, and lowering RMSE and numerical instabilities.</w:t>
      </w:r>
    </w:p>
    <w:p w14:paraId="7C191E10" w14:textId="77777777" w:rsidR="00971880" w:rsidRDefault="00000000">
      <w:pPr>
        <w:spacing w:line="48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References</w:t>
      </w:r>
    </w:p>
    <w:p w14:paraId="4DF414F4" w14:textId="77777777" w:rsidR="00952105" w:rsidRPr="00952105" w:rsidRDefault="00952105" w:rsidP="00952105">
      <w:pPr>
        <w:pStyle w:val="Bibliography"/>
        <w:rPr>
          <w:rFonts w:ascii="Times New Roman" w:hAnsi="Times New Roman" w:cs="Times New Roman"/>
          <w:sz w:val="24"/>
          <w:lang w:val="en-US"/>
        </w:rPr>
      </w:pPr>
      <w:r>
        <w:rPr>
          <w:rFonts w:eastAsia="Times New Roman"/>
        </w:rPr>
        <w:fldChar w:fldCharType="begin"/>
      </w:r>
      <w:r>
        <w:rPr>
          <w:rFonts w:eastAsia="Times New Roman"/>
        </w:rPr>
        <w:instrText xml:space="preserve"> ADDIN ZOTERO_BIBL {"uncited":[],"omitted":[],"custom":[]} CSL_BIBLIOGRAPHY </w:instrText>
      </w:r>
      <w:r>
        <w:rPr>
          <w:rFonts w:eastAsia="Times New Roman"/>
        </w:rPr>
        <w:fldChar w:fldCharType="separate"/>
      </w:r>
      <w:r w:rsidRPr="00952105">
        <w:rPr>
          <w:rFonts w:ascii="Times New Roman" w:hAnsi="Times New Roman" w:cs="Times New Roman"/>
          <w:sz w:val="24"/>
          <w:lang w:val="en-US"/>
        </w:rPr>
        <w:t>1. Hemani G, Bowden J, Davey Smith G. Evaluating the potential role of pleiotropy in Mendelian randomization studies. Hum Mol Genet [Internet]. 2018 [cited 2025 Nov 16];</w:t>
      </w:r>
      <w:proofErr w:type="gramStart"/>
      <w:r w:rsidRPr="00952105">
        <w:rPr>
          <w:rFonts w:ascii="Times New Roman" w:hAnsi="Times New Roman" w:cs="Times New Roman"/>
          <w:sz w:val="24"/>
          <w:lang w:val="en-US"/>
        </w:rPr>
        <w:t>27:R</w:t>
      </w:r>
      <w:proofErr w:type="gramEnd"/>
      <w:r w:rsidRPr="00952105">
        <w:rPr>
          <w:rFonts w:ascii="Times New Roman" w:hAnsi="Times New Roman" w:cs="Times New Roman"/>
          <w:sz w:val="24"/>
          <w:lang w:val="en-US"/>
        </w:rPr>
        <w:t>195–208. https://doi.org/10.1093/hmg/ddy163</w:t>
      </w:r>
    </w:p>
    <w:p w14:paraId="27D4C496" w14:textId="77777777" w:rsidR="00952105" w:rsidRPr="00952105" w:rsidRDefault="00952105" w:rsidP="00952105">
      <w:pPr>
        <w:pStyle w:val="Bibliography"/>
        <w:rPr>
          <w:rFonts w:ascii="Times New Roman" w:hAnsi="Times New Roman" w:cs="Times New Roman"/>
          <w:sz w:val="24"/>
          <w:lang w:val="en-US"/>
        </w:rPr>
      </w:pPr>
      <w:r w:rsidRPr="00952105">
        <w:rPr>
          <w:rFonts w:ascii="Times New Roman" w:hAnsi="Times New Roman" w:cs="Times New Roman"/>
          <w:sz w:val="24"/>
          <w:lang w:val="en-US"/>
        </w:rPr>
        <w:t>2. Bowden J, Davey Smith G, Burgess S. Mendelian randomization with invalid instruments: effect estimation and bias detection through Egger regression. Int J Epidemiol [Internet]. 2015 [cited 2025 Nov 16</w:t>
      </w:r>
      <w:proofErr w:type="gramStart"/>
      <w:r w:rsidRPr="00952105">
        <w:rPr>
          <w:rFonts w:ascii="Times New Roman" w:hAnsi="Times New Roman" w:cs="Times New Roman"/>
          <w:sz w:val="24"/>
          <w:lang w:val="en-US"/>
        </w:rPr>
        <w:t>];44:512</w:t>
      </w:r>
      <w:proofErr w:type="gramEnd"/>
      <w:r w:rsidRPr="00952105">
        <w:rPr>
          <w:rFonts w:ascii="Times New Roman" w:hAnsi="Times New Roman" w:cs="Times New Roman"/>
          <w:sz w:val="24"/>
          <w:lang w:val="en-US"/>
        </w:rPr>
        <w:t>–25. https://doi.org/10.1093/ije/dyv080</w:t>
      </w:r>
    </w:p>
    <w:p w14:paraId="28867035" w14:textId="77777777" w:rsidR="00952105" w:rsidRPr="00952105" w:rsidRDefault="00952105" w:rsidP="00952105">
      <w:pPr>
        <w:pStyle w:val="Bibliography"/>
        <w:rPr>
          <w:rFonts w:ascii="Times New Roman" w:hAnsi="Times New Roman" w:cs="Times New Roman"/>
          <w:sz w:val="24"/>
          <w:lang w:val="en-US"/>
        </w:rPr>
      </w:pPr>
      <w:r w:rsidRPr="00952105">
        <w:rPr>
          <w:rFonts w:ascii="Times New Roman" w:hAnsi="Times New Roman" w:cs="Times New Roman"/>
          <w:sz w:val="24"/>
          <w:lang w:val="en-US"/>
        </w:rPr>
        <w:t xml:space="preserve">3. Lin Z, Deng Y, Pan W. Combining the strengths of inverse-variance weighting and Egger regression in Mendelian randomization using a mixture of regressions model. </w:t>
      </w:r>
      <w:proofErr w:type="spellStart"/>
      <w:r w:rsidRPr="00952105">
        <w:rPr>
          <w:rFonts w:ascii="Times New Roman" w:hAnsi="Times New Roman" w:cs="Times New Roman"/>
          <w:sz w:val="24"/>
          <w:lang w:val="en-US"/>
        </w:rPr>
        <w:t>PLoS</w:t>
      </w:r>
      <w:proofErr w:type="spellEnd"/>
      <w:r w:rsidRPr="00952105">
        <w:rPr>
          <w:rFonts w:ascii="Times New Roman" w:hAnsi="Times New Roman" w:cs="Times New Roman"/>
          <w:sz w:val="24"/>
          <w:lang w:val="en-US"/>
        </w:rPr>
        <w:t xml:space="preserve"> Genet [Internet]. 2021 [cited 2025 Nov 14];</w:t>
      </w:r>
      <w:proofErr w:type="gramStart"/>
      <w:r w:rsidRPr="00952105">
        <w:rPr>
          <w:rFonts w:ascii="Times New Roman" w:hAnsi="Times New Roman" w:cs="Times New Roman"/>
          <w:sz w:val="24"/>
          <w:lang w:val="en-US"/>
        </w:rPr>
        <w:t>17:e</w:t>
      </w:r>
      <w:proofErr w:type="gramEnd"/>
      <w:r w:rsidRPr="00952105">
        <w:rPr>
          <w:rFonts w:ascii="Times New Roman" w:hAnsi="Times New Roman" w:cs="Times New Roman"/>
          <w:sz w:val="24"/>
          <w:lang w:val="en-US"/>
        </w:rPr>
        <w:t>1009922. https://doi.org/10.1371/journal.pgen.1009922</w:t>
      </w:r>
    </w:p>
    <w:p w14:paraId="50DBCBE2" w14:textId="488B6032" w:rsidR="00952105" w:rsidRPr="00952105" w:rsidRDefault="0095210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6AA34DBC" w14:textId="77777777" w:rsidR="00971880" w:rsidRDefault="00971880">
      <w:pPr>
        <w:spacing w:line="480" w:lineRule="auto"/>
        <w:rPr>
          <w:rFonts w:ascii="Times New Roman" w:eastAsia="Times New Roman" w:hAnsi="Times New Roman" w:cs="Times New Roman"/>
          <w:sz w:val="36"/>
          <w:szCs w:val="36"/>
        </w:rPr>
      </w:pPr>
    </w:p>
    <w:p w14:paraId="15EA2427" w14:textId="77777777" w:rsidR="00971880" w:rsidRDefault="00971880">
      <w:pPr>
        <w:spacing w:line="480" w:lineRule="auto"/>
        <w:ind w:left="880" w:hanging="440"/>
        <w:rPr>
          <w:rFonts w:ascii="Times New Roman" w:eastAsia="Times New Roman" w:hAnsi="Times New Roman" w:cs="Times New Roman"/>
          <w:sz w:val="24"/>
          <w:szCs w:val="24"/>
        </w:rPr>
      </w:pPr>
    </w:p>
    <w:p w14:paraId="5279B380" w14:textId="77777777" w:rsidR="00971880" w:rsidRDefault="00971880">
      <w:pPr>
        <w:spacing w:line="480" w:lineRule="auto"/>
        <w:rPr>
          <w:rFonts w:ascii="Times New Roman" w:eastAsia="Times New Roman" w:hAnsi="Times New Roman" w:cs="Times New Roman"/>
          <w:sz w:val="24"/>
          <w:szCs w:val="24"/>
        </w:rPr>
      </w:pPr>
    </w:p>
    <w:p w14:paraId="21E80C58" w14:textId="77777777" w:rsidR="00971880" w:rsidRDefault="00971880">
      <w:pPr>
        <w:spacing w:line="480" w:lineRule="auto"/>
        <w:rPr>
          <w:rFonts w:ascii="Times New Roman" w:eastAsia="Times New Roman" w:hAnsi="Times New Roman" w:cs="Times New Roman"/>
          <w:b/>
          <w:bCs/>
          <w:sz w:val="24"/>
          <w:szCs w:val="24"/>
        </w:rPr>
      </w:pPr>
    </w:p>
    <w:p w14:paraId="5E2E5373" w14:textId="77777777" w:rsidR="00971880" w:rsidRDefault="00971880">
      <w:pPr>
        <w:spacing w:line="480" w:lineRule="auto"/>
        <w:ind w:left="-90"/>
        <w:rPr>
          <w:rFonts w:ascii="Times New Roman" w:eastAsia="Times New Roman" w:hAnsi="Times New Roman" w:cs="Times New Roman"/>
          <w:b/>
          <w:bCs/>
          <w:sz w:val="24"/>
          <w:szCs w:val="24"/>
        </w:rPr>
      </w:pPr>
    </w:p>
    <w:p w14:paraId="3244478F" w14:textId="77777777" w:rsidR="00971880" w:rsidRDefault="00971880">
      <w:pPr>
        <w:spacing w:line="480" w:lineRule="auto"/>
        <w:ind w:left="-90"/>
        <w:rPr>
          <w:rFonts w:ascii="Times New Roman" w:eastAsia="Times New Roman" w:hAnsi="Times New Roman" w:cs="Times New Roman"/>
          <w:b/>
          <w:bCs/>
          <w:sz w:val="24"/>
          <w:szCs w:val="24"/>
        </w:rPr>
      </w:pPr>
    </w:p>
    <w:p w14:paraId="0079F831" w14:textId="77777777" w:rsidR="00971880" w:rsidRDefault="00971880">
      <w:pPr>
        <w:spacing w:line="480" w:lineRule="auto"/>
        <w:ind w:left="-90"/>
        <w:rPr>
          <w:rFonts w:ascii="Times New Roman" w:eastAsia="Times New Roman" w:hAnsi="Times New Roman" w:cs="Times New Roman"/>
          <w:b/>
          <w:bCs/>
          <w:sz w:val="24"/>
          <w:szCs w:val="24"/>
        </w:rPr>
      </w:pPr>
    </w:p>
    <w:p w14:paraId="62332EF7" w14:textId="77777777" w:rsidR="00971880" w:rsidRDefault="00971880">
      <w:pPr>
        <w:spacing w:line="480" w:lineRule="auto"/>
        <w:ind w:left="-90"/>
        <w:rPr>
          <w:rFonts w:ascii="Times New Roman" w:eastAsia="Times New Roman" w:hAnsi="Times New Roman" w:cs="Times New Roman"/>
          <w:b/>
          <w:bCs/>
          <w:sz w:val="24"/>
          <w:szCs w:val="24"/>
        </w:rPr>
      </w:pPr>
    </w:p>
    <w:p w14:paraId="609D984A" w14:textId="77777777" w:rsidR="00971880" w:rsidRDefault="00971880">
      <w:pPr>
        <w:spacing w:line="480" w:lineRule="auto"/>
        <w:ind w:left="-90"/>
        <w:rPr>
          <w:rFonts w:ascii="Times New Roman" w:eastAsia="Times New Roman" w:hAnsi="Times New Roman" w:cs="Times New Roman"/>
          <w:b/>
          <w:bCs/>
          <w:sz w:val="24"/>
          <w:szCs w:val="24"/>
        </w:rPr>
      </w:pPr>
    </w:p>
    <w:p w14:paraId="18E83D08" w14:textId="77777777" w:rsidR="00971880" w:rsidRDefault="00971880">
      <w:pPr>
        <w:spacing w:line="480" w:lineRule="auto"/>
        <w:rPr>
          <w:rFonts w:ascii="Times New Roman" w:eastAsia="Times New Roman" w:hAnsi="Times New Roman" w:cs="Times New Roman"/>
          <w:b/>
          <w:bCs/>
          <w:sz w:val="24"/>
          <w:szCs w:val="24"/>
        </w:rPr>
      </w:pPr>
    </w:p>
    <w:p w14:paraId="207A0FD5" w14:textId="77777777" w:rsidR="00971880" w:rsidRDefault="00971880">
      <w:pPr>
        <w:spacing w:line="480" w:lineRule="auto"/>
        <w:ind w:left="-90"/>
        <w:rPr>
          <w:rFonts w:ascii="Times New Roman" w:eastAsia="Times New Roman" w:hAnsi="Times New Roman" w:cs="Times New Roman"/>
          <w:b/>
          <w:bCs/>
          <w:sz w:val="24"/>
          <w:szCs w:val="24"/>
        </w:rPr>
      </w:pPr>
    </w:p>
    <w:p w14:paraId="05BE3380" w14:textId="77777777" w:rsidR="00971880" w:rsidRDefault="00971880">
      <w:pPr>
        <w:spacing w:line="480" w:lineRule="auto"/>
        <w:ind w:left="-90"/>
        <w:rPr>
          <w:rFonts w:ascii="Times New Roman" w:eastAsia="Times New Roman" w:hAnsi="Times New Roman" w:cs="Times New Roman"/>
          <w:b/>
          <w:bCs/>
          <w:sz w:val="24"/>
          <w:szCs w:val="24"/>
        </w:rPr>
      </w:pPr>
    </w:p>
    <w:sectPr w:rsidR="00971880">
      <w:headerReference w:type="default" r:id="rId5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4F25B" w14:textId="77777777" w:rsidR="00175296" w:rsidRDefault="00175296">
      <w:pPr>
        <w:spacing w:line="240" w:lineRule="auto"/>
      </w:pPr>
      <w:r>
        <w:separator/>
      </w:r>
    </w:p>
  </w:endnote>
  <w:endnote w:type="continuationSeparator" w:id="0">
    <w:p w14:paraId="50FDE743" w14:textId="77777777" w:rsidR="00175296" w:rsidRDefault="001752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80266B26-6528-2847-950E-AE7173827FF5}"/>
    <w:embedItalic r:id="rId2" w:fontKey="{C747F859-D567-6E4C-8745-5642EC768BDC}"/>
  </w:font>
  <w:font w:name="Times New Roman">
    <w:panose1 w:val="02020603050405020304"/>
    <w:charset w:val="00"/>
    <w:family w:val="roman"/>
    <w:pitch w:val="variable"/>
    <w:sig w:usb0="E0002EFF" w:usb1="C000785B" w:usb2="00000009" w:usb3="00000000" w:csb0="000001FF" w:csb1="00000000"/>
    <w:embedRegular r:id="rId3" w:fontKey="{7516BD78-1B2E-2F47-BFAD-9B693FE25402}"/>
    <w:embedBold r:id="rId4" w:fontKey="{D40750B0-CCC8-4C4D-A61F-761C3EE5860B}"/>
  </w:font>
  <w:font w:name="Calibri">
    <w:panose1 w:val="020F0502020204030204"/>
    <w:charset w:val="00"/>
    <w:family w:val="swiss"/>
    <w:pitch w:val="variable"/>
    <w:sig w:usb0="E4002EFF" w:usb1="C200247B" w:usb2="00000009" w:usb3="00000000" w:csb0="000001FF" w:csb1="00000000"/>
    <w:embedRegular r:id="rId5" w:fontKey="{5D2BF1D7-DA8F-AB43-B9D7-A51192174397}"/>
  </w:font>
  <w:font w:name="Cambria">
    <w:panose1 w:val="02040503050406030204"/>
    <w:charset w:val="00"/>
    <w:family w:val="roman"/>
    <w:pitch w:val="variable"/>
    <w:sig w:usb0="E00006FF" w:usb1="420024FF" w:usb2="02000000" w:usb3="00000000" w:csb0="0000019F" w:csb1="00000000"/>
    <w:embedRegular r:id="rId6" w:fontKey="{F5FE364A-357D-A648-9C6C-85BFF12C15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EDBC" w14:textId="77777777" w:rsidR="00175296" w:rsidRDefault="00175296">
      <w:pPr>
        <w:spacing w:line="240" w:lineRule="auto"/>
      </w:pPr>
      <w:r>
        <w:separator/>
      </w:r>
    </w:p>
  </w:footnote>
  <w:footnote w:type="continuationSeparator" w:id="0">
    <w:p w14:paraId="1B35EEFF" w14:textId="77777777" w:rsidR="00175296" w:rsidRDefault="001752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02D4" w14:textId="77777777" w:rsidR="00971880" w:rsidRDefault="0097188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880"/>
    <w:rsid w:val="00175296"/>
    <w:rsid w:val="00483A99"/>
    <w:rsid w:val="00612367"/>
    <w:rsid w:val="007858DD"/>
    <w:rsid w:val="00952105"/>
    <w:rsid w:val="00971880"/>
    <w:rsid w:val="00E44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94CB11"/>
  <w15:docId w15:val="{23240934-CA6A-B248-9EFD-F68B5EBD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Bibliography">
    <w:name w:val="Bibliography"/>
    <w:basedOn w:val="Normal"/>
    <w:next w:val="Normal"/>
    <w:uiPriority w:val="37"/>
    <w:unhideWhenUsed/>
    <w:rsid w:val="00952105"/>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codecogs.com/eqnedit.php?latex=%5Cphi%20%3D%20%5Cfrac%7B%5Cmathrm%7Br%7D%5E%7B%5Cmathrm%7BT%7D%7D%20%5Cmathrm%7BW%7D_%7B%5CLambda%7D%20%5Cmathrm%7Br%7D%7D%7B%5Cmathrm%7Bdf%7D%7D" TargetMode="External"/><Relationship Id="rId26" Type="http://schemas.openxmlformats.org/officeDocument/2006/relationships/image" Target="media/image11.png"/><Relationship Id="rId39" Type="http://schemas.openxmlformats.org/officeDocument/2006/relationships/hyperlink" Target="https://www.codecogs.com/eqnedit.php?latex=*" TargetMode="External"/><Relationship Id="rId21" Type="http://schemas.openxmlformats.org/officeDocument/2006/relationships/image" Target="media/image8.png"/><Relationship Id="rId34" Type="http://schemas.openxmlformats.org/officeDocument/2006/relationships/image" Target="media/image15.png"/><Relationship Id="rId42" Type="http://schemas.openxmlformats.org/officeDocument/2006/relationships/hyperlink" Target="https://www.codecogs.com/eqnedit.php?latex=%5Calpha%20%3D%200.05" TargetMode="External"/><Relationship Id="rId47" Type="http://schemas.openxmlformats.org/officeDocument/2006/relationships/image" Target="media/image18.png"/><Relationship Id="rId50" Type="http://schemas.openxmlformats.org/officeDocument/2006/relationships/hyperlink" Target="https://www.codecogs.com/eqnedit.php?latex=%5COmega" TargetMode="External"/><Relationship Id="rId55" Type="http://schemas.openxmlformats.org/officeDocument/2006/relationships/hyperlink" Target="https://www.codecogs.com/eqnedit.php?latex=%5Clambda" TargetMode="Externa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www.codecogs.com/eqnedit.php?latex=(14)" TargetMode="External"/><Relationship Id="rId29" Type="http://schemas.openxmlformats.org/officeDocument/2006/relationships/hyperlink" Target="https://www.codecogs.com/eqnedit.php?latex=%5Crho%20%3D%200.9" TargetMode="Externa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hyperlink" Target="https://www.codecogs.com/eqnedit.php?latex=%5Crho%20%3D%200.9" TargetMode="External"/><Relationship Id="rId40" Type="http://schemas.openxmlformats.org/officeDocument/2006/relationships/image" Target="media/image16.png"/><Relationship Id="rId45" Type="http://schemas.openxmlformats.org/officeDocument/2006/relationships/hyperlink" Target="https://www.codecogs.com/eqnedit.php?latex=%5Crho%20%3D%200.9" TargetMode="External"/><Relationship Id="rId53" Type="http://schemas.openxmlformats.org/officeDocument/2006/relationships/hyperlink" Target="https://www.codecogs.com/eqnedit.php?latex=%5Chat%7B%5Ctheta%7D" TargetMode="External"/><Relationship Id="rId58" Type="http://schemas.openxmlformats.org/officeDocument/2006/relationships/fontTable" Target="fontTable.xml"/><Relationship Id="rId5"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www.codecogs.com/eqnedit.php?latex=%5Cmathrm%7BVar%5Cleft(%20%5Cgenfrac%7B%7D%7B%7D%7B0pt%7D%7B%7D%7B%5Calpha%7D%7B%5Chat%7B%5Ctheta%7D%7D%20%5Cright)%7D%20%3D%7B%5Cphi%7D%20%5Cmathrm%7B(X%5E%7BT%7D%20%5Ctilde%7BW%7D_%7B%5CLambda%7D%20X)%5E%7B-1%7D" TargetMode="External"/><Relationship Id="rId22" Type="http://schemas.openxmlformats.org/officeDocument/2006/relationships/image" Target="media/image9.png"/><Relationship Id="rId27" Type="http://schemas.openxmlformats.org/officeDocument/2006/relationships/hyperlink" Target="https://www.codecogs.com/eqnedit.php?latex=%5COmega" TargetMode="External"/><Relationship Id="rId30" Type="http://schemas.openxmlformats.org/officeDocument/2006/relationships/hyperlink" Target="https://www.codecogs.com/eqnedit.php?latex=%5Ctheta" TargetMode="External"/><Relationship Id="rId35" Type="http://schemas.openxmlformats.org/officeDocument/2006/relationships/hyperlink" Target="https://www.codecogs.com/eqnedit.php?latex=%5CLambda%20%5COmega" TargetMode="External"/><Relationship Id="rId43" Type="http://schemas.openxmlformats.org/officeDocument/2006/relationships/hyperlink" Target="https://www.codecogs.com/eqnedit.php?latex=%5CLambda%20%5COmega" TargetMode="External"/><Relationship Id="rId48" Type="http://schemas.openxmlformats.org/officeDocument/2006/relationships/hyperlink" Target="https://www.codecogs.com/eqnedit.php?latex=%5Chat%7B%5Ctheta%7D" TargetMode="External"/><Relationship Id="rId56" Type="http://schemas.openxmlformats.org/officeDocument/2006/relationships/image" Target="media/image19.png"/><Relationship Id="rId8" Type="http://schemas.openxmlformats.org/officeDocument/2006/relationships/hyperlink" Target="https://www.codecogs.com/eqnedit.php?latex=(13)" TargetMode="External"/><Relationship Id="rId51" Type="http://schemas.openxmlformats.org/officeDocument/2006/relationships/hyperlink" Target="https://www.codecogs.com/eqnedit.php?latex=%5Crho%20%3D%200.9" TargetMode="External"/><Relationship Id="rId3" Type="http://schemas.openxmlformats.org/officeDocument/2006/relationships/webSettings" Target="webSettings.xml"/><Relationship Id="rId12" Type="http://schemas.openxmlformats.org/officeDocument/2006/relationships/hyperlink" Target="https://www.codecogs.com/eqnedit.php?latex=%5Cleft(%20%5Cgenfrac%7B%7D%7B%7D%7B0pt%7D%7B%7D%7B%5Calpha%7D%7B%5Chat%7B%5Ctheta%7D%7D%20%5Cright)%20%3D%20(X%5E%7BT%7D%5Ctilde%7BW_%7B%5CLambda%7D%7DX)%5E%7B-1%7D%20(X%5E%7BT%7D%5Ctilde%7BW%7D_%7B%5CLambda%7D%5Ctilde%7B%5Cbeta%7D_Y)%2C%20%5C%20X%20%3D%20%5Cmathrm%7B%5B1%2C%20%5Ctilde%7B%5Cbeta%7D_X%5D" TargetMode="External"/><Relationship Id="rId17" Type="http://schemas.openxmlformats.org/officeDocument/2006/relationships/image" Target="media/image6.png"/><Relationship Id="rId25" Type="http://schemas.openxmlformats.org/officeDocument/2006/relationships/hyperlink" Target="https://www.codecogs.com/eqnedit.php?latex=%5CLambda%20%5COmega" TargetMode="External"/><Relationship Id="rId33" Type="http://schemas.openxmlformats.org/officeDocument/2006/relationships/hyperlink" Target="https://www.codecogs.com/eqnedit.php?latex=%5Chat%7B%5Ctheta%7D" TargetMode="External"/><Relationship Id="rId38" Type="http://schemas.openxmlformats.org/officeDocument/2006/relationships/hyperlink" Target="https://www.codecogs.com/eqnedit.php?latex=%5Chat%7B%5Ctheta%7D" TargetMode="External"/><Relationship Id="rId46" Type="http://schemas.openxmlformats.org/officeDocument/2006/relationships/hyperlink" Target="https://www.codecogs.com/eqnedit.php?latex=%5Ctheta" TargetMode="External"/><Relationship Id="rId59" Type="http://schemas.openxmlformats.org/officeDocument/2006/relationships/theme" Target="theme/theme1.xml"/><Relationship Id="rId20" Type="http://schemas.openxmlformats.org/officeDocument/2006/relationships/hyperlink" Target="https://www.codecogs.com/eqnedit.php?latex=%5Crho%20%3D%200.9" TargetMode="External"/><Relationship Id="rId41" Type="http://schemas.openxmlformats.org/officeDocument/2006/relationships/image" Target="media/image17.png"/><Relationship Id="rId54" Type="http://schemas.openxmlformats.org/officeDocument/2006/relationships/hyperlink" Target="https://www.codecogs.com/eqnedit.php?latex=*" TargetMode="External"/><Relationship Id="rId1" Type="http://schemas.openxmlformats.org/officeDocument/2006/relationships/styles" Target="styles.xml"/><Relationship Id="rId6" Type="http://schemas.openxmlformats.org/officeDocument/2006/relationships/hyperlink" Target="https://www.codecogs.com/eqnedit.php?latex=%5Ctilde%7B%5Cbeta%7D_%7BY%2C%20i%7D%3D%5Chat%7B%5Ctheta%7D%20%5Ctilde%7B%5Cbeta%7D_%7BX%2C%20i%7D%2B%5Calpha_%7Bi%7D%2B%5Cepsilon_%7Bi%7D%20%2C%20%5C%20%5Cepsilon_%7Bi%7D%5Csim%5Cmathcal%7BN%7D(0%2C%5Cphi%5Ctilde%7B%5CSigma%7D_%7BY%7D)" TargetMode="External"/><Relationship Id="rId15" Type="http://schemas.openxmlformats.org/officeDocument/2006/relationships/image" Target="media/image5.png"/><Relationship Id="rId23" Type="http://schemas.openxmlformats.org/officeDocument/2006/relationships/hyperlink" Target="https://www.codecogs.com/eqnedit.php?latex=%5Calpha%20%3D%200.05" TargetMode="External"/><Relationship Id="rId28" Type="http://schemas.openxmlformats.org/officeDocument/2006/relationships/image" Target="media/image12.png"/><Relationship Id="rId36" Type="http://schemas.openxmlformats.org/officeDocument/2006/relationships/hyperlink" Target="https://www.codecogs.com/eqnedit.php?latex=%5COmega" TargetMode="External"/><Relationship Id="rId49" Type="http://schemas.openxmlformats.org/officeDocument/2006/relationships/hyperlink" Target="https://www.codecogs.com/eqnedit.php?latex=%5CLambda%20%5COmega" TargetMode="External"/><Relationship Id="rId57" Type="http://schemas.openxmlformats.org/officeDocument/2006/relationships/header" Target="header1.xml"/><Relationship Id="rId10" Type="http://schemas.openxmlformats.org/officeDocument/2006/relationships/hyperlink" Target="https://www.codecogs.com/eqnedit.php?latex=%5Calpha_%7Bi%7D" TargetMode="External"/><Relationship Id="rId31" Type="http://schemas.openxmlformats.org/officeDocument/2006/relationships/image" Target="media/image13.png"/><Relationship Id="rId44" Type="http://schemas.openxmlformats.org/officeDocument/2006/relationships/hyperlink" Target="https://www.codecogs.com/eqnedit.php?latex=%5COmega" TargetMode="External"/><Relationship Id="rId52" Type="http://schemas.openxmlformats.org/officeDocument/2006/relationships/hyperlink" Target="https://www.codecogs.com/eqnedit.php?latex=%5Crho%20%3D%200.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2538</Words>
  <Characters>14471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Lawrence, Christopher</cp:lastModifiedBy>
  <cp:revision>2</cp:revision>
  <dcterms:created xsi:type="dcterms:W3CDTF">2026-04-24T23:06:00Z</dcterms:created>
  <dcterms:modified xsi:type="dcterms:W3CDTF">2026-04-24T23:06:00Z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zotero-version="8.0.5"&gt;&lt;session id="WkrjMyOB"/&gt;&lt;style id="http://www.zotero.org/styles/genome-biology" hasBibliography="1" bibliographyStyleHasBeenSet="1"/&gt;&lt;prefs&gt;&lt;pref name="fieldType" value="Field"/&gt;&lt;/prefs&gt;&lt;/data&gt;</vt:lpwstr>
  </property>
</Properties>
</file>