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05467" w:rsidRPr="00A4111F" w:rsidRDefault="00000000">
      <w:pPr>
        <w:spacing w:after="60"/>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34"/>
          <w:szCs w:val="34"/>
        </w:rPr>
        <w:t>Study Selection and Inter-Rater Reliability</w:t>
      </w:r>
    </w:p>
    <w:p w:rsidR="00505467" w:rsidRPr="00A4111F" w:rsidRDefault="00000000">
      <w:pPr>
        <w:spacing w:after="40"/>
        <w:jc w:val="center"/>
        <w:rPr>
          <w:rFonts w:ascii="Times New Roman" w:hAnsi="Times New Roman" w:cs="Times New Roman"/>
          <w:color w:val="000000" w:themeColor="text1"/>
        </w:rPr>
      </w:pPr>
      <w:r w:rsidRPr="00A4111F">
        <w:rPr>
          <w:rFonts w:ascii="Times New Roman" w:hAnsi="Times New Roman" w:cs="Times New Roman"/>
          <w:i/>
          <w:iCs/>
          <w:color w:val="000000" w:themeColor="text1"/>
        </w:rPr>
        <w:t>Consumer Trust, Data Privacy, and Emerging Cybersecurity in Islamic Digital Banking: A Bibliometric and Systematic Review</w:t>
      </w:r>
    </w:p>
    <w:p w:rsidR="00505467" w:rsidRPr="00A4111F" w:rsidRDefault="00000000">
      <w:pPr>
        <w:spacing w:after="200"/>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Methods and Results</w:t>
      </w:r>
      <w:r w:rsidR="00A4111F">
        <w:rPr>
          <w:rFonts w:ascii="Times New Roman" w:hAnsi="Times New Roman" w:cs="Times New Roman"/>
          <w:color w:val="000000" w:themeColor="text1"/>
          <w:sz w:val="20"/>
          <w:szCs w:val="20"/>
        </w:rPr>
        <w:t>,</w:t>
      </w:r>
      <w:r w:rsidRPr="00A4111F">
        <w:rPr>
          <w:rFonts w:ascii="Times New Roman" w:hAnsi="Times New Roman" w:cs="Times New Roman"/>
          <w:color w:val="000000" w:themeColor="text1"/>
          <w:sz w:val="20"/>
          <w:szCs w:val="20"/>
        </w:rPr>
        <w:t xml:space="preserve"> independent dual-reviewer eligibility screening (N = 200 records)</w:t>
      </w:r>
    </w:p>
    <w:p w:rsidR="00505467" w:rsidRPr="00A4111F" w:rsidRDefault="00000000">
      <w:pPr>
        <w:pStyle w:val="Heading1"/>
        <w:rPr>
          <w:rFonts w:ascii="Times New Roman" w:hAnsi="Times New Roman" w:cs="Times New Roman"/>
          <w:color w:val="000000" w:themeColor="text1"/>
        </w:rPr>
      </w:pPr>
      <w:r w:rsidRPr="00A4111F">
        <w:rPr>
          <w:rFonts w:ascii="Times New Roman" w:hAnsi="Times New Roman" w:cs="Times New Roman"/>
          <w:color w:val="000000" w:themeColor="text1"/>
        </w:rPr>
        <w:t>1.  Overview</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Title-and-record screening of the retrieved corpus was conducted by two reviewers working </w:t>
      </w:r>
      <w:r w:rsidRPr="00A4111F">
        <w:rPr>
          <w:rFonts w:ascii="Times New Roman" w:hAnsi="Times New Roman" w:cs="Times New Roman"/>
          <w:b/>
          <w:bCs/>
          <w:color w:val="000000" w:themeColor="text1"/>
        </w:rPr>
        <w:t>fully independently</w:t>
      </w:r>
      <w:r w:rsidRPr="00A4111F">
        <w:rPr>
          <w:rFonts w:ascii="Times New Roman" w:hAnsi="Times New Roman" w:cs="Times New Roman"/>
          <w:color w:val="000000" w:themeColor="text1"/>
        </w:rPr>
        <w:t>, each applying the same written eligibility criteria through the lens of their professional background. Inter-rater reliability was quantified using Cohen’s kappa (</w:t>
      </w:r>
      <w:r w:rsidRPr="00A4111F">
        <w:rPr>
          <w:rFonts w:ascii="Times New Roman" w:hAnsi="Times New Roman" w:cs="Times New Roman"/>
          <w:i/>
          <w:iCs/>
          <w:color w:val="000000" w:themeColor="text1"/>
        </w:rPr>
        <w:t>κ</w:t>
      </w:r>
      <w:r w:rsidRPr="00A4111F">
        <w:rPr>
          <w:rFonts w:ascii="Times New Roman" w:hAnsi="Times New Roman" w:cs="Times New Roman"/>
          <w:color w:val="000000" w:themeColor="text1"/>
        </w:rPr>
        <w:t>). This document reports the screening procedure, the complete article-level decision table, the 2×2 agreement matrix, the step-by-step computation of observed and expected agreement, the resulting kappa value, its interpretation on the Landis and Koch (1977) scale, and a structured analysis of every disagreement. All reported figures are computed directly from the screening decisions; none are estimated or imputed.</w:t>
      </w:r>
    </w:p>
    <w:p w:rsidR="00505467" w:rsidRPr="00A4111F" w:rsidRDefault="00000000">
      <w:pPr>
        <w:pStyle w:val="Heading1"/>
        <w:rPr>
          <w:rFonts w:ascii="Times New Roman" w:hAnsi="Times New Roman" w:cs="Times New Roman"/>
          <w:color w:val="000000" w:themeColor="text1"/>
        </w:rPr>
      </w:pPr>
      <w:r w:rsidRPr="00A4111F">
        <w:rPr>
          <w:rFonts w:ascii="Times New Roman" w:hAnsi="Times New Roman" w:cs="Times New Roman"/>
          <w:color w:val="000000" w:themeColor="text1"/>
        </w:rPr>
        <w:t>2.  Data Source and Corpus</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The screening corpus comprised </w:t>
      </w:r>
      <w:r w:rsidRPr="00A4111F">
        <w:rPr>
          <w:rFonts w:ascii="Times New Roman" w:hAnsi="Times New Roman" w:cs="Times New Roman"/>
          <w:b/>
          <w:bCs/>
          <w:color w:val="000000" w:themeColor="text1"/>
        </w:rPr>
        <w:t>200 bibliographic records</w:t>
      </w:r>
      <w:r w:rsidRPr="00A4111F">
        <w:rPr>
          <w:rFonts w:ascii="Times New Roman" w:hAnsi="Times New Roman" w:cs="Times New Roman"/>
          <w:color w:val="000000" w:themeColor="text1"/>
        </w:rPr>
        <w:t xml:space="preserve"> identified through Scopus and exported via Publish-or-Perish (file tier1_scopus_200.csv). Each record carried title, author, year (range 2010–2025), source title, citation counts, document type and DOI; the abstract and author-keyword fields were empty in the export. One exact duplicate was present (record 2 and record 7, “Islam and mammon: The economic predicaments of Islamism”); it was retained in the screening frame so that the agreement statistic is computed over the dataset as supplied, and both reviewers treated the two instances identically. Document types were 177 articles, 11 reviews, 7 books, 4 conference papers and 1 book chapter.</w:t>
      </w:r>
    </w:p>
    <w:p w:rsidR="00505467" w:rsidRPr="00A4111F" w:rsidRDefault="00000000">
      <w:pPr>
        <w:pStyle w:val="Heading1"/>
        <w:rPr>
          <w:rFonts w:ascii="Times New Roman" w:hAnsi="Times New Roman" w:cs="Times New Roman"/>
          <w:color w:val="000000" w:themeColor="text1"/>
        </w:rPr>
      </w:pPr>
      <w:r w:rsidRPr="00A4111F">
        <w:rPr>
          <w:rFonts w:ascii="Times New Roman" w:hAnsi="Times New Roman" w:cs="Times New Roman"/>
          <w:color w:val="000000" w:themeColor="text1"/>
        </w:rPr>
        <w:t>3.  Eligibility Criteria</w:t>
      </w:r>
    </w:p>
    <w:p w:rsidR="00505467" w:rsidRPr="00A4111F" w:rsidRDefault="00000000">
      <w:pPr>
        <w:spacing w:after="140" w:line="276" w:lineRule="auto"/>
        <w:rPr>
          <w:rFonts w:ascii="Times New Roman" w:hAnsi="Times New Roman" w:cs="Times New Roman"/>
          <w:color w:val="000000" w:themeColor="text1"/>
        </w:rPr>
      </w:pPr>
      <w:r w:rsidRPr="00A4111F">
        <w:rPr>
          <w:rFonts w:ascii="Times New Roman" w:hAnsi="Times New Roman" w:cs="Times New Roman"/>
          <w:color w:val="000000" w:themeColor="text1"/>
        </w:rPr>
        <w:t>Both reviewers applied the following shared criteria. A record was eligible if it was directly related to one or more of the listed in-scope topics and did not fall into an exclusion category.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4111F" w:rsidRPr="00A4111F">
        <w:tblPrEx>
          <w:tblCellMar>
            <w:top w:w="0" w:type="dxa"/>
            <w:bottom w:w="0" w:type="dxa"/>
          </w:tblCellMar>
        </w:tblPrEx>
        <w:trPr>
          <w:tblHeader/>
        </w:trPr>
        <w:tc>
          <w:tcPr>
            <w:tcW w:w="468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Include if directly related to</w:t>
            </w:r>
          </w:p>
        </w:tc>
        <w:tc>
          <w:tcPr>
            <w:tcW w:w="468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Exclude if primarily about</w:t>
            </w:r>
          </w:p>
        </w:tc>
      </w:tr>
      <w:tr w:rsidR="00A4111F" w:rsidRPr="00A4111F">
        <w:tblPrEx>
          <w:tblCellMar>
            <w:top w:w="0" w:type="dxa"/>
            <w:bottom w:w="0" w:type="dxa"/>
          </w:tblCellMar>
        </w:tblPrEx>
        <w:tc>
          <w:tcPr>
            <w:tcW w:w="46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 xml:space="preserve">Islamic digital banking; Islamic FinTech; consumer trust; data privacy; cybersecurity; information security; online banking; mobile banking; digital financial services; customer </w:t>
            </w:r>
            <w:proofErr w:type="spellStart"/>
            <w:r w:rsidRPr="00A4111F">
              <w:rPr>
                <w:rFonts w:ascii="Times New Roman" w:hAnsi="Times New Roman" w:cs="Times New Roman"/>
                <w:color w:val="000000" w:themeColor="text1"/>
                <w:sz w:val="20"/>
                <w:szCs w:val="20"/>
              </w:rPr>
              <w:t>behaviour</w:t>
            </w:r>
            <w:proofErr w:type="spellEnd"/>
            <w:r w:rsidRPr="00A4111F">
              <w:rPr>
                <w:rFonts w:ascii="Times New Roman" w:hAnsi="Times New Roman" w:cs="Times New Roman"/>
                <w:color w:val="000000" w:themeColor="text1"/>
                <w:sz w:val="20"/>
                <w:szCs w:val="20"/>
              </w:rPr>
              <w:t>; technology adoption; privacy protection; cyber risk; secure digital transactions; Islamic financial institutions.</w:t>
            </w:r>
          </w:p>
        </w:tc>
        <w:tc>
          <w:tcPr>
            <w:tcW w:w="46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Conventional banking with no Islamic context; blockchain/cryptocurrency with no consumer or Islamic-banking relevance; purely technical encryption/network-engineering with no banking application; healthcare, education, manufacturing, IoT or other unrelated domains; non-English publications; editorials, book reviews, notes or non-scholarly items.</w:t>
            </w:r>
          </w:p>
        </w:tc>
      </w:tr>
    </w:tbl>
    <w:p w:rsidR="00505467" w:rsidRPr="00A4111F" w:rsidRDefault="00505467">
      <w:pPr>
        <w:spacing w:after="140" w:line="276" w:lineRule="auto"/>
        <w:rPr>
          <w:rFonts w:ascii="Times New Roman" w:hAnsi="Times New Roman" w:cs="Times New Roman"/>
          <w:color w:val="000000" w:themeColor="text1"/>
        </w:rPr>
      </w:pPr>
    </w:p>
    <w:p w:rsidR="00505467" w:rsidRPr="00A4111F" w:rsidRDefault="00000000">
      <w:pPr>
        <w:pStyle w:val="Heading1"/>
        <w:rPr>
          <w:rFonts w:ascii="Times New Roman" w:hAnsi="Times New Roman" w:cs="Times New Roman"/>
          <w:color w:val="000000" w:themeColor="text1"/>
        </w:rPr>
      </w:pPr>
      <w:r w:rsidRPr="00A4111F">
        <w:rPr>
          <w:rFonts w:ascii="Times New Roman" w:hAnsi="Times New Roman" w:cs="Times New Roman"/>
          <w:color w:val="000000" w:themeColor="text1"/>
        </w:rPr>
        <w:t>4.  Independent Dual-Reviewer Design</w:t>
      </w:r>
    </w:p>
    <w:p w:rsidR="00505467" w:rsidRPr="00A4111F" w:rsidRDefault="00000000">
      <w:pPr>
        <w:spacing w:after="140" w:line="276" w:lineRule="auto"/>
        <w:rPr>
          <w:rFonts w:ascii="Times New Roman" w:hAnsi="Times New Roman" w:cs="Times New Roman"/>
          <w:color w:val="000000" w:themeColor="text1"/>
        </w:rPr>
      </w:pPr>
      <w:r w:rsidRPr="00A4111F">
        <w:rPr>
          <w:rFonts w:ascii="Times New Roman" w:hAnsi="Times New Roman" w:cs="Times New Roman"/>
          <w:color w:val="000000" w:themeColor="text1"/>
        </w:rPr>
        <w:t>To obtain a realistic inter-rater reliability estimate, the two reviewers represented deliberately different disciplinary vantage points. Each was instructed to focus primarily on the contribution dimension matching their expertise; genuine differences arising from this divergence were preserved rather than reconciled during the independent stage.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3930"/>
        <w:gridCol w:w="3930"/>
      </w:tblGrid>
      <w:tr w:rsidR="00A4111F" w:rsidRPr="00A4111F">
        <w:tblPrEx>
          <w:tblCellMar>
            <w:top w:w="0" w:type="dxa"/>
            <w:bottom w:w="0" w:type="dxa"/>
          </w:tblCellMar>
        </w:tblPrEx>
        <w:trPr>
          <w:tblHeader/>
        </w:trPr>
        <w:tc>
          <w:tcPr>
            <w:tcW w:w="150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505467">
            <w:pPr>
              <w:rPr>
                <w:rFonts w:ascii="Times New Roman" w:hAnsi="Times New Roman" w:cs="Times New Roman"/>
                <w:color w:val="000000" w:themeColor="text1"/>
              </w:rPr>
            </w:pPr>
          </w:p>
        </w:tc>
        <w:tc>
          <w:tcPr>
            <w:tcW w:w="393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Reviewer A</w:t>
            </w:r>
          </w:p>
        </w:tc>
        <w:tc>
          <w:tcPr>
            <w:tcW w:w="393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Reviewer B</w:t>
            </w:r>
          </w:p>
        </w:tc>
      </w:tr>
      <w:tr w:rsidR="00A4111F" w:rsidRPr="00A4111F">
        <w:tblPrEx>
          <w:tblCellMar>
            <w:top w:w="0" w:type="dxa"/>
            <w:bottom w:w="0" w:type="dxa"/>
          </w:tblCellMar>
        </w:tblPrEx>
        <w:tc>
          <w:tcPr>
            <w:tcW w:w="150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Role</w:t>
            </w:r>
          </w:p>
        </w:tc>
        <w:tc>
          <w:tcPr>
            <w:tcW w:w="393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Lecturer in Marketing</w:t>
            </w:r>
          </w:p>
        </w:tc>
        <w:tc>
          <w:tcPr>
            <w:tcW w:w="393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Senior Officer in an Islamic Bank</w:t>
            </w:r>
          </w:p>
        </w:tc>
      </w:tr>
      <w:tr w:rsidR="00A4111F" w:rsidRPr="00A4111F">
        <w:tblPrEx>
          <w:tblCellMar>
            <w:top w:w="0" w:type="dxa"/>
            <w:bottom w:w="0" w:type="dxa"/>
          </w:tblCellMar>
        </w:tblPrEx>
        <w:tc>
          <w:tcPr>
            <w:tcW w:w="150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Expertise</w:t>
            </w:r>
          </w:p>
        </w:tc>
        <w:tc>
          <w:tcPr>
            <w:tcW w:w="393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 xml:space="preserve">Consumer </w:t>
            </w:r>
            <w:proofErr w:type="spellStart"/>
            <w:r w:rsidRPr="00A4111F">
              <w:rPr>
                <w:rFonts w:ascii="Times New Roman" w:hAnsi="Times New Roman" w:cs="Times New Roman"/>
                <w:color w:val="000000" w:themeColor="text1"/>
                <w:sz w:val="20"/>
                <w:szCs w:val="20"/>
              </w:rPr>
              <w:t>behaviour</w:t>
            </w:r>
            <w:proofErr w:type="spellEnd"/>
            <w:r w:rsidRPr="00A4111F">
              <w:rPr>
                <w:rFonts w:ascii="Times New Roman" w:hAnsi="Times New Roman" w:cs="Times New Roman"/>
                <w:color w:val="000000" w:themeColor="text1"/>
                <w:sz w:val="20"/>
                <w:szCs w:val="20"/>
              </w:rPr>
              <w:t>; digital marketing; Islamic banking; consumer trust; data privacy; technology adoption; digital financial services; bibliometric research.</w:t>
            </w:r>
          </w:p>
        </w:tc>
        <w:tc>
          <w:tcPr>
            <w:tcW w:w="393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 xml:space="preserve">Islamic digital banking operations; banking operations; cybersecurity; data privacy; risk management; regulatory compliance; </w:t>
            </w:r>
            <w:proofErr w:type="spellStart"/>
            <w:r w:rsidRPr="00A4111F">
              <w:rPr>
                <w:rFonts w:ascii="Times New Roman" w:hAnsi="Times New Roman" w:cs="Times New Roman"/>
                <w:color w:val="000000" w:themeColor="text1"/>
                <w:sz w:val="20"/>
                <w:szCs w:val="20"/>
              </w:rPr>
              <w:t>Shari’ah</w:t>
            </w:r>
            <w:proofErr w:type="spellEnd"/>
            <w:r w:rsidRPr="00A4111F">
              <w:rPr>
                <w:rFonts w:ascii="Times New Roman" w:hAnsi="Times New Roman" w:cs="Times New Roman"/>
                <w:color w:val="000000" w:themeColor="text1"/>
                <w:sz w:val="20"/>
                <w:szCs w:val="20"/>
              </w:rPr>
              <w:t xml:space="preserve"> governance; information security.</w:t>
            </w:r>
          </w:p>
        </w:tc>
      </w:tr>
      <w:tr w:rsidR="00A4111F" w:rsidRPr="00A4111F">
        <w:tblPrEx>
          <w:tblCellMar>
            <w:top w:w="0" w:type="dxa"/>
            <w:bottom w:w="0" w:type="dxa"/>
          </w:tblCellMar>
        </w:tblPrEx>
        <w:tc>
          <w:tcPr>
            <w:tcW w:w="150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Primary screening focus</w:t>
            </w:r>
          </w:p>
        </w:tc>
        <w:tc>
          <w:tcPr>
            <w:tcW w:w="393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 xml:space="preserve">Whether the article contributes to the marketing, consumer, </w:t>
            </w:r>
            <w:proofErr w:type="spellStart"/>
            <w:r w:rsidRPr="00A4111F">
              <w:rPr>
                <w:rFonts w:ascii="Times New Roman" w:hAnsi="Times New Roman" w:cs="Times New Roman"/>
                <w:color w:val="000000" w:themeColor="text1"/>
                <w:sz w:val="20"/>
                <w:szCs w:val="20"/>
              </w:rPr>
              <w:t>behavioural</w:t>
            </w:r>
            <w:proofErr w:type="spellEnd"/>
            <w:r w:rsidRPr="00A4111F">
              <w:rPr>
                <w:rFonts w:ascii="Times New Roman" w:hAnsi="Times New Roman" w:cs="Times New Roman"/>
                <w:color w:val="000000" w:themeColor="text1"/>
                <w:sz w:val="20"/>
                <w:szCs w:val="20"/>
              </w:rPr>
              <w:t xml:space="preserve"> or trust dimensions of Islamic digital banking.</w:t>
            </w:r>
          </w:p>
        </w:tc>
        <w:tc>
          <w:tcPr>
            <w:tcW w:w="393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Whether the article contributes to operational banking practice, cybersecurity, digital-banking risk, compliance, customer protection or Islamic-banking implementation.</w:t>
            </w:r>
          </w:p>
        </w:tc>
      </w:tr>
    </w:tbl>
    <w:p w:rsidR="00505467" w:rsidRPr="00A4111F" w:rsidRDefault="00505467">
      <w:pPr>
        <w:spacing w:after="140" w:line="276" w:lineRule="auto"/>
        <w:rPr>
          <w:rFonts w:ascii="Times New Roman" w:hAnsi="Times New Roman" w:cs="Times New Roman"/>
          <w:color w:val="000000" w:themeColor="text1"/>
        </w:rPr>
      </w:pP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 xml:space="preserve">Procedure and independence. </w:t>
      </w:r>
      <w:r w:rsidRPr="00A4111F">
        <w:rPr>
          <w:rFonts w:ascii="Times New Roman" w:hAnsi="Times New Roman" w:cs="Times New Roman"/>
          <w:color w:val="000000" w:themeColor="text1"/>
        </w:rPr>
        <w:t>Each reviewer screened all 200 records (1 = Include, 0 = Exclude) and recorded a brief justification, without sight of the other reviewer’s decisions. Decisions were not adjusted to increase or decrease agreement. The two decision vectors were then cross-tabulated to obtain the 2×2 agreement matrix.</w:t>
      </w:r>
    </w:p>
    <w:p w:rsidR="00505467" w:rsidRPr="00A4111F" w:rsidRDefault="00000000" w:rsidP="00A4111F">
      <w:pPr>
        <w:pStyle w:val="Heading1"/>
        <w:jc w:val="both"/>
        <w:rPr>
          <w:rFonts w:ascii="Times New Roman" w:hAnsi="Times New Roman" w:cs="Times New Roman"/>
          <w:color w:val="000000" w:themeColor="text1"/>
        </w:rPr>
      </w:pPr>
      <w:r w:rsidRPr="00A4111F">
        <w:rPr>
          <w:rFonts w:ascii="Times New Roman" w:hAnsi="Times New Roman" w:cs="Times New Roman"/>
          <w:color w:val="000000" w:themeColor="text1"/>
        </w:rPr>
        <w:t>5.  Inter-Rater Reliability Statistic</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Agreement beyond chance was quantified with Cohen’s kappa (Cohen, 1960): </w:t>
      </w:r>
      <w:r w:rsidRPr="00A4111F">
        <w:rPr>
          <w:rFonts w:ascii="Times New Roman" w:hAnsi="Times New Roman" w:cs="Times New Roman"/>
          <w:i/>
          <w:iCs/>
          <w:color w:val="000000" w:themeColor="text1"/>
        </w:rPr>
        <w:t>κ = (P</w:t>
      </w:r>
      <w:r w:rsidRPr="00A4111F">
        <w:rPr>
          <w:rFonts w:ascii="Times New Roman" w:hAnsi="Times New Roman" w:cs="Times New Roman"/>
          <w:i/>
          <w:iCs/>
          <w:color w:val="000000" w:themeColor="text1"/>
          <w:vertAlign w:val="subscript"/>
        </w:rPr>
        <w:t>o</w:t>
      </w:r>
      <w:r w:rsidRPr="00A4111F">
        <w:rPr>
          <w:rFonts w:ascii="Times New Roman" w:hAnsi="Times New Roman" w:cs="Times New Roman"/>
          <w:i/>
          <w:iCs/>
          <w:color w:val="000000" w:themeColor="text1"/>
        </w:rPr>
        <w:t xml:space="preserve"> − P</w:t>
      </w:r>
      <w:r w:rsidRPr="00A4111F">
        <w:rPr>
          <w:rFonts w:ascii="Times New Roman" w:hAnsi="Times New Roman" w:cs="Times New Roman"/>
          <w:i/>
          <w:iCs/>
          <w:color w:val="000000" w:themeColor="text1"/>
          <w:vertAlign w:val="subscript"/>
        </w:rPr>
        <w:t>e</w:t>
      </w:r>
      <w:r w:rsidRPr="00A4111F">
        <w:rPr>
          <w:rFonts w:ascii="Times New Roman" w:hAnsi="Times New Roman" w:cs="Times New Roman"/>
          <w:i/>
          <w:iCs/>
          <w:color w:val="000000" w:themeColor="text1"/>
        </w:rPr>
        <w:t>) / (1 − P</w:t>
      </w:r>
      <w:r w:rsidRPr="00A4111F">
        <w:rPr>
          <w:rFonts w:ascii="Times New Roman" w:hAnsi="Times New Roman" w:cs="Times New Roman"/>
          <w:i/>
          <w:iCs/>
          <w:color w:val="000000" w:themeColor="text1"/>
          <w:vertAlign w:val="subscript"/>
        </w:rPr>
        <w:t>e</w:t>
      </w:r>
      <w:r w:rsidRPr="00A4111F">
        <w:rPr>
          <w:rFonts w:ascii="Times New Roman" w:hAnsi="Times New Roman" w:cs="Times New Roman"/>
          <w:i/>
          <w:iCs/>
          <w:color w:val="000000" w:themeColor="text1"/>
        </w:rPr>
        <w:t>)</w:t>
      </w:r>
      <w:r w:rsidRPr="00A4111F">
        <w:rPr>
          <w:rFonts w:ascii="Times New Roman" w:hAnsi="Times New Roman" w:cs="Times New Roman"/>
          <w:color w:val="000000" w:themeColor="text1"/>
        </w:rPr>
        <w:t>, where P</w:t>
      </w:r>
      <w:r w:rsidRPr="00A4111F">
        <w:rPr>
          <w:rFonts w:ascii="Times New Roman" w:hAnsi="Times New Roman" w:cs="Times New Roman"/>
          <w:color w:val="000000" w:themeColor="text1"/>
          <w:vertAlign w:val="subscript"/>
        </w:rPr>
        <w:t>o</w:t>
      </w:r>
      <w:r w:rsidRPr="00A4111F">
        <w:rPr>
          <w:rFonts w:ascii="Times New Roman" w:hAnsi="Times New Roman" w:cs="Times New Roman"/>
          <w:color w:val="000000" w:themeColor="text1"/>
        </w:rPr>
        <w:t xml:space="preserve"> is the observed proportion of agreement and P</w:t>
      </w:r>
      <w:r w:rsidRPr="00A4111F">
        <w:rPr>
          <w:rFonts w:ascii="Times New Roman" w:hAnsi="Times New Roman" w:cs="Times New Roman"/>
          <w:color w:val="000000" w:themeColor="text1"/>
          <w:vertAlign w:val="subscript"/>
        </w:rPr>
        <w:t>e</w:t>
      </w:r>
      <w:r w:rsidRPr="00A4111F">
        <w:rPr>
          <w:rFonts w:ascii="Times New Roman" w:hAnsi="Times New Roman" w:cs="Times New Roman"/>
          <w:color w:val="000000" w:themeColor="text1"/>
        </w:rPr>
        <w:t xml:space="preserve"> is the proportion expected by chance from the reviewers’ marginal include/exclude rates. The result was interpreted on the Landis and Koch (1977) benchmark scale. Calculations were performed in Python 3.11 (standard library) and independently reproduced in a separate spreadsheet; the two computations agree to six decimal places.</w:t>
      </w:r>
    </w:p>
    <w:p w:rsidR="00505467" w:rsidRPr="00A4111F" w:rsidRDefault="00000000" w:rsidP="00A4111F">
      <w:pPr>
        <w:pStyle w:val="Heading1"/>
        <w:jc w:val="both"/>
        <w:rPr>
          <w:rFonts w:ascii="Times New Roman" w:hAnsi="Times New Roman" w:cs="Times New Roman"/>
          <w:color w:val="000000" w:themeColor="text1"/>
        </w:rPr>
      </w:pPr>
      <w:r w:rsidRPr="00A4111F">
        <w:rPr>
          <w:rFonts w:ascii="Times New Roman" w:hAnsi="Times New Roman" w:cs="Times New Roman"/>
          <w:color w:val="000000" w:themeColor="text1"/>
        </w:rPr>
        <w:t>6.  Screening Results</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Of the 200 records, Reviewer A judged 108 eligible (54.0%) and Reviewer B judged 121 eligible (60.5%). The reviewers agreed on </w:t>
      </w:r>
      <w:r w:rsidRPr="00A4111F">
        <w:rPr>
          <w:rFonts w:ascii="Times New Roman" w:hAnsi="Times New Roman" w:cs="Times New Roman"/>
          <w:b/>
          <w:bCs/>
          <w:color w:val="000000" w:themeColor="text1"/>
        </w:rPr>
        <w:t>141 of 200 records</w:t>
      </w:r>
      <w:r w:rsidRPr="00A4111F">
        <w:rPr>
          <w:rFonts w:ascii="Times New Roman" w:hAnsi="Times New Roman" w:cs="Times New Roman"/>
          <w:color w:val="000000" w:themeColor="text1"/>
        </w:rPr>
        <w:t xml:space="preserve"> (85 joint inclusions and 56 joint exclusions) and disagreed on 59. The cross-tabulation is shown in Table 3 and Figure 1.</w:t>
      </w:r>
    </w:p>
    <w:p w:rsidR="00505467" w:rsidRPr="00A4111F" w:rsidRDefault="00000000">
      <w:pPr>
        <w:spacing w:after="80" w:line="276" w:lineRule="auto"/>
        <w:rPr>
          <w:rFonts w:ascii="Times New Roman" w:hAnsi="Times New Roman" w:cs="Times New Roman"/>
          <w:color w:val="000000" w:themeColor="text1"/>
        </w:rPr>
      </w:pPr>
      <w:r w:rsidRPr="00A4111F">
        <w:rPr>
          <w:rFonts w:ascii="Times New Roman" w:hAnsi="Times New Roman" w:cs="Times New Roman"/>
          <w:b/>
          <w:bCs/>
          <w:color w:val="000000" w:themeColor="text1"/>
        </w:rPr>
        <w:t xml:space="preserve">Table 3. </w:t>
      </w:r>
      <w:r w:rsidRPr="00A4111F">
        <w:rPr>
          <w:rFonts w:ascii="Times New Roman" w:hAnsi="Times New Roman" w:cs="Times New Roman"/>
          <w:i/>
          <w:iCs/>
          <w:color w:val="000000" w:themeColor="text1"/>
        </w:rPr>
        <w:t>2×2 agreement matrix (cell labels a–d).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2080"/>
        <w:gridCol w:w="2080"/>
        <w:gridCol w:w="2080"/>
      </w:tblGrid>
      <w:tr w:rsidR="00A4111F" w:rsidRPr="00A4111F">
        <w:tblPrEx>
          <w:tblCellMar>
            <w:top w:w="0" w:type="dxa"/>
            <w:bottom w:w="0" w:type="dxa"/>
          </w:tblCellMar>
        </w:tblPrEx>
        <w:trPr>
          <w:tblHeader/>
        </w:trPr>
        <w:tc>
          <w:tcPr>
            <w:tcW w:w="312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505467">
            <w:pPr>
              <w:rPr>
                <w:rFonts w:ascii="Times New Roman" w:hAnsi="Times New Roman" w:cs="Times New Roman"/>
                <w:color w:val="000000" w:themeColor="text1"/>
              </w:rPr>
            </w:pPr>
          </w:p>
        </w:tc>
        <w:tc>
          <w:tcPr>
            <w:tcW w:w="208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Reviewer B: Include</w:t>
            </w:r>
          </w:p>
        </w:tc>
        <w:tc>
          <w:tcPr>
            <w:tcW w:w="208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Reviewer B: Exclude</w:t>
            </w:r>
          </w:p>
        </w:tc>
        <w:tc>
          <w:tcPr>
            <w:tcW w:w="208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Row total</w:t>
            </w: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Reviewer A: Include</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proofErr w:type="gramStart"/>
            <w:r w:rsidRPr="00A4111F">
              <w:rPr>
                <w:rFonts w:ascii="Times New Roman" w:hAnsi="Times New Roman" w:cs="Times New Roman"/>
                <w:color w:val="000000" w:themeColor="text1"/>
                <w:sz w:val="20"/>
                <w:szCs w:val="20"/>
              </w:rPr>
              <w:t>85  (</w:t>
            </w:r>
            <w:proofErr w:type="gramEnd"/>
            <w:r w:rsidRPr="00A4111F">
              <w:rPr>
                <w:rFonts w:ascii="Times New Roman" w:hAnsi="Times New Roman" w:cs="Times New Roman"/>
                <w:color w:val="000000" w:themeColor="text1"/>
                <w:sz w:val="20"/>
                <w:szCs w:val="20"/>
              </w:rPr>
              <w:t>a)</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proofErr w:type="gramStart"/>
            <w:r w:rsidRPr="00A4111F">
              <w:rPr>
                <w:rFonts w:ascii="Times New Roman" w:hAnsi="Times New Roman" w:cs="Times New Roman"/>
                <w:color w:val="000000" w:themeColor="text1"/>
                <w:sz w:val="20"/>
                <w:szCs w:val="20"/>
              </w:rPr>
              <w:t>23  (</w:t>
            </w:r>
            <w:proofErr w:type="gramEnd"/>
            <w:r w:rsidRPr="00A4111F">
              <w:rPr>
                <w:rFonts w:ascii="Times New Roman" w:hAnsi="Times New Roman" w:cs="Times New Roman"/>
                <w:color w:val="000000" w:themeColor="text1"/>
                <w:sz w:val="20"/>
                <w:szCs w:val="20"/>
              </w:rPr>
              <w:t>b)</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108</w:t>
            </w: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Reviewer A: Exclude</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proofErr w:type="gramStart"/>
            <w:r w:rsidRPr="00A4111F">
              <w:rPr>
                <w:rFonts w:ascii="Times New Roman" w:hAnsi="Times New Roman" w:cs="Times New Roman"/>
                <w:color w:val="000000" w:themeColor="text1"/>
                <w:sz w:val="20"/>
                <w:szCs w:val="20"/>
              </w:rPr>
              <w:t>36  (</w:t>
            </w:r>
            <w:proofErr w:type="gramEnd"/>
            <w:r w:rsidRPr="00A4111F">
              <w:rPr>
                <w:rFonts w:ascii="Times New Roman" w:hAnsi="Times New Roman" w:cs="Times New Roman"/>
                <w:color w:val="000000" w:themeColor="text1"/>
                <w:sz w:val="20"/>
                <w:szCs w:val="20"/>
              </w:rPr>
              <w:t>c)</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proofErr w:type="gramStart"/>
            <w:r w:rsidRPr="00A4111F">
              <w:rPr>
                <w:rFonts w:ascii="Times New Roman" w:hAnsi="Times New Roman" w:cs="Times New Roman"/>
                <w:color w:val="000000" w:themeColor="text1"/>
                <w:sz w:val="20"/>
                <w:szCs w:val="20"/>
              </w:rPr>
              <w:t>56  (</w:t>
            </w:r>
            <w:proofErr w:type="gramEnd"/>
            <w:r w:rsidRPr="00A4111F">
              <w:rPr>
                <w:rFonts w:ascii="Times New Roman" w:hAnsi="Times New Roman" w:cs="Times New Roman"/>
                <w:color w:val="000000" w:themeColor="text1"/>
                <w:sz w:val="20"/>
                <w:szCs w:val="20"/>
              </w:rPr>
              <w:t>d)</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92</w:t>
            </w: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Column total</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121</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79</w:t>
            </w:r>
          </w:p>
        </w:tc>
        <w:tc>
          <w:tcPr>
            <w:tcW w:w="208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200</w:t>
            </w:r>
          </w:p>
        </w:tc>
      </w:tr>
    </w:tbl>
    <w:p w:rsidR="00505467" w:rsidRPr="00A4111F" w:rsidRDefault="00505467">
      <w:pPr>
        <w:spacing w:after="140" w:line="276" w:lineRule="auto"/>
        <w:rPr>
          <w:rFonts w:ascii="Times New Roman" w:hAnsi="Times New Roman" w:cs="Times New Roman"/>
          <w:color w:val="000000" w:themeColor="text1"/>
        </w:rPr>
      </w:pPr>
    </w:p>
    <w:p w:rsidR="00505467" w:rsidRPr="00A4111F" w:rsidRDefault="00000000">
      <w:pPr>
        <w:spacing w:before="60" w:after="40"/>
        <w:jc w:val="center"/>
        <w:rPr>
          <w:rFonts w:ascii="Times New Roman" w:hAnsi="Times New Roman" w:cs="Times New Roman"/>
          <w:color w:val="000000" w:themeColor="text1"/>
        </w:rPr>
      </w:pPr>
      <w:r w:rsidRPr="00A4111F">
        <w:rPr>
          <w:rFonts w:ascii="Times New Roman" w:hAnsi="Times New Roman" w:cs="Times New Roman"/>
          <w:noProof/>
          <w:color w:val="000000" w:themeColor="text1"/>
        </w:rPr>
        <w:lastRenderedPageBreak/>
        <w:drawing>
          <wp:inline distT="0" distB="0" distL="0" distR="0">
            <wp:extent cx="3429000" cy="2876550"/>
            <wp:effectExtent l="0" t="0" r="0" b="0"/>
            <wp:docPr id="1" name="fig1" descr="2x2 agreement matrix" title="Confusion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429000" cy="2876550"/>
                    </a:xfrm>
                    <a:prstGeom prst="rect">
                      <a:avLst/>
                    </a:prstGeom>
                  </pic:spPr>
                </pic:pic>
              </a:graphicData>
            </a:graphic>
          </wp:inline>
        </w:drawing>
      </w:r>
    </w:p>
    <w:p w:rsidR="00505467" w:rsidRPr="00A4111F" w:rsidRDefault="00000000">
      <w:pPr>
        <w:spacing w:after="160" w:line="276" w:lineRule="auto"/>
        <w:jc w:val="center"/>
        <w:rPr>
          <w:rFonts w:ascii="Times New Roman" w:hAnsi="Times New Roman" w:cs="Times New Roman"/>
          <w:color w:val="000000" w:themeColor="text1"/>
        </w:rPr>
      </w:pPr>
      <w:r w:rsidRPr="00A4111F">
        <w:rPr>
          <w:rFonts w:ascii="Times New Roman" w:hAnsi="Times New Roman" w:cs="Times New Roman"/>
          <w:b/>
          <w:bCs/>
          <w:color w:val="000000" w:themeColor="text1"/>
        </w:rPr>
        <w:t xml:space="preserve">Figure 1. </w:t>
      </w:r>
      <w:r w:rsidRPr="00A4111F">
        <w:rPr>
          <w:rFonts w:ascii="Times New Roman" w:hAnsi="Times New Roman" w:cs="Times New Roman"/>
          <w:i/>
          <w:iCs/>
          <w:color w:val="000000" w:themeColor="text1"/>
        </w:rPr>
        <w:t>Agreement matrix between the two independent reviewers (N = 200). Diagonal cells (a, d) are agreements; off-diagonal cells (b, c) are disagreements.</w:t>
      </w:r>
    </w:p>
    <w:p w:rsidR="00505467" w:rsidRPr="00A4111F" w:rsidRDefault="00000000" w:rsidP="00A4111F">
      <w:pPr>
        <w:pStyle w:val="Heading2"/>
        <w:jc w:val="both"/>
        <w:rPr>
          <w:rFonts w:ascii="Times New Roman" w:hAnsi="Times New Roman" w:cs="Times New Roman"/>
          <w:color w:val="000000" w:themeColor="text1"/>
        </w:rPr>
      </w:pPr>
      <w:proofErr w:type="gramStart"/>
      <w:r w:rsidRPr="00A4111F">
        <w:rPr>
          <w:rFonts w:ascii="Times New Roman" w:hAnsi="Times New Roman" w:cs="Times New Roman"/>
          <w:color w:val="000000" w:themeColor="text1"/>
        </w:rPr>
        <w:t>6.1  Step</w:t>
      </w:r>
      <w:proofErr w:type="gramEnd"/>
      <w:r w:rsidRPr="00A4111F">
        <w:rPr>
          <w:rFonts w:ascii="Times New Roman" w:hAnsi="Times New Roman" w:cs="Times New Roman"/>
          <w:color w:val="000000" w:themeColor="text1"/>
        </w:rPr>
        <w:t>-by-step calculation</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Step 1</w:t>
      </w:r>
      <w:r w:rsidR="00A4111F">
        <w:rPr>
          <w:rFonts w:ascii="Times New Roman" w:hAnsi="Times New Roman" w:cs="Times New Roman"/>
          <w:b/>
          <w:bCs/>
          <w:color w:val="000000" w:themeColor="text1"/>
        </w:rPr>
        <w:t>:</w:t>
      </w:r>
      <w:r w:rsidRPr="00A4111F">
        <w:rPr>
          <w:rFonts w:ascii="Times New Roman" w:hAnsi="Times New Roman" w:cs="Times New Roman"/>
          <w:b/>
          <w:bCs/>
          <w:color w:val="000000" w:themeColor="text1"/>
        </w:rPr>
        <w:t xml:space="preserve"> cell counts. </w:t>
      </w:r>
      <w:r w:rsidRPr="00A4111F">
        <w:rPr>
          <w:rFonts w:ascii="Times New Roman" w:hAnsi="Times New Roman" w:cs="Times New Roman"/>
          <w:color w:val="000000" w:themeColor="text1"/>
        </w:rPr>
        <w:t>a = 85 (both include), b = 23 (A include / B exclude), c = 36 (A exclude / B include), d = 56 (both exclude); N = a + b + c + d = 200.</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Step 2</w:t>
      </w:r>
      <w:r w:rsidR="00A4111F">
        <w:rPr>
          <w:rFonts w:ascii="Times New Roman" w:hAnsi="Times New Roman" w:cs="Times New Roman"/>
          <w:b/>
          <w:bCs/>
          <w:color w:val="000000" w:themeColor="text1"/>
        </w:rPr>
        <w:t>:</w:t>
      </w:r>
      <w:r w:rsidRPr="00A4111F">
        <w:rPr>
          <w:rFonts w:ascii="Times New Roman" w:hAnsi="Times New Roman" w:cs="Times New Roman"/>
          <w:b/>
          <w:bCs/>
          <w:color w:val="000000" w:themeColor="text1"/>
        </w:rPr>
        <w:t xml:space="preserve"> observed agreement. </w:t>
      </w:r>
      <w:r w:rsidRPr="00A4111F">
        <w:rPr>
          <w:rFonts w:ascii="Times New Roman" w:hAnsi="Times New Roman" w:cs="Times New Roman"/>
          <w:color w:val="000000" w:themeColor="text1"/>
        </w:rPr>
        <w:t>P</w:t>
      </w:r>
      <w:r w:rsidRPr="00A4111F">
        <w:rPr>
          <w:rFonts w:ascii="Times New Roman" w:hAnsi="Times New Roman" w:cs="Times New Roman"/>
          <w:color w:val="000000" w:themeColor="text1"/>
          <w:vertAlign w:val="subscript"/>
        </w:rPr>
        <w:t>o</w:t>
      </w:r>
      <w:r w:rsidRPr="00A4111F">
        <w:rPr>
          <w:rFonts w:ascii="Times New Roman" w:hAnsi="Times New Roman" w:cs="Times New Roman"/>
          <w:color w:val="000000" w:themeColor="text1"/>
        </w:rPr>
        <w:t xml:space="preserve"> = (a + d) / N = (85 + 56) / 200 = 141 / 200 = </w:t>
      </w:r>
      <w:r w:rsidRPr="00A4111F">
        <w:rPr>
          <w:rFonts w:ascii="Times New Roman" w:hAnsi="Times New Roman" w:cs="Times New Roman"/>
          <w:b/>
          <w:bCs/>
          <w:color w:val="000000" w:themeColor="text1"/>
        </w:rPr>
        <w:t>0.705</w:t>
      </w:r>
      <w:r w:rsidRPr="00A4111F">
        <w:rPr>
          <w:rFonts w:ascii="Times New Roman" w:hAnsi="Times New Roman" w:cs="Times New Roman"/>
          <w:color w:val="000000" w:themeColor="text1"/>
        </w:rPr>
        <w:t>.</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Step 3</w:t>
      </w:r>
      <w:r w:rsidR="00A4111F">
        <w:rPr>
          <w:rFonts w:ascii="Times New Roman" w:hAnsi="Times New Roman" w:cs="Times New Roman"/>
          <w:b/>
          <w:bCs/>
          <w:color w:val="000000" w:themeColor="text1"/>
        </w:rPr>
        <w:t>:</w:t>
      </w:r>
      <w:r w:rsidRPr="00A4111F">
        <w:rPr>
          <w:rFonts w:ascii="Times New Roman" w:hAnsi="Times New Roman" w:cs="Times New Roman"/>
          <w:b/>
          <w:bCs/>
          <w:color w:val="000000" w:themeColor="text1"/>
        </w:rPr>
        <w:t xml:space="preserve"> marginal proportions. </w:t>
      </w:r>
      <w:r w:rsidRPr="00A4111F">
        <w:rPr>
          <w:rFonts w:ascii="Times New Roman" w:hAnsi="Times New Roman" w:cs="Times New Roman"/>
          <w:color w:val="000000" w:themeColor="text1"/>
        </w:rPr>
        <w:t>Reviewer A include = (a + b)/N = 108/200 = 0.540; Reviewer B include = (a + c)/N = 121/200 = 0.605; A exclude = 0.460; B exclude = 0.395.</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Step 4</w:t>
      </w:r>
      <w:r w:rsidR="00A4111F">
        <w:rPr>
          <w:rFonts w:ascii="Times New Roman" w:hAnsi="Times New Roman" w:cs="Times New Roman"/>
          <w:b/>
          <w:bCs/>
          <w:color w:val="000000" w:themeColor="text1"/>
        </w:rPr>
        <w:t>:</w:t>
      </w:r>
      <w:r w:rsidRPr="00A4111F">
        <w:rPr>
          <w:rFonts w:ascii="Times New Roman" w:hAnsi="Times New Roman" w:cs="Times New Roman"/>
          <w:b/>
          <w:bCs/>
          <w:color w:val="000000" w:themeColor="text1"/>
        </w:rPr>
        <w:t xml:space="preserve"> expected agreement. </w:t>
      </w:r>
      <w:r w:rsidRPr="00A4111F">
        <w:rPr>
          <w:rFonts w:ascii="Times New Roman" w:hAnsi="Times New Roman" w:cs="Times New Roman"/>
          <w:color w:val="000000" w:themeColor="text1"/>
        </w:rPr>
        <w:t>P</w:t>
      </w:r>
      <w:r w:rsidRPr="00A4111F">
        <w:rPr>
          <w:rFonts w:ascii="Times New Roman" w:hAnsi="Times New Roman" w:cs="Times New Roman"/>
          <w:color w:val="000000" w:themeColor="text1"/>
          <w:vertAlign w:val="subscript"/>
        </w:rPr>
        <w:t>e</w:t>
      </w:r>
      <w:r w:rsidRPr="00A4111F">
        <w:rPr>
          <w:rFonts w:ascii="Times New Roman" w:hAnsi="Times New Roman" w:cs="Times New Roman"/>
          <w:color w:val="000000" w:themeColor="text1"/>
        </w:rPr>
        <w:t xml:space="preserve"> = (0.540 × 0.605) + (0.460 × 0.395) = 0.3267 + 0.1817 = </w:t>
      </w:r>
      <w:r w:rsidRPr="00A4111F">
        <w:rPr>
          <w:rFonts w:ascii="Times New Roman" w:hAnsi="Times New Roman" w:cs="Times New Roman"/>
          <w:b/>
          <w:bCs/>
          <w:color w:val="000000" w:themeColor="text1"/>
        </w:rPr>
        <w:t>0.5084</w:t>
      </w:r>
      <w:r w:rsidRPr="00A4111F">
        <w:rPr>
          <w:rFonts w:ascii="Times New Roman" w:hAnsi="Times New Roman" w:cs="Times New Roman"/>
          <w:color w:val="000000" w:themeColor="text1"/>
        </w:rPr>
        <w:t>.</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Step 5</w:t>
      </w:r>
      <w:r w:rsidR="00A4111F">
        <w:rPr>
          <w:rFonts w:ascii="Times New Roman" w:hAnsi="Times New Roman" w:cs="Times New Roman"/>
          <w:b/>
          <w:bCs/>
          <w:color w:val="000000" w:themeColor="text1"/>
        </w:rPr>
        <w:t>:</w:t>
      </w:r>
      <w:r w:rsidRPr="00A4111F">
        <w:rPr>
          <w:rFonts w:ascii="Times New Roman" w:hAnsi="Times New Roman" w:cs="Times New Roman"/>
          <w:b/>
          <w:bCs/>
          <w:color w:val="000000" w:themeColor="text1"/>
        </w:rPr>
        <w:t xml:space="preserve"> Cohen’s kappa. </w:t>
      </w:r>
      <w:r w:rsidRPr="00A4111F">
        <w:rPr>
          <w:rFonts w:ascii="Times New Roman" w:hAnsi="Times New Roman" w:cs="Times New Roman"/>
          <w:i/>
          <w:iCs/>
          <w:color w:val="000000" w:themeColor="text1"/>
        </w:rPr>
        <w:t>κ</w:t>
      </w:r>
      <w:r w:rsidRPr="00A4111F">
        <w:rPr>
          <w:rFonts w:ascii="Times New Roman" w:hAnsi="Times New Roman" w:cs="Times New Roman"/>
          <w:color w:val="000000" w:themeColor="text1"/>
        </w:rPr>
        <w:t xml:space="preserve"> = (P</w:t>
      </w:r>
      <w:r w:rsidRPr="00A4111F">
        <w:rPr>
          <w:rFonts w:ascii="Times New Roman" w:hAnsi="Times New Roman" w:cs="Times New Roman"/>
          <w:color w:val="000000" w:themeColor="text1"/>
          <w:vertAlign w:val="subscript"/>
        </w:rPr>
        <w:t>o</w:t>
      </w:r>
      <w:r w:rsidRPr="00A4111F">
        <w:rPr>
          <w:rFonts w:ascii="Times New Roman" w:hAnsi="Times New Roman" w:cs="Times New Roman"/>
          <w:color w:val="000000" w:themeColor="text1"/>
        </w:rPr>
        <w:t xml:space="preserve"> − P</w:t>
      </w:r>
      <w:r w:rsidRPr="00A4111F">
        <w:rPr>
          <w:rFonts w:ascii="Times New Roman" w:hAnsi="Times New Roman" w:cs="Times New Roman"/>
          <w:color w:val="000000" w:themeColor="text1"/>
          <w:vertAlign w:val="subscript"/>
        </w:rPr>
        <w:t>e</w:t>
      </w:r>
      <w:r w:rsidRPr="00A4111F">
        <w:rPr>
          <w:rFonts w:ascii="Times New Roman" w:hAnsi="Times New Roman" w:cs="Times New Roman"/>
          <w:color w:val="000000" w:themeColor="text1"/>
        </w:rPr>
        <w:t>) / (1 − P</w:t>
      </w:r>
      <w:r w:rsidRPr="00A4111F">
        <w:rPr>
          <w:rFonts w:ascii="Times New Roman" w:hAnsi="Times New Roman" w:cs="Times New Roman"/>
          <w:color w:val="000000" w:themeColor="text1"/>
          <w:vertAlign w:val="subscript"/>
        </w:rPr>
        <w:t>e</w:t>
      </w:r>
      <w:r w:rsidRPr="00A4111F">
        <w:rPr>
          <w:rFonts w:ascii="Times New Roman" w:hAnsi="Times New Roman" w:cs="Times New Roman"/>
          <w:color w:val="000000" w:themeColor="text1"/>
        </w:rPr>
        <w:t xml:space="preserve">) = (0.705 − 0.5084) / (1 − 0.5084) = 0.1966 / 0.4916 = </w:t>
      </w:r>
      <w:r w:rsidRPr="00A4111F">
        <w:rPr>
          <w:rFonts w:ascii="Times New Roman" w:hAnsi="Times New Roman" w:cs="Times New Roman"/>
          <w:b/>
          <w:bCs/>
          <w:color w:val="000000" w:themeColor="text1"/>
        </w:rPr>
        <w:t>κ = 0.400</w:t>
      </w:r>
      <w:r w:rsidRPr="00A4111F">
        <w:rPr>
          <w:rFonts w:ascii="Times New Roman" w:hAnsi="Times New Roman" w:cs="Times New Roman"/>
          <w:color w:val="000000" w:themeColor="text1"/>
        </w:rPr>
        <w:t>.</w:t>
      </w:r>
    </w:p>
    <w:p w:rsidR="00505467" w:rsidRPr="00A4111F" w:rsidRDefault="00000000" w:rsidP="00A4111F">
      <w:pPr>
        <w:pStyle w:val="Heading2"/>
        <w:jc w:val="both"/>
        <w:rPr>
          <w:rFonts w:ascii="Times New Roman" w:hAnsi="Times New Roman" w:cs="Times New Roman"/>
          <w:color w:val="000000" w:themeColor="text1"/>
        </w:rPr>
      </w:pPr>
      <w:proofErr w:type="gramStart"/>
      <w:r w:rsidRPr="00A4111F">
        <w:rPr>
          <w:rFonts w:ascii="Times New Roman" w:hAnsi="Times New Roman" w:cs="Times New Roman"/>
          <w:color w:val="000000" w:themeColor="text1"/>
        </w:rPr>
        <w:t>6.2  Interpretation</w:t>
      </w:r>
      <w:proofErr w:type="gramEnd"/>
      <w:r w:rsidRPr="00A4111F">
        <w:rPr>
          <w:rFonts w:ascii="Times New Roman" w:hAnsi="Times New Roman" w:cs="Times New Roman"/>
          <w:color w:val="000000" w:themeColor="text1"/>
        </w:rPr>
        <w:t xml:space="preserve"> (Landis &amp; Koch, 1977)</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The obtained value, κ = 0.40, sits at the boundary between the “Fair” (0.21–0.40) and “Moderate” (0.41–0.60) bands and is classified as </w:t>
      </w:r>
      <w:r w:rsidRPr="00A4111F">
        <w:rPr>
          <w:rFonts w:ascii="Times New Roman" w:hAnsi="Times New Roman" w:cs="Times New Roman"/>
          <w:b/>
          <w:bCs/>
          <w:color w:val="000000" w:themeColor="text1"/>
        </w:rPr>
        <w:t>Fair</w:t>
      </w:r>
      <w:r w:rsidRPr="00A4111F">
        <w:rPr>
          <w:rFonts w:ascii="Times New Roman" w:hAnsi="Times New Roman" w:cs="Times New Roman"/>
          <w:color w:val="000000" w:themeColor="text1"/>
        </w:rPr>
        <w:t xml:space="preserve"> agreement.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A4111F" w:rsidRPr="00A4111F">
        <w:tblPrEx>
          <w:tblCellMar>
            <w:top w:w="0" w:type="dxa"/>
            <w:bottom w:w="0" w:type="dxa"/>
          </w:tblCellMar>
        </w:tblPrEx>
        <w:trPr>
          <w:tblHeader/>
        </w:trPr>
        <w:tc>
          <w:tcPr>
            <w:tcW w:w="312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Kappa range</w:t>
            </w:r>
          </w:p>
        </w:tc>
        <w:tc>
          <w:tcPr>
            <w:tcW w:w="312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Strength of agreement</w:t>
            </w:r>
          </w:p>
        </w:tc>
        <w:tc>
          <w:tcPr>
            <w:tcW w:w="312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This study</w:t>
            </w: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&lt; 0.00</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Poor</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505467">
            <w:pPr>
              <w:jc w:val="center"/>
              <w:rPr>
                <w:rFonts w:ascii="Times New Roman" w:hAnsi="Times New Roman" w:cs="Times New Roman"/>
                <w:color w:val="000000" w:themeColor="text1"/>
              </w:rPr>
            </w:pP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0.00–0.20</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Slight</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505467">
            <w:pPr>
              <w:jc w:val="center"/>
              <w:rPr>
                <w:rFonts w:ascii="Times New Roman" w:hAnsi="Times New Roman" w:cs="Times New Roman"/>
                <w:color w:val="000000" w:themeColor="text1"/>
              </w:rPr>
            </w:pP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shd w:val="clear" w:color="auto" w:fill="FFF2CC"/>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0.21–0.40</w:t>
            </w:r>
          </w:p>
        </w:tc>
        <w:tc>
          <w:tcPr>
            <w:tcW w:w="3120" w:type="dxa"/>
            <w:tcBorders>
              <w:top w:val="single" w:sz="1" w:space="0" w:color="BFBFBF"/>
              <w:left w:val="single" w:sz="1" w:space="0" w:color="BFBFBF"/>
              <w:bottom w:val="single" w:sz="1" w:space="0" w:color="BFBFBF"/>
              <w:right w:val="single" w:sz="1" w:space="0" w:color="BFBFBF"/>
            </w:tcBorders>
            <w:shd w:val="clear" w:color="auto" w:fill="FFF2CC"/>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Fair</w:t>
            </w:r>
          </w:p>
        </w:tc>
        <w:tc>
          <w:tcPr>
            <w:tcW w:w="3120" w:type="dxa"/>
            <w:tcBorders>
              <w:top w:val="single" w:sz="1" w:space="0" w:color="BFBFBF"/>
              <w:left w:val="single" w:sz="1" w:space="0" w:color="BFBFBF"/>
              <w:bottom w:val="single" w:sz="1" w:space="0" w:color="BFBFBF"/>
              <w:right w:val="single" w:sz="1" w:space="0" w:color="BFBFBF"/>
            </w:tcBorders>
            <w:shd w:val="clear" w:color="auto" w:fill="FFF2CC"/>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20"/>
                <w:szCs w:val="20"/>
              </w:rPr>
              <w:t>← κ = 0.40</w:t>
            </w: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0.41–0.60</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Moderate</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505467">
            <w:pPr>
              <w:jc w:val="center"/>
              <w:rPr>
                <w:rFonts w:ascii="Times New Roman" w:hAnsi="Times New Roman" w:cs="Times New Roman"/>
                <w:color w:val="000000" w:themeColor="text1"/>
              </w:rPr>
            </w:pP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0.61–0.80</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Substantial</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505467">
            <w:pPr>
              <w:jc w:val="center"/>
              <w:rPr>
                <w:rFonts w:ascii="Times New Roman" w:hAnsi="Times New Roman" w:cs="Times New Roman"/>
                <w:color w:val="000000" w:themeColor="text1"/>
              </w:rPr>
            </w:pPr>
          </w:p>
        </w:tc>
      </w:tr>
      <w:tr w:rsidR="00A4111F" w:rsidRPr="00A4111F">
        <w:tblPrEx>
          <w:tblCellMar>
            <w:top w:w="0" w:type="dxa"/>
            <w:bottom w:w="0" w:type="dxa"/>
          </w:tblCellMar>
        </w:tblPrEx>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0.81–1.00</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20"/>
                <w:szCs w:val="20"/>
              </w:rPr>
              <w:t>Almost perfect</w:t>
            </w:r>
          </w:p>
        </w:tc>
        <w:tc>
          <w:tcPr>
            <w:tcW w:w="31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505467">
            <w:pPr>
              <w:jc w:val="center"/>
              <w:rPr>
                <w:rFonts w:ascii="Times New Roman" w:hAnsi="Times New Roman" w:cs="Times New Roman"/>
                <w:color w:val="000000" w:themeColor="text1"/>
              </w:rPr>
            </w:pPr>
          </w:p>
        </w:tc>
      </w:tr>
    </w:tbl>
    <w:p w:rsidR="00505467" w:rsidRPr="00A4111F" w:rsidRDefault="00505467">
      <w:pPr>
        <w:spacing w:after="140" w:line="276" w:lineRule="auto"/>
        <w:rPr>
          <w:rFonts w:ascii="Times New Roman" w:hAnsi="Times New Roman" w:cs="Times New Roman"/>
          <w:color w:val="000000" w:themeColor="text1"/>
        </w:rPr>
      </w:pPr>
    </w:p>
    <w:p w:rsidR="00505467" w:rsidRPr="00A4111F" w:rsidRDefault="00000000">
      <w:pPr>
        <w:pStyle w:val="Heading1"/>
        <w:rPr>
          <w:rFonts w:ascii="Times New Roman" w:hAnsi="Times New Roman" w:cs="Times New Roman"/>
          <w:color w:val="000000" w:themeColor="text1"/>
        </w:rPr>
      </w:pPr>
      <w:r w:rsidRPr="00A4111F">
        <w:rPr>
          <w:rFonts w:ascii="Times New Roman" w:hAnsi="Times New Roman" w:cs="Times New Roman"/>
          <w:color w:val="000000" w:themeColor="text1"/>
        </w:rPr>
        <w:lastRenderedPageBreak/>
        <w:t>7.  Disagreement Analysis</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All 59 disagreements were examined. They are not randomly distributed: they fall along two systematic, discipline-driven axes that mirror the reviewers’ differing remits (Figure 2).</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Axis 1</w:t>
      </w:r>
      <w:r w:rsidR="00A4111F">
        <w:rPr>
          <w:rFonts w:ascii="Times New Roman" w:hAnsi="Times New Roman" w:cs="Times New Roman"/>
          <w:b/>
          <w:bCs/>
          <w:color w:val="000000" w:themeColor="text1"/>
        </w:rPr>
        <w:t>:</w:t>
      </w:r>
      <w:r w:rsidRPr="00A4111F">
        <w:rPr>
          <w:rFonts w:ascii="Times New Roman" w:hAnsi="Times New Roman" w:cs="Times New Roman"/>
          <w:b/>
          <w:bCs/>
          <w:color w:val="000000" w:themeColor="text1"/>
        </w:rPr>
        <w:t xml:space="preserve"> Reviewer A includes, Reviewer B excludes (b = 23 records). </w:t>
      </w:r>
      <w:r w:rsidRPr="00A4111F">
        <w:rPr>
          <w:rFonts w:ascii="Times New Roman" w:hAnsi="Times New Roman" w:cs="Times New Roman"/>
          <w:color w:val="000000" w:themeColor="text1"/>
        </w:rPr>
        <w:t xml:space="preserve">These are </w:t>
      </w:r>
      <w:proofErr w:type="gramStart"/>
      <w:r w:rsidRPr="00A4111F">
        <w:rPr>
          <w:rFonts w:ascii="Times New Roman" w:hAnsi="Times New Roman" w:cs="Times New Roman"/>
          <w:color w:val="000000" w:themeColor="text1"/>
        </w:rPr>
        <w:t>studies</w:t>
      </w:r>
      <w:proofErr w:type="gramEnd"/>
      <w:r w:rsidRPr="00A4111F">
        <w:rPr>
          <w:rFonts w:ascii="Times New Roman" w:hAnsi="Times New Roman" w:cs="Times New Roman"/>
          <w:color w:val="000000" w:themeColor="text1"/>
        </w:rPr>
        <w:t xml:space="preserve"> whose contribution is a marketing instrument with no operational, security or compliance content: corporate-social-responsibility-to-loyalty links, word-of-mouth, brand familiarity and branding, green/relationship marketing, social-media and influencer marketing, customer intimacy, and bibliometric/review-method papers. The marketing reviewer values them as consumer/</w:t>
      </w:r>
      <w:proofErr w:type="spellStart"/>
      <w:r w:rsidRPr="00A4111F">
        <w:rPr>
          <w:rFonts w:ascii="Times New Roman" w:hAnsi="Times New Roman" w:cs="Times New Roman"/>
          <w:color w:val="000000" w:themeColor="text1"/>
        </w:rPr>
        <w:t>behavioural</w:t>
      </w:r>
      <w:proofErr w:type="spellEnd"/>
      <w:r w:rsidRPr="00A4111F">
        <w:rPr>
          <w:rFonts w:ascii="Times New Roman" w:hAnsi="Times New Roman" w:cs="Times New Roman"/>
          <w:color w:val="000000" w:themeColor="text1"/>
        </w:rPr>
        <w:t xml:space="preserve"> evidence; the banking officer judges them outside operational practice.</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Axis 2</w:t>
      </w:r>
      <w:r w:rsidR="00A4111F">
        <w:rPr>
          <w:rFonts w:ascii="Times New Roman" w:hAnsi="Times New Roman" w:cs="Times New Roman"/>
          <w:b/>
          <w:bCs/>
          <w:color w:val="000000" w:themeColor="text1"/>
        </w:rPr>
        <w:t>:</w:t>
      </w:r>
      <w:r w:rsidRPr="00A4111F">
        <w:rPr>
          <w:rFonts w:ascii="Times New Roman" w:hAnsi="Times New Roman" w:cs="Times New Roman"/>
          <w:b/>
          <w:bCs/>
          <w:color w:val="000000" w:themeColor="text1"/>
        </w:rPr>
        <w:t xml:space="preserve"> Reviewer B includes, Reviewer A excludes (c = 36 records). </w:t>
      </w:r>
      <w:r w:rsidRPr="00A4111F">
        <w:rPr>
          <w:rFonts w:ascii="Times New Roman" w:hAnsi="Times New Roman" w:cs="Times New Roman"/>
          <w:color w:val="000000" w:themeColor="text1"/>
        </w:rPr>
        <w:t xml:space="preserve">These are </w:t>
      </w:r>
      <w:proofErr w:type="gramStart"/>
      <w:r w:rsidRPr="00A4111F">
        <w:rPr>
          <w:rFonts w:ascii="Times New Roman" w:hAnsi="Times New Roman" w:cs="Times New Roman"/>
          <w:color w:val="000000" w:themeColor="text1"/>
        </w:rPr>
        <w:t>studies</w:t>
      </w:r>
      <w:proofErr w:type="gramEnd"/>
      <w:r w:rsidRPr="00A4111F">
        <w:rPr>
          <w:rFonts w:ascii="Times New Roman" w:hAnsi="Times New Roman" w:cs="Times New Roman"/>
          <w:color w:val="000000" w:themeColor="text1"/>
        </w:rPr>
        <w:t xml:space="preserve"> whose contribution is operational, prudential or regulatory with no consumer/marketing angle: corporate and </w:t>
      </w:r>
      <w:proofErr w:type="spellStart"/>
      <w:r w:rsidRPr="00A4111F">
        <w:rPr>
          <w:rFonts w:ascii="Times New Roman" w:hAnsi="Times New Roman" w:cs="Times New Roman"/>
          <w:color w:val="000000" w:themeColor="text1"/>
        </w:rPr>
        <w:t>Shari’ah</w:t>
      </w:r>
      <w:proofErr w:type="spellEnd"/>
      <w:r w:rsidRPr="00A4111F">
        <w:rPr>
          <w:rFonts w:ascii="Times New Roman" w:hAnsi="Times New Roman" w:cs="Times New Roman"/>
          <w:color w:val="000000" w:themeColor="text1"/>
        </w:rPr>
        <w:t xml:space="preserve"> governance, board and disclosure/ESG studies, risk management and financial risk, regulatory compliance and accounting standards (AAOIFI), </w:t>
      </w:r>
      <w:proofErr w:type="spellStart"/>
      <w:r w:rsidRPr="00A4111F">
        <w:rPr>
          <w:rFonts w:ascii="Times New Roman" w:hAnsi="Times New Roman" w:cs="Times New Roman"/>
          <w:color w:val="000000" w:themeColor="text1"/>
        </w:rPr>
        <w:t>Shari’ah</w:t>
      </w:r>
      <w:proofErr w:type="spellEnd"/>
      <w:r w:rsidRPr="00A4111F">
        <w:rPr>
          <w:rFonts w:ascii="Times New Roman" w:hAnsi="Times New Roman" w:cs="Times New Roman"/>
          <w:color w:val="000000" w:themeColor="text1"/>
        </w:rPr>
        <w:t xml:space="preserve"> contract/product structuring and audit, and digital-infrastructure, AI-oversight and online-dispute-resolution studies. The banking officer reads these as core practice; the marketing reviewer reads them as finance/governance outside the marketing remit.</w:t>
      </w:r>
    </w:p>
    <w:p w:rsidR="00505467" w:rsidRPr="00A4111F" w:rsidRDefault="00000000">
      <w:pPr>
        <w:spacing w:before="120" w:after="40"/>
        <w:jc w:val="center"/>
        <w:rPr>
          <w:rFonts w:ascii="Times New Roman" w:hAnsi="Times New Roman" w:cs="Times New Roman"/>
          <w:color w:val="000000" w:themeColor="text1"/>
        </w:rPr>
      </w:pPr>
      <w:r w:rsidRPr="00A4111F">
        <w:rPr>
          <w:rFonts w:ascii="Times New Roman" w:hAnsi="Times New Roman" w:cs="Times New Roman"/>
          <w:noProof/>
          <w:color w:val="000000" w:themeColor="text1"/>
        </w:rPr>
        <w:drawing>
          <wp:inline distT="0" distB="0" distL="0" distR="0">
            <wp:extent cx="5715000" cy="2971800"/>
            <wp:effectExtent l="0" t="0" r="0" b="0"/>
            <wp:docPr id="100464321" name="fig2" descr="thematic structure of disagreements" title="Disagreement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971800"/>
                    </a:xfrm>
                    <a:prstGeom prst="rect">
                      <a:avLst/>
                    </a:prstGeom>
                  </pic:spPr>
                </pic:pic>
              </a:graphicData>
            </a:graphic>
          </wp:inline>
        </w:drawing>
      </w:r>
    </w:p>
    <w:p w:rsidR="00505467" w:rsidRPr="00A4111F" w:rsidRDefault="00000000">
      <w:pPr>
        <w:spacing w:after="160" w:line="276" w:lineRule="auto"/>
        <w:jc w:val="center"/>
        <w:rPr>
          <w:rFonts w:ascii="Times New Roman" w:hAnsi="Times New Roman" w:cs="Times New Roman"/>
          <w:color w:val="000000" w:themeColor="text1"/>
        </w:rPr>
      </w:pPr>
      <w:r w:rsidRPr="00A4111F">
        <w:rPr>
          <w:rFonts w:ascii="Times New Roman" w:hAnsi="Times New Roman" w:cs="Times New Roman"/>
          <w:b/>
          <w:bCs/>
          <w:color w:val="000000" w:themeColor="text1"/>
        </w:rPr>
        <w:t xml:space="preserve">Figure 2. </w:t>
      </w:r>
      <w:r w:rsidRPr="00A4111F">
        <w:rPr>
          <w:rFonts w:ascii="Times New Roman" w:hAnsi="Times New Roman" w:cs="Times New Roman"/>
          <w:i/>
          <w:iCs/>
          <w:color w:val="000000" w:themeColor="text1"/>
        </w:rPr>
        <w:t>Thematic structure of the 59 disagreements, split by direction.</w:t>
      </w:r>
    </w:p>
    <w:p w:rsidR="00505467" w:rsidRPr="00A4111F" w:rsidRDefault="00000000">
      <w:pPr>
        <w:pStyle w:val="Heading2"/>
        <w:rPr>
          <w:rFonts w:ascii="Times New Roman" w:hAnsi="Times New Roman" w:cs="Times New Roman"/>
          <w:color w:val="000000" w:themeColor="text1"/>
        </w:rPr>
      </w:pPr>
      <w:proofErr w:type="gramStart"/>
      <w:r w:rsidRPr="00A4111F">
        <w:rPr>
          <w:rFonts w:ascii="Times New Roman" w:hAnsi="Times New Roman" w:cs="Times New Roman"/>
          <w:color w:val="000000" w:themeColor="text1"/>
        </w:rPr>
        <w:t>7.1  Representative</w:t>
      </w:r>
      <w:proofErr w:type="gramEnd"/>
      <w:r w:rsidRPr="00A4111F">
        <w:rPr>
          <w:rFonts w:ascii="Times New Roman" w:hAnsi="Times New Roman" w:cs="Times New Roman"/>
          <w:color w:val="000000" w:themeColor="text1"/>
        </w:rPr>
        <w:t xml:space="preserve"> cases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0"/>
        <w:gridCol w:w="1700"/>
        <w:gridCol w:w="3600"/>
      </w:tblGrid>
      <w:tr w:rsidR="00A4111F" w:rsidRPr="00A4111F">
        <w:tblPrEx>
          <w:tblCellMar>
            <w:top w:w="0" w:type="dxa"/>
            <w:bottom w:w="0" w:type="dxa"/>
          </w:tblCellMar>
        </w:tblPrEx>
        <w:trPr>
          <w:tblHeader/>
        </w:trPr>
        <w:tc>
          <w:tcPr>
            <w:tcW w:w="406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rPr>
                <w:rFonts w:ascii="Times New Roman" w:hAnsi="Times New Roman" w:cs="Times New Roman"/>
                <w:color w:val="FFFFFF" w:themeColor="background1"/>
              </w:rPr>
            </w:pPr>
            <w:r w:rsidRPr="00A4111F">
              <w:rPr>
                <w:rFonts w:ascii="Times New Roman" w:hAnsi="Times New Roman" w:cs="Times New Roman"/>
                <w:b/>
                <w:bCs/>
                <w:color w:val="FFFFFF" w:themeColor="background1"/>
                <w:sz w:val="20"/>
                <w:szCs w:val="20"/>
              </w:rPr>
              <w:t>Record</w:t>
            </w:r>
          </w:p>
        </w:tc>
        <w:tc>
          <w:tcPr>
            <w:tcW w:w="170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FFFFFF" w:themeColor="background1"/>
              </w:rPr>
            </w:pPr>
            <w:r w:rsidRPr="00A4111F">
              <w:rPr>
                <w:rFonts w:ascii="Times New Roman" w:hAnsi="Times New Roman" w:cs="Times New Roman"/>
                <w:b/>
                <w:bCs/>
                <w:color w:val="FFFFFF" w:themeColor="background1"/>
                <w:sz w:val="20"/>
                <w:szCs w:val="20"/>
              </w:rPr>
              <w:t>A → B</w:t>
            </w:r>
          </w:p>
        </w:tc>
        <w:tc>
          <w:tcPr>
            <w:tcW w:w="360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rPr>
                <w:rFonts w:ascii="Times New Roman" w:hAnsi="Times New Roman" w:cs="Times New Roman"/>
                <w:color w:val="FFFFFF" w:themeColor="background1"/>
              </w:rPr>
            </w:pPr>
            <w:r w:rsidRPr="00A4111F">
              <w:rPr>
                <w:rFonts w:ascii="Times New Roman" w:hAnsi="Times New Roman" w:cs="Times New Roman"/>
                <w:b/>
                <w:bCs/>
                <w:color w:val="FFFFFF" w:themeColor="background1"/>
                <w:sz w:val="20"/>
                <w:szCs w:val="20"/>
              </w:rPr>
              <w:t>Why they differ</w:t>
            </w:r>
          </w:p>
        </w:tc>
      </w:tr>
      <w:tr w:rsidR="00A4111F" w:rsidRPr="00A4111F">
        <w:tblPrEx>
          <w:tblCellMar>
            <w:top w:w="0" w:type="dxa"/>
            <w:bottom w:w="0" w:type="dxa"/>
          </w:tblCellMar>
        </w:tblPrEx>
        <w:tc>
          <w:tcPr>
            <w:tcW w:w="406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#3 – CSR disclosure, corporate governance and firm value (GCC Islamic banks)</w:t>
            </w:r>
          </w:p>
        </w:tc>
        <w:tc>
          <w:tcPr>
            <w:tcW w:w="170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Exclude → Include</w:t>
            </w:r>
          </w:p>
        </w:tc>
        <w:tc>
          <w:tcPr>
            <w:tcW w:w="360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No consumer/marketing dimension (A); corporate governance and disclosure are core to the officer’s remit (B).</w:t>
            </w:r>
          </w:p>
        </w:tc>
      </w:tr>
      <w:tr w:rsidR="00A4111F" w:rsidRPr="00A4111F">
        <w:tblPrEx>
          <w:tblCellMar>
            <w:top w:w="0" w:type="dxa"/>
            <w:bottom w:w="0" w:type="dxa"/>
          </w:tblCellMar>
        </w:tblPrEx>
        <w:tc>
          <w:tcPr>
            <w:tcW w:w="406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#34 – Word-of-mouth toward Islamic banking (Jordan)</w:t>
            </w:r>
          </w:p>
        </w:tc>
        <w:tc>
          <w:tcPr>
            <w:tcW w:w="170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Include → Exclude</w:t>
            </w:r>
          </w:p>
        </w:tc>
        <w:tc>
          <w:tcPr>
            <w:tcW w:w="360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Consumer-</w:t>
            </w:r>
            <w:proofErr w:type="spellStart"/>
            <w:r w:rsidRPr="00A4111F">
              <w:rPr>
                <w:rFonts w:ascii="Times New Roman" w:hAnsi="Times New Roman" w:cs="Times New Roman"/>
                <w:color w:val="000000" w:themeColor="text1"/>
                <w:sz w:val="18"/>
                <w:szCs w:val="18"/>
              </w:rPr>
              <w:t>behaviour</w:t>
            </w:r>
            <w:proofErr w:type="spellEnd"/>
            <w:r w:rsidRPr="00A4111F">
              <w:rPr>
                <w:rFonts w:ascii="Times New Roman" w:hAnsi="Times New Roman" w:cs="Times New Roman"/>
                <w:color w:val="000000" w:themeColor="text1"/>
                <w:sz w:val="18"/>
                <w:szCs w:val="18"/>
              </w:rPr>
              <w:t xml:space="preserve"> construct (A); marketing communications with no operational content (B).</w:t>
            </w:r>
          </w:p>
        </w:tc>
      </w:tr>
      <w:tr w:rsidR="00A4111F" w:rsidRPr="00A4111F">
        <w:tblPrEx>
          <w:tblCellMar>
            <w:top w:w="0" w:type="dxa"/>
            <w:bottom w:w="0" w:type="dxa"/>
          </w:tblCellMar>
        </w:tblPrEx>
        <w:tc>
          <w:tcPr>
            <w:tcW w:w="406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lastRenderedPageBreak/>
              <w:t>#77 – Determinants of liquidity risk in Islamic banks</w:t>
            </w:r>
          </w:p>
        </w:tc>
        <w:tc>
          <w:tcPr>
            <w:tcW w:w="170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Exclude → Include</w:t>
            </w:r>
          </w:p>
        </w:tc>
        <w:tc>
          <w:tcPr>
            <w:tcW w:w="360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Corporate-finance/risk with no consumer angle (A); liquidity risk is a core risk-management concern (B).</w:t>
            </w:r>
          </w:p>
        </w:tc>
      </w:tr>
      <w:tr w:rsidR="00A4111F" w:rsidRPr="00A4111F">
        <w:tblPrEx>
          <w:tblCellMar>
            <w:top w:w="0" w:type="dxa"/>
            <w:bottom w:w="0" w:type="dxa"/>
          </w:tblCellMar>
        </w:tblPrEx>
        <w:tc>
          <w:tcPr>
            <w:tcW w:w="406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#89 – Barriers to Islamic-banking adoption: a bibliometric analysis</w:t>
            </w:r>
          </w:p>
        </w:tc>
        <w:tc>
          <w:tcPr>
            <w:tcW w:w="170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Include → Exclude</w:t>
            </w:r>
          </w:p>
        </w:tc>
        <w:tc>
          <w:tcPr>
            <w:tcW w:w="360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Adoption + bibliometric method, both within the marketing scholar’s expertise (A); a secondary mapping study, not primary practice (B).</w:t>
            </w:r>
          </w:p>
        </w:tc>
      </w:tr>
      <w:tr w:rsidR="00A4111F" w:rsidRPr="00A4111F">
        <w:tblPrEx>
          <w:tblCellMar>
            <w:top w:w="0" w:type="dxa"/>
            <w:bottom w:w="0" w:type="dxa"/>
          </w:tblCellMar>
        </w:tblPrEx>
        <w:tc>
          <w:tcPr>
            <w:tcW w:w="406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#166 – Cyber-heist spillover and banks’ cyber-risk disclosure</w:t>
            </w:r>
          </w:p>
        </w:tc>
        <w:tc>
          <w:tcPr>
            <w:tcW w:w="170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Include → Include</w:t>
            </w:r>
          </w:p>
        </w:tc>
        <w:tc>
          <w:tcPr>
            <w:tcW w:w="360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8"/>
                <w:szCs w:val="18"/>
              </w:rPr>
              <w:t>Agreement: cybersecurity/cyber-risk is central for both reviewers (shown for contrast).</w:t>
            </w:r>
          </w:p>
        </w:tc>
      </w:tr>
    </w:tbl>
    <w:p w:rsidR="00505467" w:rsidRPr="00A4111F" w:rsidRDefault="00505467">
      <w:pPr>
        <w:spacing w:after="140" w:line="276" w:lineRule="auto"/>
        <w:rPr>
          <w:rFonts w:ascii="Times New Roman" w:hAnsi="Times New Roman" w:cs="Times New Roman"/>
          <w:color w:val="000000" w:themeColor="text1"/>
        </w:rPr>
      </w:pPr>
    </w:p>
    <w:p w:rsidR="00505467" w:rsidRPr="00A4111F" w:rsidRDefault="00000000" w:rsidP="00A4111F">
      <w:pPr>
        <w:pStyle w:val="Heading2"/>
        <w:jc w:val="both"/>
        <w:rPr>
          <w:rFonts w:ascii="Times New Roman" w:hAnsi="Times New Roman" w:cs="Times New Roman"/>
          <w:color w:val="000000" w:themeColor="text1"/>
        </w:rPr>
      </w:pPr>
      <w:proofErr w:type="gramStart"/>
      <w:r w:rsidRPr="00A4111F">
        <w:rPr>
          <w:rFonts w:ascii="Times New Roman" w:hAnsi="Times New Roman" w:cs="Times New Roman"/>
          <w:color w:val="000000" w:themeColor="text1"/>
        </w:rPr>
        <w:t>7.2  Resolution</w:t>
      </w:r>
      <w:proofErr w:type="gramEnd"/>
      <w:r w:rsidRPr="00A4111F">
        <w:rPr>
          <w:rFonts w:ascii="Times New Roman" w:hAnsi="Times New Roman" w:cs="Times New Roman"/>
          <w:color w:val="000000" w:themeColor="text1"/>
        </w:rPr>
        <w:t xml:space="preserve"> procedure and final corpus</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Inter-rater reliability was computed on the raw independent decisions (above). Disagreements were then resolved by consensus using a pre-specified, reproducible rule appropriate to an explicitly interdisciplinary review: </w:t>
      </w:r>
      <w:r w:rsidRPr="00A4111F">
        <w:rPr>
          <w:rFonts w:ascii="Times New Roman" w:hAnsi="Times New Roman" w:cs="Times New Roman"/>
          <w:b/>
          <w:bCs/>
          <w:color w:val="000000" w:themeColor="text1"/>
        </w:rPr>
        <w:t>a record was retained if it was in-scope for either reviewer’s domain</w:t>
      </w:r>
      <w:r w:rsidRPr="00A4111F">
        <w:rPr>
          <w:rFonts w:ascii="Times New Roman" w:hAnsi="Times New Roman" w:cs="Times New Roman"/>
          <w:color w:val="000000" w:themeColor="text1"/>
        </w:rPr>
        <w:t xml:space="preserve">, because the review’s scope spans both the consumer-trust/marketing dimension and the operations/security/compliance dimension. Under this inclusive rule every disagreement resolved to Include, giving a post-consensus eligible set of </w:t>
      </w:r>
      <w:r w:rsidRPr="00A4111F">
        <w:rPr>
          <w:rFonts w:ascii="Times New Roman" w:hAnsi="Times New Roman" w:cs="Times New Roman"/>
          <w:b/>
          <w:bCs/>
          <w:color w:val="000000" w:themeColor="text1"/>
        </w:rPr>
        <w:t>144 records</w:t>
      </w:r>
      <w:r w:rsidRPr="00A4111F">
        <w:rPr>
          <w:rFonts w:ascii="Times New Roman" w:hAnsi="Times New Roman" w:cs="Times New Roman"/>
          <w:color w:val="000000" w:themeColor="text1"/>
        </w:rPr>
        <w:t xml:space="preserve"> (a + b + c = 85 + 23 + 36) and 56 joint exclusions. These 144 records then underwent eligibility assessment against the full study-level scope and document-type criteria, of which 110 were excluded, yielding the final corpus of 34 papers reported in the manuscript. Of the 110 eligibility-stage exclusions, eight are individually identifiable with venue evidence in the supplementary </w:t>
      </w:r>
      <w:proofErr w:type="spellStart"/>
      <w:r w:rsidRPr="00A4111F">
        <w:rPr>
          <w:rFonts w:ascii="Times New Roman" w:hAnsi="Times New Roman" w:cs="Times New Roman"/>
          <w:color w:val="000000" w:themeColor="text1"/>
        </w:rPr>
        <w:t>Retrieval_Eligibility</w:t>
      </w:r>
      <w:proofErr w:type="spellEnd"/>
      <w:r w:rsidRPr="00A4111F">
        <w:rPr>
          <w:rFonts w:ascii="Times New Roman" w:hAnsi="Times New Roman" w:cs="Times New Roman"/>
          <w:color w:val="000000" w:themeColor="text1"/>
        </w:rPr>
        <w:t xml:space="preserve"> sheet; per-record eligibility flags for the remainder were not archived, and these are reported as an aggregate stage count (a stated limitation). The kappa value is reported as the reliability of the independent stage and is not affected by the resolution step.</w:t>
      </w:r>
    </w:p>
    <w:p w:rsidR="00505467" w:rsidRPr="00A4111F" w:rsidRDefault="00000000" w:rsidP="00A4111F">
      <w:pPr>
        <w:pStyle w:val="Heading1"/>
        <w:jc w:val="both"/>
        <w:rPr>
          <w:rFonts w:ascii="Times New Roman" w:hAnsi="Times New Roman" w:cs="Times New Roman"/>
          <w:color w:val="000000" w:themeColor="text1"/>
        </w:rPr>
      </w:pPr>
      <w:r w:rsidRPr="00A4111F">
        <w:rPr>
          <w:rFonts w:ascii="Times New Roman" w:hAnsi="Times New Roman" w:cs="Times New Roman"/>
          <w:color w:val="000000" w:themeColor="text1"/>
        </w:rPr>
        <w:t>8.  Reproducibility</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 xml:space="preserve">Software: </w:t>
      </w:r>
      <w:r w:rsidRPr="00A4111F">
        <w:rPr>
          <w:rFonts w:ascii="Times New Roman" w:hAnsi="Times New Roman" w:cs="Times New Roman"/>
          <w:color w:val="000000" w:themeColor="text1"/>
        </w:rPr>
        <w:t xml:space="preserve">Python 3.11 (standard library: csv, </w:t>
      </w:r>
      <w:proofErr w:type="spellStart"/>
      <w:r w:rsidRPr="00A4111F">
        <w:rPr>
          <w:rFonts w:ascii="Times New Roman" w:hAnsi="Times New Roman" w:cs="Times New Roman"/>
          <w:color w:val="000000" w:themeColor="text1"/>
        </w:rPr>
        <w:t>json</w:t>
      </w:r>
      <w:proofErr w:type="spellEnd"/>
      <w:r w:rsidRPr="00A4111F">
        <w:rPr>
          <w:rFonts w:ascii="Times New Roman" w:hAnsi="Times New Roman" w:cs="Times New Roman"/>
          <w:color w:val="000000" w:themeColor="text1"/>
        </w:rPr>
        <w:t xml:space="preserve">); </w:t>
      </w:r>
      <w:proofErr w:type="spellStart"/>
      <w:r w:rsidRPr="00A4111F">
        <w:rPr>
          <w:rFonts w:ascii="Times New Roman" w:hAnsi="Times New Roman" w:cs="Times New Roman"/>
          <w:color w:val="000000" w:themeColor="text1"/>
        </w:rPr>
        <w:t>openpyxl</w:t>
      </w:r>
      <w:proofErr w:type="spellEnd"/>
      <w:r w:rsidRPr="00A4111F">
        <w:rPr>
          <w:rFonts w:ascii="Times New Roman" w:hAnsi="Times New Roman" w:cs="Times New Roman"/>
          <w:color w:val="000000" w:themeColor="text1"/>
        </w:rPr>
        <w:t xml:space="preserve"> 3.1.5 (Excel I/O); matplotlib 3.10 (figures); LibreOffice Calc (independent formula </w:t>
      </w:r>
      <w:proofErr w:type="spellStart"/>
      <w:r w:rsidRPr="00A4111F">
        <w:rPr>
          <w:rFonts w:ascii="Times New Roman" w:hAnsi="Times New Roman" w:cs="Times New Roman"/>
          <w:color w:val="000000" w:themeColor="text1"/>
        </w:rPr>
        <w:t>recomputation</w:t>
      </w:r>
      <w:proofErr w:type="spellEnd"/>
      <w:r w:rsidRPr="00A4111F">
        <w:rPr>
          <w:rFonts w:ascii="Times New Roman" w:hAnsi="Times New Roman" w:cs="Times New Roman"/>
          <w:color w:val="000000" w:themeColor="text1"/>
        </w:rPr>
        <w:t>). Project provenance: the original Scopus export (tier1_scopus_200.csv) and the analysis script were used to generate the decision and reliability artefacts; those source files are project-internal and are not part of the submitted supplementary package. The reproducible supplementary outputs provided with this submission are the 200-record screening decision table (Screening_decisions_200_records.csv), the disagreement and resolution log (Screening_disagreements_and_resolutions.csv), and the Cohen's kappa statistics (</w:t>
      </w:r>
      <w:proofErr w:type="spellStart"/>
      <w:r w:rsidRPr="00A4111F">
        <w:rPr>
          <w:rFonts w:ascii="Times New Roman" w:hAnsi="Times New Roman" w:cs="Times New Roman"/>
          <w:color w:val="000000" w:themeColor="text1"/>
        </w:rPr>
        <w:t>Cohen_kappa_</w:t>
      </w:r>
      <w:proofErr w:type="gramStart"/>
      <w:r w:rsidRPr="00A4111F">
        <w:rPr>
          <w:rFonts w:ascii="Times New Roman" w:hAnsi="Times New Roman" w:cs="Times New Roman"/>
          <w:color w:val="000000" w:themeColor="text1"/>
        </w:rPr>
        <w:t>statistics.json</w:t>
      </w:r>
      <w:proofErr w:type="spellEnd"/>
      <w:proofErr w:type="gramEnd"/>
      <w:r w:rsidRPr="00A4111F">
        <w:rPr>
          <w:rFonts w:ascii="Times New Roman" w:hAnsi="Times New Roman" w:cs="Times New Roman"/>
          <w:color w:val="000000" w:themeColor="text1"/>
        </w:rPr>
        <w:t>). Parameters: N = 200; binary decisions (1/0); unweighted Cohen’s kappa; Landis &amp; Koch (1977) bands. Every reported number is computed from the decision vectors; none is hard-coded.</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b/>
          <w:bCs/>
          <w:color w:val="000000" w:themeColor="text1"/>
        </w:rPr>
        <w:t xml:space="preserve">Note on the calculator. </w:t>
      </w:r>
      <w:r w:rsidRPr="00A4111F">
        <w:rPr>
          <w:rFonts w:ascii="Times New Roman" w:hAnsi="Times New Roman" w:cs="Times New Roman"/>
          <w:color w:val="000000" w:themeColor="text1"/>
        </w:rPr>
        <w:t>During verification, an early version of the checking spreadsheet contained a cell-reference error: the Po and Pe formulas divided by a text-label cell instead of the numeric N cell, returning #</w:t>
      </w:r>
      <w:proofErr w:type="gramStart"/>
      <w:r w:rsidRPr="00A4111F">
        <w:rPr>
          <w:rFonts w:ascii="Times New Roman" w:hAnsi="Times New Roman" w:cs="Times New Roman"/>
          <w:color w:val="000000" w:themeColor="text1"/>
        </w:rPr>
        <w:t>VALUE!.</w:t>
      </w:r>
      <w:proofErr w:type="gramEnd"/>
      <w:r w:rsidRPr="00A4111F">
        <w:rPr>
          <w:rFonts w:ascii="Times New Roman" w:hAnsi="Times New Roman" w:cs="Times New Roman"/>
          <w:color w:val="000000" w:themeColor="text1"/>
        </w:rPr>
        <w:t xml:space="preserve"> This was corrected in the spreadsheet used for verification, which then reproduces κ = 0.400 exactly. (The verification spreadsheet is project-internal and is not part of the submitted supplementary package.)</w:t>
      </w:r>
    </w:p>
    <w:p w:rsidR="00505467" w:rsidRPr="00A4111F" w:rsidRDefault="00000000" w:rsidP="00A4111F">
      <w:pPr>
        <w:pStyle w:val="Heading1"/>
        <w:jc w:val="both"/>
        <w:rPr>
          <w:rFonts w:ascii="Times New Roman" w:hAnsi="Times New Roman" w:cs="Times New Roman"/>
          <w:color w:val="000000" w:themeColor="text1"/>
        </w:rPr>
      </w:pPr>
      <w:r w:rsidRPr="00A4111F">
        <w:rPr>
          <w:rFonts w:ascii="Times New Roman" w:hAnsi="Times New Roman" w:cs="Times New Roman"/>
          <w:color w:val="000000" w:themeColor="text1"/>
        </w:rPr>
        <w:lastRenderedPageBreak/>
        <w:t>9.  Scope Note: Bibliometric Goals (2–4)</w:t>
      </w:r>
    </w:p>
    <w:p w:rsidR="00505467" w:rsidRPr="00A4111F" w:rsidRDefault="00000000" w:rsidP="00A4111F">
      <w:pPr>
        <w:spacing w:after="14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The keyword co-occurrence network, </w:t>
      </w:r>
      <w:proofErr w:type="spellStart"/>
      <w:r w:rsidRPr="00A4111F">
        <w:rPr>
          <w:rFonts w:ascii="Times New Roman" w:hAnsi="Times New Roman" w:cs="Times New Roman"/>
          <w:color w:val="000000" w:themeColor="text1"/>
        </w:rPr>
        <w:t>VOSviewer</w:t>
      </w:r>
      <w:proofErr w:type="spellEnd"/>
      <w:r w:rsidRPr="00A4111F">
        <w:rPr>
          <w:rFonts w:ascii="Times New Roman" w:hAnsi="Times New Roman" w:cs="Times New Roman"/>
          <w:color w:val="000000" w:themeColor="text1"/>
        </w:rPr>
        <w:t>-compatible analysis and strategic thematic map require an author-keyword (or index-keyword) field and/or abstracts. The supplied export did not populate the abstract or author/index-keyword fields; accordingly, the manuscript's science mapping was conducted using title-term co-occurrence, which does not require author-keyword fields, rather than author-keyword co-occurrence. An author-keyword analysis would instead require a native Scopus export (Database → Export → CSV with “Author keywords”, “Index keywords” and “Abstract” selected). The screening and Cohen’s kappa results reported here are complete and final.</w:t>
      </w:r>
    </w:p>
    <w:p w:rsidR="00505467" w:rsidRPr="00A4111F" w:rsidRDefault="00000000" w:rsidP="00A4111F">
      <w:pPr>
        <w:pStyle w:val="Heading1"/>
        <w:jc w:val="both"/>
        <w:rPr>
          <w:rFonts w:ascii="Times New Roman" w:hAnsi="Times New Roman" w:cs="Times New Roman"/>
          <w:color w:val="000000" w:themeColor="text1"/>
        </w:rPr>
      </w:pPr>
      <w:r w:rsidRPr="00A4111F">
        <w:rPr>
          <w:rFonts w:ascii="Times New Roman" w:hAnsi="Times New Roman" w:cs="Times New Roman"/>
          <w:color w:val="000000" w:themeColor="text1"/>
        </w:rPr>
        <w:t>References</w:t>
      </w:r>
    </w:p>
    <w:p w:rsidR="00505467" w:rsidRPr="00A4111F" w:rsidRDefault="00000000" w:rsidP="00A4111F">
      <w:pPr>
        <w:spacing w:after="8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Cohen, J. (1960). A coefficient of agreement for nominal scales. </w:t>
      </w:r>
      <w:r w:rsidRPr="00A4111F">
        <w:rPr>
          <w:rFonts w:ascii="Times New Roman" w:hAnsi="Times New Roman" w:cs="Times New Roman"/>
          <w:i/>
          <w:iCs/>
          <w:color w:val="000000" w:themeColor="text1"/>
        </w:rPr>
        <w:t>Educational and Psychological Measurement, 20</w:t>
      </w:r>
      <w:r w:rsidRPr="00A4111F">
        <w:rPr>
          <w:rFonts w:ascii="Times New Roman" w:hAnsi="Times New Roman" w:cs="Times New Roman"/>
          <w:color w:val="000000" w:themeColor="text1"/>
        </w:rPr>
        <w:t>(1), 37–46.</w:t>
      </w:r>
    </w:p>
    <w:p w:rsidR="00505467" w:rsidRPr="00A4111F" w:rsidRDefault="00000000" w:rsidP="00A4111F">
      <w:pPr>
        <w:spacing w:after="80" w:line="276" w:lineRule="auto"/>
        <w:jc w:val="both"/>
        <w:rPr>
          <w:rFonts w:ascii="Times New Roman" w:hAnsi="Times New Roman" w:cs="Times New Roman"/>
          <w:color w:val="000000" w:themeColor="text1"/>
        </w:rPr>
      </w:pPr>
      <w:r w:rsidRPr="00A4111F">
        <w:rPr>
          <w:rFonts w:ascii="Times New Roman" w:hAnsi="Times New Roman" w:cs="Times New Roman"/>
          <w:color w:val="000000" w:themeColor="text1"/>
        </w:rPr>
        <w:t xml:space="preserve">Landis, J. R., &amp; Koch, G. G. (1977). The measurement of observer agreement for categorical data. </w:t>
      </w:r>
      <w:r w:rsidRPr="00A4111F">
        <w:rPr>
          <w:rFonts w:ascii="Times New Roman" w:hAnsi="Times New Roman" w:cs="Times New Roman"/>
          <w:i/>
          <w:iCs/>
          <w:color w:val="000000" w:themeColor="text1"/>
        </w:rPr>
        <w:t>Biometrics, 33</w:t>
      </w:r>
      <w:r w:rsidRPr="00A4111F">
        <w:rPr>
          <w:rFonts w:ascii="Times New Roman" w:hAnsi="Times New Roman" w:cs="Times New Roman"/>
          <w:color w:val="000000" w:themeColor="text1"/>
        </w:rPr>
        <w:t>(1), 159–174.</w:t>
      </w:r>
    </w:p>
    <w:p w:rsidR="00505467" w:rsidRPr="00A4111F" w:rsidRDefault="00505467">
      <w:pPr>
        <w:rPr>
          <w:rFonts w:ascii="Times New Roman" w:hAnsi="Times New Roman" w:cs="Times New Roman"/>
          <w:color w:val="000000" w:themeColor="text1"/>
        </w:rPr>
        <w:sectPr w:rsidR="00505467" w:rsidRPr="00A4111F">
          <w:footerReference w:type="default" r:id="rId9"/>
          <w:pgSz w:w="12240" w:h="15840"/>
          <w:pgMar w:top="1440" w:right="1440" w:bottom="1440" w:left="1440" w:header="708" w:footer="708" w:gutter="0"/>
          <w:cols w:space="720"/>
          <w:docGrid w:linePitch="360"/>
        </w:sectPr>
      </w:pPr>
    </w:p>
    <w:p w:rsidR="00505467" w:rsidRPr="00A4111F" w:rsidRDefault="00000000">
      <w:pPr>
        <w:spacing w:after="120"/>
        <w:rPr>
          <w:rFonts w:ascii="Times New Roman" w:hAnsi="Times New Roman" w:cs="Times New Roman"/>
          <w:color w:val="000000" w:themeColor="text1"/>
        </w:rPr>
      </w:pPr>
      <w:r w:rsidRPr="00A4111F">
        <w:rPr>
          <w:rFonts w:ascii="Times New Roman" w:hAnsi="Times New Roman" w:cs="Times New Roman"/>
          <w:b/>
          <w:bCs/>
          <w:color w:val="000000" w:themeColor="text1"/>
          <w:sz w:val="28"/>
          <w:szCs w:val="28"/>
        </w:rPr>
        <w:lastRenderedPageBreak/>
        <w:t>Complete Article-Level Screening Decisions (N = 200)</w:t>
      </w:r>
    </w:p>
    <w:p w:rsidR="00505467" w:rsidRPr="00A4111F" w:rsidRDefault="00000000">
      <w:pPr>
        <w:spacing w:after="120" w:line="276" w:lineRule="auto"/>
        <w:rPr>
          <w:rFonts w:ascii="Times New Roman" w:hAnsi="Times New Roman" w:cs="Times New Roman"/>
          <w:color w:val="000000" w:themeColor="text1"/>
        </w:rPr>
      </w:pPr>
      <w:r w:rsidRPr="00A4111F">
        <w:rPr>
          <w:rFonts w:ascii="Times New Roman" w:hAnsi="Times New Roman" w:cs="Times New Roman"/>
          <w:i/>
          <w:iCs/>
          <w:color w:val="000000" w:themeColor="text1"/>
        </w:rPr>
        <w:t>Decisions: Include / Exclude. Shading: green = Include, red = Exclude. “AGREE/DISAGREE” follows from the two decisions.</w:t>
      </w:r>
    </w:p>
    <w:tbl>
      <w:tblPr>
        <w:tblW w:w="12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3850"/>
        <w:gridCol w:w="860"/>
        <w:gridCol w:w="860"/>
        <w:gridCol w:w="3185"/>
        <w:gridCol w:w="3185"/>
      </w:tblGrid>
      <w:tr w:rsidR="00A4111F" w:rsidRPr="00A4111F">
        <w:tblPrEx>
          <w:tblCellMar>
            <w:top w:w="0" w:type="dxa"/>
            <w:bottom w:w="0" w:type="dxa"/>
          </w:tblCellMar>
        </w:tblPrEx>
        <w:trPr>
          <w:tblHeader/>
        </w:trPr>
        <w:tc>
          <w:tcPr>
            <w:tcW w:w="52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A4111F">
            <w:pPr>
              <w:jc w:val="center"/>
              <w:rPr>
                <w:rFonts w:ascii="Times New Roman" w:hAnsi="Times New Roman" w:cs="Times New Roman"/>
                <w:color w:val="FFFFFF" w:themeColor="background1"/>
              </w:rPr>
            </w:pPr>
            <w:r>
              <w:rPr>
                <w:rFonts w:ascii="Times New Roman" w:hAnsi="Times New Roman" w:cs="Times New Roman"/>
                <w:b/>
                <w:bCs/>
                <w:color w:val="FFFFFF" w:themeColor="background1"/>
                <w:sz w:val="18"/>
                <w:szCs w:val="18"/>
              </w:rPr>
              <w:t>SL</w:t>
            </w:r>
          </w:p>
        </w:tc>
        <w:tc>
          <w:tcPr>
            <w:tcW w:w="385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rPr>
                <w:rFonts w:ascii="Times New Roman" w:hAnsi="Times New Roman" w:cs="Times New Roman"/>
                <w:color w:val="FFFFFF" w:themeColor="background1"/>
              </w:rPr>
            </w:pPr>
            <w:proofErr w:type="gramStart"/>
            <w:r w:rsidRPr="00A4111F">
              <w:rPr>
                <w:rFonts w:ascii="Times New Roman" w:hAnsi="Times New Roman" w:cs="Times New Roman"/>
                <w:b/>
                <w:bCs/>
                <w:color w:val="FFFFFF" w:themeColor="background1"/>
                <w:sz w:val="18"/>
                <w:szCs w:val="18"/>
              </w:rPr>
              <w:t>Title  (</w:t>
            </w:r>
            <w:proofErr w:type="gramEnd"/>
            <w:r w:rsidRPr="00A4111F">
              <w:rPr>
                <w:rFonts w:ascii="Times New Roman" w:hAnsi="Times New Roman" w:cs="Times New Roman"/>
                <w:b/>
                <w:bCs/>
                <w:color w:val="FFFFFF" w:themeColor="background1"/>
                <w:sz w:val="18"/>
                <w:szCs w:val="18"/>
              </w:rPr>
              <w:t>source, year)</w:t>
            </w:r>
          </w:p>
        </w:tc>
        <w:tc>
          <w:tcPr>
            <w:tcW w:w="86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FFFFFF" w:themeColor="background1"/>
              </w:rPr>
            </w:pPr>
            <w:r w:rsidRPr="00A4111F">
              <w:rPr>
                <w:rFonts w:ascii="Times New Roman" w:hAnsi="Times New Roman" w:cs="Times New Roman"/>
                <w:b/>
                <w:bCs/>
                <w:color w:val="FFFFFF" w:themeColor="background1"/>
                <w:sz w:val="18"/>
                <w:szCs w:val="18"/>
              </w:rPr>
              <w:t>Rev. A</w:t>
            </w:r>
          </w:p>
        </w:tc>
        <w:tc>
          <w:tcPr>
            <w:tcW w:w="860"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FFFFFF" w:themeColor="background1"/>
              </w:rPr>
            </w:pPr>
            <w:r w:rsidRPr="00A4111F">
              <w:rPr>
                <w:rFonts w:ascii="Times New Roman" w:hAnsi="Times New Roman" w:cs="Times New Roman"/>
                <w:b/>
                <w:bCs/>
                <w:color w:val="FFFFFF" w:themeColor="background1"/>
                <w:sz w:val="18"/>
                <w:szCs w:val="18"/>
              </w:rPr>
              <w:t>Rev. B</w:t>
            </w:r>
          </w:p>
        </w:tc>
        <w:tc>
          <w:tcPr>
            <w:tcW w:w="3185"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rPr>
                <w:rFonts w:ascii="Times New Roman" w:hAnsi="Times New Roman" w:cs="Times New Roman"/>
                <w:color w:val="FFFFFF" w:themeColor="background1"/>
              </w:rPr>
            </w:pPr>
            <w:r w:rsidRPr="00A4111F">
              <w:rPr>
                <w:rFonts w:ascii="Times New Roman" w:hAnsi="Times New Roman" w:cs="Times New Roman"/>
                <w:b/>
                <w:bCs/>
                <w:color w:val="FFFFFF" w:themeColor="background1"/>
                <w:sz w:val="18"/>
                <w:szCs w:val="18"/>
              </w:rPr>
              <w:t>Reviewer A justification</w:t>
            </w:r>
          </w:p>
        </w:tc>
        <w:tc>
          <w:tcPr>
            <w:tcW w:w="3185" w:type="dxa"/>
            <w:tcBorders>
              <w:top w:val="single" w:sz="1" w:space="0" w:color="BFBFBF"/>
              <w:left w:val="single" w:sz="1" w:space="0" w:color="BFBFBF"/>
              <w:bottom w:val="single" w:sz="1" w:space="0" w:color="BFBFBF"/>
              <w:right w:val="single" w:sz="1" w:space="0" w:color="BFBFBF"/>
            </w:tcBorders>
            <w:shd w:val="clear" w:color="auto" w:fill="1F3864"/>
            <w:tcMar>
              <w:top w:w="60" w:type="dxa"/>
              <w:left w:w="110" w:type="dxa"/>
              <w:bottom w:w="60" w:type="dxa"/>
              <w:right w:w="110" w:type="dxa"/>
            </w:tcMar>
            <w:vAlign w:val="center"/>
          </w:tcPr>
          <w:p w:rsidR="00505467" w:rsidRPr="00A4111F" w:rsidRDefault="00000000">
            <w:pPr>
              <w:rPr>
                <w:rFonts w:ascii="Times New Roman" w:hAnsi="Times New Roman" w:cs="Times New Roman"/>
                <w:color w:val="FFFFFF" w:themeColor="background1"/>
              </w:rPr>
            </w:pPr>
            <w:r w:rsidRPr="00A4111F">
              <w:rPr>
                <w:rFonts w:ascii="Times New Roman" w:hAnsi="Times New Roman" w:cs="Times New Roman"/>
                <w:b/>
                <w:bCs/>
                <w:color w:val="FFFFFF" w:themeColor="background1"/>
                <w:sz w:val="18"/>
                <w:szCs w:val="18"/>
              </w:rPr>
              <w:t>Reviewer B justification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banks: Contrasting the drivers of customer satisfaction on image, trust, and loyalty of Muslim and non-Muslim customers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Bank Marketing, 2013)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Core consumer trust/satisfaction/loyalty in Islamic banking.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trust/loyalty central to the review's customer-protection theme.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 and mammon: The economic predicaments of </w:t>
            </w:r>
            <w:proofErr w:type="spellStart"/>
            <w:proofErr w:type="gramStart"/>
            <w:r w:rsidRPr="00A4111F">
              <w:rPr>
                <w:rFonts w:ascii="Times New Roman" w:hAnsi="Times New Roman" w:cs="Times New Roman"/>
                <w:color w:val="000000" w:themeColor="text1"/>
                <w:sz w:val="16"/>
                <w:szCs w:val="16"/>
              </w:rPr>
              <w:t>islamism</w:t>
            </w:r>
            <w:proofErr w:type="spellEnd"/>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Islam and Mammon the Economic Predicaments of Islamism, 2010)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Political economy of Islamism; no consumer/banking relevance.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Political-economy essay; no banking operations/security content.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CSR Disclosure, Corporate Governance and Firm Value: a study on GCC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Accounting and Information Management,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CSR disclosure/governance/firm value; no consumer dimension.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Corporate governance and disclosure relevant to compliance/governance.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Trust, commitment, customer intimacy and customer loyalty in Islamic banking </w:t>
            </w:r>
            <w:proofErr w:type="gramStart"/>
            <w:r w:rsidRPr="00A4111F">
              <w:rPr>
                <w:rFonts w:ascii="Times New Roman" w:hAnsi="Times New Roman" w:cs="Times New Roman"/>
                <w:color w:val="000000" w:themeColor="text1"/>
                <w:sz w:val="16"/>
                <w:szCs w:val="16"/>
              </w:rPr>
              <w:t>relationships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Bank Marketing, 2018)</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commitment, intimacy, loyalty: core consumer-trust constructs.</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Relationship trust bears on customer protection/retention in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Impact of the Quality of Financial and Banking Applications Used on Smartphone on the Customer Satisfaction of Jordanian Islamic </w:t>
            </w:r>
            <w:proofErr w:type="gramStart"/>
            <w:r w:rsidRPr="00A4111F">
              <w:rPr>
                <w:rFonts w:ascii="Times New Roman" w:hAnsi="Times New Roman" w:cs="Times New Roman"/>
                <w:color w:val="000000" w:themeColor="text1"/>
                <w:sz w:val="16"/>
                <w:szCs w:val="16"/>
              </w:rPr>
              <w:t>Bank</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Review of Management and Marketing, 2025)</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app quality and customer satisfaction (digital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Smartphone banking application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Incorporating attitude towards Halal banking in an integrated service quality, satisfaction, trust and loyalty model in online Islamic banking </w:t>
            </w:r>
            <w:proofErr w:type="gramStart"/>
            <w:r w:rsidRPr="00A4111F">
              <w:rPr>
                <w:rFonts w:ascii="Times New Roman" w:hAnsi="Times New Roman" w:cs="Times New Roman"/>
                <w:color w:val="000000" w:themeColor="text1"/>
                <w:sz w:val="16"/>
                <w:szCs w:val="16"/>
              </w:rPr>
              <w:t>context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Bank Marketing, 2013)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 Islamic banking service quality, trust, loyalty (digital +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 banking channel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 and mammon: The economic predicaments of </w:t>
            </w:r>
            <w:proofErr w:type="spellStart"/>
            <w:proofErr w:type="gramStart"/>
            <w:r w:rsidRPr="00A4111F">
              <w:rPr>
                <w:rFonts w:ascii="Times New Roman" w:hAnsi="Times New Roman" w:cs="Times New Roman"/>
                <w:color w:val="000000" w:themeColor="text1"/>
                <w:sz w:val="16"/>
                <w:szCs w:val="16"/>
              </w:rPr>
              <w:t>islamism</w:t>
            </w:r>
            <w:proofErr w:type="spellEnd"/>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Islam and Mammon the Economic Predicaments of Islamism, 2010)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Duplicate of #2; political economy of Islamism.</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Duplicate; political-economy essay, no banking-ops content.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role of religious norms, trust, importance of attributes and information sources in the relationship between religiosity and selection of the Islamic </w:t>
            </w:r>
            <w:proofErr w:type="gramStart"/>
            <w:r w:rsidRPr="00A4111F">
              <w:rPr>
                <w:rFonts w:ascii="Times New Roman" w:hAnsi="Times New Roman" w:cs="Times New Roman"/>
                <w:color w:val="000000" w:themeColor="text1"/>
                <w:sz w:val="16"/>
                <w:szCs w:val="16"/>
              </w:rPr>
              <w:t>bank</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2017)</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Religiosity, trust and bank selection: consumer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/trust.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trust/selection of Islamic bank, on the review theme.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AI in the Financial Sector: The Line between Innovation, Regulation and Ethical </w:t>
            </w:r>
            <w:proofErr w:type="gramStart"/>
            <w:r w:rsidRPr="00A4111F">
              <w:rPr>
                <w:rFonts w:ascii="Times New Roman" w:hAnsi="Times New Roman" w:cs="Times New Roman"/>
                <w:color w:val="000000" w:themeColor="text1"/>
                <w:sz w:val="16"/>
                <w:szCs w:val="16"/>
              </w:rPr>
              <w:t>Responsibility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Information Switzerland,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 regulation/ethics generally; not consumer or Islamic-specific.</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 + regulation in finance relevant to digital banking governance.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Measuring the effects of service quality by using CARTER model towards customer satisfaction, trust and loyalty in Indonesian Islamic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CARTER service quality, satisfaction, trust, loyalty: core marketing.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quality/trust relate to customer service in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link between corporate social responsibility and customer loyalty: Empirical evidence from the Islamic banking </w:t>
            </w:r>
            <w:proofErr w:type="gramStart"/>
            <w:r w:rsidRPr="00A4111F">
              <w:rPr>
                <w:rFonts w:ascii="Times New Roman" w:hAnsi="Times New Roman" w:cs="Times New Roman"/>
                <w:color w:val="000000" w:themeColor="text1"/>
                <w:sz w:val="16"/>
                <w:szCs w:val="16"/>
              </w:rPr>
              <w:t>industry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Retailing and Consumer Services,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CSR linked to customer loyalty: consumer outcome.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CSR-to-loyalty is a marketing lever; no operations/security content.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Politics of Islamic </w:t>
            </w:r>
            <w:proofErr w:type="gramStart"/>
            <w:r w:rsidRPr="00A4111F">
              <w:rPr>
                <w:rFonts w:ascii="Times New Roman" w:hAnsi="Times New Roman" w:cs="Times New Roman"/>
                <w:color w:val="000000" w:themeColor="text1"/>
                <w:sz w:val="16"/>
                <w:szCs w:val="16"/>
              </w:rPr>
              <w:t>Finance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Politics of Islamic Finance,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Politics of Islamic finance; political economy, off-topic.</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Political-economy book; no banking operations/security content.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Forecasting patronage factors of Islamic credit card as a new e-commerce banking service: An integration of </w:t>
            </w:r>
            <w:r w:rsidRPr="00A4111F">
              <w:rPr>
                <w:rFonts w:ascii="Times New Roman" w:hAnsi="Times New Roman" w:cs="Times New Roman"/>
                <w:color w:val="000000" w:themeColor="text1"/>
                <w:sz w:val="16"/>
                <w:szCs w:val="16"/>
              </w:rPr>
              <w:lastRenderedPageBreak/>
              <w:t xml:space="preserve">TAM with perceived religiosity and </w:t>
            </w:r>
            <w:proofErr w:type="gramStart"/>
            <w:r w:rsidRPr="00A4111F">
              <w:rPr>
                <w:rFonts w:ascii="Times New Roman" w:hAnsi="Times New Roman" w:cs="Times New Roman"/>
                <w:color w:val="000000" w:themeColor="text1"/>
                <w:sz w:val="16"/>
                <w:szCs w:val="16"/>
              </w:rPr>
              <w:t>trust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2016)</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lastRenderedPageBreak/>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credit card via TAM, trust: tech adoption + e-commerce banking.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E-commerce credit-card banking service = digital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The role of customer intimacy in increasing Islamic bank customer loyalty in using e-banking and m-</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intimacy and loyalty via e-/m-banking (digital +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E-banking and m-banking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Investigating the effects of human resource policies on organizational performance: An empirical study on commercial banks operating in </w:t>
            </w:r>
            <w:proofErr w:type="gramStart"/>
            <w:r w:rsidRPr="00A4111F">
              <w:rPr>
                <w:rFonts w:ascii="Times New Roman" w:hAnsi="Times New Roman" w:cs="Times New Roman"/>
                <w:color w:val="000000" w:themeColor="text1"/>
                <w:sz w:val="16"/>
                <w:szCs w:val="16"/>
              </w:rPr>
              <w:t>Jordan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European Journal of Economics Finance and Administrative Sciences, 2012)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 policies and performance, conventional banks; no consumer/Islamic.</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w:t>
            </w:r>
            <w:proofErr w:type="spellStart"/>
            <w:r w:rsidRPr="00A4111F">
              <w:rPr>
                <w:rFonts w:ascii="Times New Roman" w:hAnsi="Times New Roman" w:cs="Times New Roman"/>
                <w:color w:val="000000" w:themeColor="text1"/>
                <w:sz w:val="15"/>
                <w:szCs w:val="15"/>
              </w:rPr>
              <w:t>organisational</w:t>
            </w:r>
            <w:proofErr w:type="spellEnd"/>
            <w:r w:rsidRPr="00A4111F">
              <w:rPr>
                <w:rFonts w:ascii="Times New Roman" w:hAnsi="Times New Roman" w:cs="Times New Roman"/>
                <w:color w:val="000000" w:themeColor="text1"/>
                <w:sz w:val="15"/>
                <w:szCs w:val="15"/>
              </w:rPr>
              <w:t xml:space="preserve">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Predicting </w:t>
            </w:r>
            <w:proofErr w:type="spellStart"/>
            <w:r w:rsidRPr="00A4111F">
              <w:rPr>
                <w:rFonts w:ascii="Times New Roman" w:hAnsi="Times New Roman" w:cs="Times New Roman"/>
                <w:color w:val="000000" w:themeColor="text1"/>
                <w:sz w:val="16"/>
                <w:szCs w:val="16"/>
              </w:rPr>
              <w:t>behavioural</w:t>
            </w:r>
            <w:proofErr w:type="spellEnd"/>
            <w:r w:rsidRPr="00A4111F">
              <w:rPr>
                <w:rFonts w:ascii="Times New Roman" w:hAnsi="Times New Roman" w:cs="Times New Roman"/>
                <w:color w:val="000000" w:themeColor="text1"/>
                <w:sz w:val="16"/>
                <w:szCs w:val="16"/>
              </w:rPr>
              <w:t xml:space="preserve"> intention toward Islamic bank: a multi-group analysis </w:t>
            </w:r>
            <w:proofErr w:type="gramStart"/>
            <w:r w:rsidRPr="00A4111F">
              <w:rPr>
                <w:rFonts w:ascii="Times New Roman" w:hAnsi="Times New Roman" w:cs="Times New Roman"/>
                <w:color w:val="000000" w:themeColor="text1"/>
                <w:sz w:val="16"/>
                <w:szCs w:val="16"/>
              </w:rPr>
              <w:t>approach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Behavioural</w:t>
            </w:r>
            <w:proofErr w:type="spellEnd"/>
            <w:r w:rsidRPr="00A4111F">
              <w:rPr>
                <w:rFonts w:ascii="Times New Roman" w:hAnsi="Times New Roman" w:cs="Times New Roman"/>
                <w:color w:val="000000" w:themeColor="text1"/>
                <w:sz w:val="15"/>
                <w:szCs w:val="15"/>
              </w:rPr>
              <w:t xml:space="preserve"> intention toward Islamic bank: consumer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adoption of Islamic bank, relevant to uptake.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Quality and image of banking services: a comparative study of conventional and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Bank Marketing, 2017)</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quality and image of banking services: consumer perception.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quality of Islamic banks relevant to customer service.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Customers' attitude toward Islamic banking in </w:t>
            </w:r>
            <w:proofErr w:type="gramStart"/>
            <w:r w:rsidRPr="00A4111F">
              <w:rPr>
                <w:rFonts w:ascii="Times New Roman" w:hAnsi="Times New Roman" w:cs="Times New Roman"/>
                <w:color w:val="000000" w:themeColor="text1"/>
                <w:sz w:val="16"/>
                <w:szCs w:val="16"/>
              </w:rPr>
              <w:t>Pakistan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Customers' attitudes toward Islamic banking: consumer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attitudes toward the bank, on the review theme.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role of customer online brand experience in customers' intention to forward online company-generated content: The case of the Islamic online banking sector in </w:t>
            </w:r>
            <w:proofErr w:type="gramStart"/>
            <w:r w:rsidRPr="00A4111F">
              <w:rPr>
                <w:rFonts w:ascii="Times New Roman" w:hAnsi="Times New Roman" w:cs="Times New Roman"/>
                <w:color w:val="000000" w:themeColor="text1"/>
                <w:sz w:val="16"/>
                <w:szCs w:val="16"/>
              </w:rPr>
              <w:t>Palestine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Retailing and Consumer Services,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Online brand experience and content sharing: online consumer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Brand experience/UGC is marketing communications,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Contrasting the drivers of customer loyalty; financing and depositor customer, single and dual customer, in Indonesian Islamic </w:t>
            </w:r>
            <w:proofErr w:type="gramStart"/>
            <w:r w:rsidRPr="00A4111F">
              <w:rPr>
                <w:rFonts w:ascii="Times New Roman" w:hAnsi="Times New Roman" w:cs="Times New Roman"/>
                <w:color w:val="000000" w:themeColor="text1"/>
                <w:sz w:val="16"/>
                <w:szCs w:val="16"/>
              </w:rPr>
              <w:t>bank</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Drivers of customer loyalty across customer types: consumer loyalty.</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loyalty/retention relevant to banking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Performance comparison of Islamic and conventional banks: empirical evidence from </w:t>
            </w:r>
            <w:proofErr w:type="gramStart"/>
            <w:r w:rsidRPr="00A4111F">
              <w:rPr>
                <w:rFonts w:ascii="Times New Roman" w:hAnsi="Times New Roman" w:cs="Times New Roman"/>
                <w:color w:val="000000" w:themeColor="text1"/>
                <w:sz w:val="16"/>
                <w:szCs w:val="16"/>
              </w:rPr>
              <w:t>Pakistan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2017)</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Financial performance comparison; no consumer dimension.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Comparative financial performance; not operations/security/risk-mgmt.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determinants of the choice of Islamic banks in </w:t>
            </w:r>
            <w:proofErr w:type="gramStart"/>
            <w:r w:rsidRPr="00A4111F">
              <w:rPr>
                <w:rFonts w:ascii="Times New Roman" w:hAnsi="Times New Roman" w:cs="Times New Roman"/>
                <w:color w:val="000000" w:themeColor="text1"/>
                <w:sz w:val="16"/>
                <w:szCs w:val="16"/>
              </w:rPr>
              <w:t>Tunisia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Bank Marketing, 2016)</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Determinants of Islamic bank choice: consumer selection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bank-selection relevant to the customer base.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Consumers’ attitude towards e-banking services in Islamic banks: the case of </w:t>
            </w:r>
            <w:proofErr w:type="gramStart"/>
            <w:r w:rsidRPr="00A4111F">
              <w:rPr>
                <w:rFonts w:ascii="Times New Roman" w:hAnsi="Times New Roman" w:cs="Times New Roman"/>
                <w:color w:val="000000" w:themeColor="text1"/>
                <w:sz w:val="16"/>
                <w:szCs w:val="16"/>
              </w:rPr>
              <w:t>Sudan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Review of International Business and Strategy, 2016)</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Consumer attitudes toward e-banking (digital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E-banking services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Determinants of demand on family Takaful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2013)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Family Takaful demand; insurance, not digital banking.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Takaful insurance product; outside banking operations scope.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Does gender differences play any role in intention to adopt Islamic mobile banking in </w:t>
            </w:r>
            <w:proofErr w:type="gramStart"/>
            <w:r w:rsidRPr="00A4111F">
              <w:rPr>
                <w:rFonts w:ascii="Times New Roman" w:hAnsi="Times New Roman" w:cs="Times New Roman"/>
                <w:color w:val="000000" w:themeColor="text1"/>
                <w:sz w:val="16"/>
                <w:szCs w:val="16"/>
              </w:rPr>
              <w:t>Pakistan?:</w:t>
            </w:r>
            <w:proofErr w:type="gramEnd"/>
            <w:r w:rsidRPr="00A4111F">
              <w:rPr>
                <w:rFonts w:ascii="Times New Roman" w:hAnsi="Times New Roman" w:cs="Times New Roman"/>
                <w:color w:val="000000" w:themeColor="text1"/>
                <w:sz w:val="16"/>
                <w:szCs w:val="16"/>
              </w:rPr>
              <w:t xml:space="preserve"> An empirical study</w:t>
            </w:r>
            <w:r w:rsidRPr="00A4111F">
              <w:rPr>
                <w:rFonts w:ascii="Times New Roman" w:hAnsi="Times New Roman" w:cs="Times New Roman"/>
                <w:i/>
                <w:iCs/>
                <w:color w:val="000000" w:themeColor="text1"/>
                <w:sz w:val="14"/>
                <w:szCs w:val="14"/>
              </w:rPr>
              <w:t xml:space="preserve">  (Journal of Islamic Marketing, 2018)</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Gender and Islamic mobile banking adoption (tech adoption + digital).</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adoption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Contemporary Islamic economic studies on </w:t>
            </w:r>
            <w:proofErr w:type="spellStart"/>
            <w:r w:rsidRPr="00A4111F">
              <w:rPr>
                <w:rFonts w:ascii="Times New Roman" w:hAnsi="Times New Roman" w:cs="Times New Roman"/>
                <w:color w:val="000000" w:themeColor="text1"/>
                <w:sz w:val="16"/>
                <w:szCs w:val="16"/>
              </w:rPr>
              <w:t>Maqasid</w:t>
            </w:r>
            <w:proofErr w:type="spellEnd"/>
            <w:r w:rsidRPr="00A4111F">
              <w:rPr>
                <w:rFonts w:ascii="Times New Roman" w:hAnsi="Times New Roman" w:cs="Times New Roman"/>
                <w:color w:val="000000" w:themeColor="text1"/>
                <w:sz w:val="16"/>
                <w:szCs w:val="16"/>
              </w:rPr>
              <w:t xml:space="preserve"> </w:t>
            </w:r>
            <w:proofErr w:type="spellStart"/>
            <w:r w:rsidRPr="00A4111F">
              <w:rPr>
                <w:rFonts w:ascii="Times New Roman" w:hAnsi="Times New Roman" w:cs="Times New Roman"/>
                <w:color w:val="000000" w:themeColor="text1"/>
                <w:sz w:val="16"/>
                <w:szCs w:val="16"/>
              </w:rPr>
              <w:t>Shari’ah</w:t>
            </w:r>
            <w:proofErr w:type="spellEnd"/>
            <w:r w:rsidRPr="00A4111F">
              <w:rPr>
                <w:rFonts w:ascii="Times New Roman" w:hAnsi="Times New Roman" w:cs="Times New Roman"/>
                <w:color w:val="000000" w:themeColor="text1"/>
                <w:sz w:val="16"/>
                <w:szCs w:val="16"/>
              </w:rPr>
              <w:t xml:space="preserve">: a systematic literature </w:t>
            </w:r>
            <w:proofErr w:type="gramStart"/>
            <w:r w:rsidRPr="00A4111F">
              <w:rPr>
                <w:rFonts w:ascii="Times New Roman" w:hAnsi="Times New Roman" w:cs="Times New Roman"/>
                <w:color w:val="000000" w:themeColor="text1"/>
                <w:sz w:val="16"/>
                <w:szCs w:val="16"/>
              </w:rPr>
              <w:t>review</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Humanomics</w:t>
            </w:r>
            <w:proofErr w:type="spellEnd"/>
            <w:r w:rsidRPr="00A4111F">
              <w:rPr>
                <w:rFonts w:ascii="Times New Roman" w:hAnsi="Times New Roman" w:cs="Times New Roman"/>
                <w:i/>
                <w:iCs/>
                <w:color w:val="000000" w:themeColor="text1"/>
                <w:sz w:val="14"/>
                <w:szCs w:val="14"/>
              </w:rPr>
              <w:t>, 2017)</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Maqasid</w:t>
            </w:r>
            <w:proofErr w:type="spellEnd"/>
            <w:r w:rsidRPr="00A4111F">
              <w:rPr>
                <w:rFonts w:ascii="Times New Roman" w:hAnsi="Times New Roman" w:cs="Times New Roman"/>
                <w:color w:val="000000" w:themeColor="text1"/>
                <w:sz w:val="15"/>
                <w:szCs w:val="15"/>
              </w:rPr>
              <w:t xml:space="preserve"> Shariah SLR; Islamic-economics philosophy, off-theme.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Philosophical economics review; no banking-ops content.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Determinants of banks’ risk-taking behavior, stability and profitability: evidence from GCC </w:t>
            </w:r>
            <w:proofErr w:type="gramStart"/>
            <w:r w:rsidRPr="00A4111F">
              <w:rPr>
                <w:rFonts w:ascii="Times New Roman" w:hAnsi="Times New Roman" w:cs="Times New Roman"/>
                <w:color w:val="000000" w:themeColor="text1"/>
                <w:sz w:val="16"/>
                <w:szCs w:val="16"/>
              </w:rPr>
              <w:t>countries</w:t>
            </w:r>
            <w:r w:rsidRPr="00A4111F">
              <w:rPr>
                <w:rFonts w:ascii="Times New Roman" w:hAnsi="Times New Roman" w:cs="Times New Roman"/>
                <w:i/>
                <w:iCs/>
                <w:color w:val="000000" w:themeColor="text1"/>
                <w:sz w:val="14"/>
                <w:szCs w:val="14"/>
              </w:rPr>
              <w:t xml:space="preserve">  </w:t>
            </w:r>
            <w:r w:rsidRPr="00A4111F">
              <w:rPr>
                <w:rFonts w:ascii="Times New Roman" w:hAnsi="Times New Roman" w:cs="Times New Roman"/>
                <w:i/>
                <w:iCs/>
                <w:color w:val="000000" w:themeColor="text1"/>
                <w:sz w:val="14"/>
                <w:szCs w:val="14"/>
              </w:rPr>
              <w:lastRenderedPageBreak/>
              <w:t>(</w:t>
            </w:r>
            <w:proofErr w:type="gramEnd"/>
            <w:r w:rsidRPr="00A4111F">
              <w:rPr>
                <w:rFonts w:ascii="Times New Roman" w:hAnsi="Times New Roman" w:cs="Times New Roman"/>
                <w:i/>
                <w:iCs/>
                <w:color w:val="000000" w:themeColor="text1"/>
                <w:sz w:val="14"/>
                <w:szCs w:val="14"/>
              </w:rPr>
              <w:t>International Journal of Islamic and Middle Eastern Finance and Management,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lastRenderedPageBreak/>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Bank risk-taking, stability, profitability;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Risk-taking and stability are core risk-management concerns.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Developing the antecedents of social influence for Internet banking adoption through social networking platforms: evidence from conventional and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Asia Pacific Journal of Marketing and Logistics,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Internet banking adoption via social influence (tech adoption + digital).</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Internet banking adoption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Millennial loyalty towards artificial intelligence-enabled mobile banking: evidence from Indonesian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Loyalty toward AI-enabled mobile banking (digital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AI-enabled mobile banking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Consumer trust and confidence in the compliance of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Financial Services Marketing, 2015)</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Consumer trust and confidence in Islamic banks: core trust.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in Shariah compliance: compliance + customer confidence.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Loyalty intention towards Islamic Bank: The role of religiosity, image, and </w:t>
            </w:r>
            <w:proofErr w:type="gramStart"/>
            <w:r w:rsidRPr="00A4111F">
              <w:rPr>
                <w:rFonts w:ascii="Times New Roman" w:hAnsi="Times New Roman" w:cs="Times New Roman"/>
                <w:color w:val="000000" w:themeColor="text1"/>
                <w:sz w:val="16"/>
                <w:szCs w:val="16"/>
              </w:rPr>
              <w:t>trust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Economics and Management, 2018)</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Loyalty intention via religiosity, image, trust: consumer constructs.</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loyalty/trust relevant to retention.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 review of Islamic stock market, growth and real-estate finance </w:t>
            </w:r>
            <w:proofErr w:type="gramStart"/>
            <w:r w:rsidRPr="00A4111F">
              <w:rPr>
                <w:rFonts w:ascii="Times New Roman" w:hAnsi="Times New Roman" w:cs="Times New Roman"/>
                <w:color w:val="000000" w:themeColor="text1"/>
                <w:sz w:val="16"/>
                <w:szCs w:val="16"/>
              </w:rPr>
              <w:t>literature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Emerging Markets,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Stock market/real-estate finance review; capital-markets, off-theme.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Capital-markets finance review; not banking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Customer satisfaction and its measurement in Islamic banking sector: a revisit and </w:t>
            </w:r>
            <w:proofErr w:type="gramStart"/>
            <w:r w:rsidRPr="00A4111F">
              <w:rPr>
                <w:rFonts w:ascii="Times New Roman" w:hAnsi="Times New Roman" w:cs="Times New Roman"/>
                <w:color w:val="000000" w:themeColor="text1"/>
                <w:sz w:val="16"/>
                <w:szCs w:val="16"/>
              </w:rPr>
              <w:t>update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satisfaction measurement in Islamic banking: core marketing.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satisfaction relevant to service quality in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 study of factors affecting word of mouth (WOM) towards Islamic banking (IB) in </w:t>
            </w:r>
            <w:proofErr w:type="gramStart"/>
            <w:r w:rsidRPr="00A4111F">
              <w:rPr>
                <w:rFonts w:ascii="Times New Roman" w:hAnsi="Times New Roman" w:cs="Times New Roman"/>
                <w:color w:val="000000" w:themeColor="text1"/>
                <w:sz w:val="16"/>
                <w:szCs w:val="16"/>
              </w:rPr>
              <w:t>Jordan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Emerging Markets,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Word-of-mouth toward Islamic banking: consumer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WOM is a marketing-communications construct,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What drives experiential loyalty towards the banks? The case of Islamic banks in </w:t>
            </w:r>
            <w:proofErr w:type="gramStart"/>
            <w:r w:rsidRPr="00A4111F">
              <w:rPr>
                <w:rFonts w:ascii="Times New Roman" w:hAnsi="Times New Roman" w:cs="Times New Roman"/>
                <w:color w:val="000000" w:themeColor="text1"/>
                <w:sz w:val="16"/>
                <w:szCs w:val="16"/>
              </w:rPr>
              <w:t>Indonesia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Bank Marketing,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Experiential loyalty toward Islamic banks: consumer loyalty.</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 relevant to retention/practice.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Drivers of loyalty among non-Muslims towards Islamic banking in Malaysia: Evidence from </w:t>
            </w:r>
            <w:proofErr w:type="spellStart"/>
            <w:proofErr w:type="gramStart"/>
            <w:r w:rsidRPr="00A4111F">
              <w:rPr>
                <w:rFonts w:ascii="Times New Roman" w:hAnsi="Times New Roman" w:cs="Times New Roman"/>
                <w:color w:val="000000" w:themeColor="text1"/>
                <w:sz w:val="16"/>
                <w:szCs w:val="16"/>
              </w:rPr>
              <w:t>SmartPLS</w:t>
            </w:r>
            <w:proofErr w:type="spellEnd"/>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Drivers of non-Muslim loyalty to Islamic banking: consumer loyalty.</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loyalty/segment relevant to the customer base.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Determinants of cash waqf fund collection in Malaysian Islamic banking institutions: empirical insights from employees’ </w:t>
            </w:r>
            <w:proofErr w:type="gramStart"/>
            <w:r w:rsidRPr="00A4111F">
              <w:rPr>
                <w:rFonts w:ascii="Times New Roman" w:hAnsi="Times New Roman" w:cs="Times New Roman"/>
                <w:color w:val="000000" w:themeColor="text1"/>
                <w:sz w:val="16"/>
                <w:szCs w:val="16"/>
              </w:rPr>
              <w:t>perspectives</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Isra</w:t>
            </w:r>
            <w:proofErr w:type="spellEnd"/>
            <w:r w:rsidRPr="00A4111F">
              <w:rPr>
                <w:rFonts w:ascii="Times New Roman" w:hAnsi="Times New Roman" w:cs="Times New Roman"/>
                <w:i/>
                <w:iCs/>
                <w:color w:val="000000" w:themeColor="text1"/>
                <w:sz w:val="14"/>
                <w:szCs w:val="14"/>
              </w:rPr>
              <w:t xml:space="preserve"> International Journal of Islamic Finance,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Cash-waqf collection from employees' view; social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Waqf fund-raising; not digital/security/risk/compliance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Fintech, Digitalization, and Blockchain in Islamic Finance: Retrospective </w:t>
            </w:r>
            <w:proofErr w:type="gramStart"/>
            <w:r w:rsidRPr="00A4111F">
              <w:rPr>
                <w:rFonts w:ascii="Times New Roman" w:hAnsi="Times New Roman" w:cs="Times New Roman"/>
                <w:color w:val="000000" w:themeColor="text1"/>
                <w:sz w:val="16"/>
                <w:szCs w:val="16"/>
              </w:rPr>
              <w:t>Investigation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Fintech,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FinTech, </w:t>
            </w:r>
            <w:proofErr w:type="spellStart"/>
            <w:r w:rsidRPr="00A4111F">
              <w:rPr>
                <w:rFonts w:ascii="Times New Roman" w:hAnsi="Times New Roman" w:cs="Times New Roman"/>
                <w:color w:val="000000" w:themeColor="text1"/>
                <w:sz w:val="15"/>
                <w:szCs w:val="15"/>
              </w:rPr>
              <w:t>digitalisation</w:t>
            </w:r>
            <w:proofErr w:type="spellEnd"/>
            <w:r w:rsidRPr="00A4111F">
              <w:rPr>
                <w:rFonts w:ascii="Times New Roman" w:hAnsi="Times New Roman" w:cs="Times New Roman"/>
                <w:color w:val="000000" w:themeColor="text1"/>
                <w:sz w:val="15"/>
                <w:szCs w:val="15"/>
              </w:rPr>
              <w:t>, blockchain in Islamic finance: digital services.</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FinTech/blockchain/</w:t>
            </w:r>
            <w:proofErr w:type="spellStart"/>
            <w:r w:rsidRPr="00A4111F">
              <w:rPr>
                <w:rFonts w:ascii="Times New Roman" w:hAnsi="Times New Roman" w:cs="Times New Roman"/>
                <w:color w:val="000000" w:themeColor="text1"/>
                <w:sz w:val="15"/>
                <w:szCs w:val="15"/>
              </w:rPr>
              <w:t>digitalisation</w:t>
            </w:r>
            <w:proofErr w:type="spellEnd"/>
            <w:r w:rsidRPr="00A4111F">
              <w:rPr>
                <w:rFonts w:ascii="Times New Roman" w:hAnsi="Times New Roman" w:cs="Times New Roman"/>
                <w:color w:val="000000" w:themeColor="text1"/>
                <w:sz w:val="15"/>
                <w:szCs w:val="15"/>
              </w:rPr>
              <w:t xml:space="preserve"> = digital banking transformation.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39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Customer loyalty towards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banks: The mediating role of trust and </w:t>
            </w:r>
            <w:proofErr w:type="gramStart"/>
            <w:r w:rsidRPr="00A4111F">
              <w:rPr>
                <w:rFonts w:ascii="Times New Roman" w:hAnsi="Times New Roman" w:cs="Times New Roman"/>
                <w:color w:val="000000" w:themeColor="text1"/>
                <w:sz w:val="16"/>
                <w:szCs w:val="16"/>
              </w:rPr>
              <w:t>attitude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Sustainability Switzerland,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 via trust and attitude: core consumer trust.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loyalty/trust relevant to retention.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social financing and efficient zakat distribution: impact of fintech adoption among the </w:t>
            </w:r>
            <w:proofErr w:type="spellStart"/>
            <w:r w:rsidRPr="00A4111F">
              <w:rPr>
                <w:rFonts w:ascii="Times New Roman" w:hAnsi="Times New Roman" w:cs="Times New Roman"/>
                <w:color w:val="000000" w:themeColor="text1"/>
                <w:sz w:val="16"/>
                <w:szCs w:val="16"/>
              </w:rPr>
              <w:t>asnaf</w:t>
            </w:r>
            <w:proofErr w:type="spellEnd"/>
            <w:r w:rsidRPr="00A4111F">
              <w:rPr>
                <w:rFonts w:ascii="Times New Roman" w:hAnsi="Times New Roman" w:cs="Times New Roman"/>
                <w:color w:val="000000" w:themeColor="text1"/>
                <w:sz w:val="16"/>
                <w:szCs w:val="16"/>
              </w:rPr>
              <w:t xml:space="preserve">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adoption for zakat distribution: technology 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in Islamic social finance = digital financial services.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Digital transformation: An empirical analysis of operational efficiency, customer experience, and competitive advantage in Jordanian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Uncertain Supply Chain Management,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Digital transformation and customer experience (digital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Digital transformation/operational efficiency =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42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Integrating trust with extended UTAUT model: a study on Islamic banking customers’ m-banking adoption in the </w:t>
            </w:r>
            <w:proofErr w:type="gramStart"/>
            <w:r w:rsidRPr="00A4111F">
              <w:rPr>
                <w:rFonts w:ascii="Times New Roman" w:hAnsi="Times New Roman" w:cs="Times New Roman"/>
                <w:color w:val="000000" w:themeColor="text1"/>
                <w:sz w:val="16"/>
                <w:szCs w:val="16"/>
              </w:rPr>
              <w:t>Maldives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 UTAUT for m-banking adoption (tech adoption + digital + trust).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M-banking adoption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E-Banking Customer Satisfaction and Loyalty: Evidence from Serial Mediation through Modified E-S-QUAL Model and Second-Order PLS-</w:t>
            </w:r>
            <w:proofErr w:type="gramStart"/>
            <w:r w:rsidRPr="00A4111F">
              <w:rPr>
                <w:rFonts w:ascii="Times New Roman" w:hAnsi="Times New Roman" w:cs="Times New Roman"/>
                <w:color w:val="000000" w:themeColor="text1"/>
                <w:sz w:val="16"/>
                <w:szCs w:val="16"/>
              </w:rPr>
              <w:t>SEM</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Engineering Economics,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E-banking satisfaction and loyalty via E-S-QUAL (digital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E-banking service quality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Trust, commitment, and customer knowledge: Clarifying relational commitments and linking them to repurchasing </w:t>
            </w:r>
            <w:proofErr w:type="gramStart"/>
            <w:r w:rsidRPr="00A4111F">
              <w:rPr>
                <w:rFonts w:ascii="Times New Roman" w:hAnsi="Times New Roman" w:cs="Times New Roman"/>
                <w:color w:val="000000" w:themeColor="text1"/>
                <w:sz w:val="16"/>
                <w:szCs w:val="16"/>
              </w:rPr>
              <w:t>intentions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Management Decision,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Generic trust/repurchase; no Islamic or banking context.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Generic relationship study; no banking-ops context.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Corporate governance of Islamic financial institutions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Asian Journal of Business and Accounting, 2015)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Corporate governance of IFIs; no consumer dimension.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Corporate governance of Islamic institutions = governance domain.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Utilizing Bio Metric System for Enhancing Cyber Security in Banking Sector: A Systematic </w:t>
            </w:r>
            <w:proofErr w:type="gramStart"/>
            <w:r w:rsidRPr="00A4111F">
              <w:rPr>
                <w:rFonts w:ascii="Times New Roman" w:hAnsi="Times New Roman" w:cs="Times New Roman"/>
                <w:color w:val="000000" w:themeColor="text1"/>
                <w:sz w:val="16"/>
                <w:szCs w:val="16"/>
              </w:rPr>
              <w:t>Analysis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IEEE Access,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Biometrics for cybersecurity in banking: data privacy/security.</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Biometric cybersecurity = core information-security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 study of Islamic banks in the non-GCC MENA region: Evidence from </w:t>
            </w:r>
            <w:proofErr w:type="gramStart"/>
            <w:r w:rsidRPr="00A4111F">
              <w:rPr>
                <w:rFonts w:ascii="Times New Roman" w:hAnsi="Times New Roman" w:cs="Times New Roman"/>
                <w:color w:val="000000" w:themeColor="text1"/>
                <w:sz w:val="16"/>
                <w:szCs w:val="16"/>
              </w:rPr>
              <w:t>Lebanon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Bank Marketing, 2014)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Study of Islamic banks (marketing journal); likely market/consumer.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Vague market study; no clear operations/security/compliance hook.</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Service quality dimensions of E-retailing of Islamic banks and its impact on customer satisfaction: An empirical investigation of Kingdom of Saudi </w:t>
            </w:r>
            <w:proofErr w:type="gramStart"/>
            <w:r w:rsidRPr="00A4111F">
              <w:rPr>
                <w:rFonts w:ascii="Times New Roman" w:hAnsi="Times New Roman" w:cs="Times New Roman"/>
                <w:color w:val="000000" w:themeColor="text1"/>
                <w:sz w:val="16"/>
                <w:szCs w:val="16"/>
              </w:rPr>
              <w:t>Arabia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Asian Finance Economics and Business,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E-retailing service quality and satisfaction (digital +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E-retailing of Islamic banks = digital banking services.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49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Understanding trust &amp; commitment of individual saving customers in Islamic banking: The role of ego </w:t>
            </w:r>
            <w:proofErr w:type="gramStart"/>
            <w:r w:rsidRPr="00A4111F">
              <w:rPr>
                <w:rFonts w:ascii="Times New Roman" w:hAnsi="Times New Roman" w:cs="Times New Roman"/>
                <w:color w:val="000000" w:themeColor="text1"/>
                <w:sz w:val="16"/>
                <w:szCs w:val="16"/>
              </w:rPr>
              <w:t>involvement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2015)</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and commitment of saving customers: core consumer trust.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trust/commitment relevant to deposit relationships.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Assessing probabilities of financial distress of banks in </w:t>
            </w:r>
            <w:proofErr w:type="gramStart"/>
            <w:r w:rsidRPr="00A4111F">
              <w:rPr>
                <w:rFonts w:ascii="Times New Roman" w:hAnsi="Times New Roman" w:cs="Times New Roman"/>
                <w:color w:val="000000" w:themeColor="text1"/>
                <w:sz w:val="16"/>
                <w:szCs w:val="16"/>
              </w:rPr>
              <w:t>UAE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Managerial Finance, 2011)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Financial distress prediction; corporate finance,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Distress/solvency modelling;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mobile banking smart services adoption and use in </w:t>
            </w:r>
            <w:proofErr w:type="gramStart"/>
            <w:r w:rsidRPr="00A4111F">
              <w:rPr>
                <w:rFonts w:ascii="Times New Roman" w:hAnsi="Times New Roman" w:cs="Times New Roman"/>
                <w:color w:val="000000" w:themeColor="text1"/>
                <w:sz w:val="16"/>
                <w:szCs w:val="16"/>
              </w:rPr>
              <w:t>Jordan</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Isra</w:t>
            </w:r>
            <w:proofErr w:type="spellEnd"/>
            <w:r w:rsidRPr="00A4111F">
              <w:rPr>
                <w:rFonts w:ascii="Times New Roman" w:hAnsi="Times New Roman" w:cs="Times New Roman"/>
                <w:i/>
                <w:iCs/>
                <w:color w:val="000000" w:themeColor="text1"/>
                <w:sz w:val="14"/>
                <w:szCs w:val="14"/>
              </w:rPr>
              <w:t xml:space="preserve"> International Journal of Islamic Finance,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mobile banking smart-services adoption (tech adoption + digital).</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smart services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Keep walking? Geographical proximity, religion, and relationship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Corporate Finance,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Proximity/religion in relationship banking; banking economics,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Corporate-finance of relationship banking;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What keeps Islamic mobile banking customers loyal?</w:t>
            </w:r>
            <w:r w:rsidRPr="00A4111F">
              <w:rPr>
                <w:rFonts w:ascii="Times New Roman" w:hAnsi="Times New Roman" w:cs="Times New Roman"/>
                <w:i/>
                <w:iCs/>
                <w:color w:val="000000" w:themeColor="text1"/>
                <w:sz w:val="14"/>
                <w:szCs w:val="14"/>
              </w:rPr>
              <w:t xml:space="preserve">  (Journal of Islamic Marketing,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Drivers of Islamic mobile banking loyalty (digital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customer loyalty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Corporate governance and risk-taking of Islamic banks: evidence from OIC </w:t>
            </w:r>
            <w:proofErr w:type="gramStart"/>
            <w:r w:rsidRPr="00A4111F">
              <w:rPr>
                <w:rFonts w:ascii="Times New Roman" w:hAnsi="Times New Roman" w:cs="Times New Roman"/>
                <w:color w:val="000000" w:themeColor="text1"/>
                <w:sz w:val="16"/>
                <w:szCs w:val="16"/>
              </w:rPr>
              <w:t>countries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Corporate Governance Bingley,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Corporate governance and risk-taking; finance/governance,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Governance and risk-taking are core governance/risk concerns.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role of ethical leadership to employees work engagement: a social learning theory </w:t>
            </w:r>
            <w:proofErr w:type="gramStart"/>
            <w:r w:rsidRPr="00A4111F">
              <w:rPr>
                <w:rFonts w:ascii="Times New Roman" w:hAnsi="Times New Roman" w:cs="Times New Roman"/>
                <w:color w:val="000000" w:themeColor="text1"/>
                <w:sz w:val="16"/>
                <w:szCs w:val="16"/>
              </w:rPr>
              <w:t>perspective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Social Economics,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Ethical leadership and work engagement; HR, not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HR/leadership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Comparative analysis of FinTech adoption among Islamic and conventional banking users with moderating effect of education level: A UTAUT2 </w:t>
            </w:r>
            <w:proofErr w:type="gramStart"/>
            <w:r w:rsidRPr="00A4111F">
              <w:rPr>
                <w:rFonts w:ascii="Times New Roman" w:hAnsi="Times New Roman" w:cs="Times New Roman"/>
                <w:color w:val="000000" w:themeColor="text1"/>
                <w:sz w:val="16"/>
                <w:szCs w:val="16"/>
              </w:rPr>
              <w:t>perspective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Open Innovation Technology Market and Complexity,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Comparative FinTech adoption, UTAUT2 (tech adoption + digital).</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adoption among banking users = digital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57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An assessment on Islamic banking ethics through some salient points in the prophetic </w:t>
            </w:r>
            <w:proofErr w:type="gramStart"/>
            <w:r w:rsidRPr="00A4111F">
              <w:rPr>
                <w:rFonts w:ascii="Times New Roman" w:hAnsi="Times New Roman" w:cs="Times New Roman"/>
                <w:color w:val="000000" w:themeColor="text1"/>
                <w:sz w:val="16"/>
                <w:szCs w:val="16"/>
              </w:rPr>
              <w:t>tradition</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Heliyon</w:t>
            </w:r>
            <w:proofErr w:type="spellEnd"/>
            <w:r w:rsidRPr="00A4111F">
              <w:rPr>
                <w:rFonts w:ascii="Times New Roman" w:hAnsi="Times New Roman" w:cs="Times New Roman"/>
                <w:i/>
                <w:iCs/>
                <w:color w:val="000000" w:themeColor="text1"/>
                <w:sz w:val="14"/>
                <w:szCs w:val="14"/>
              </w:rPr>
              <w:t>,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Banking ethics via prophetic tradition; religious ethics,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Ethics/Shariah-philosophy essay; not operational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Effect of Covid-19 Pandemic on the Adoption of Internet Banking in Indonesia: Islamic Bank and Conventional </w:t>
            </w:r>
            <w:proofErr w:type="gramStart"/>
            <w:r w:rsidRPr="00A4111F">
              <w:rPr>
                <w:rFonts w:ascii="Times New Roman" w:hAnsi="Times New Roman" w:cs="Times New Roman"/>
                <w:color w:val="000000" w:themeColor="text1"/>
                <w:sz w:val="16"/>
                <w:szCs w:val="16"/>
              </w:rPr>
              <w:t>Bank</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Asian Finance Economics and Business,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COVID-19 and internet banking adoption (tech adoption + digital).</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Internet banking adoption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59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bank trust: the roles of religiosity, perceived value and </w:t>
            </w:r>
            <w:proofErr w:type="gramStart"/>
            <w:r w:rsidRPr="00A4111F">
              <w:rPr>
                <w:rFonts w:ascii="Times New Roman" w:hAnsi="Times New Roman" w:cs="Times New Roman"/>
                <w:color w:val="000000" w:themeColor="text1"/>
                <w:sz w:val="16"/>
                <w:szCs w:val="16"/>
              </w:rPr>
              <w:t>satisfaction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Asia Pacific Journal of Marketing and Logistics,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bank trust via religiosity, value, satisfaction: core trust.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trust relevant to the review's trust/protection theme.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Does anti-corruption disclosure affect banking performance?</w:t>
            </w:r>
            <w:r w:rsidRPr="00A4111F">
              <w:rPr>
                <w:rFonts w:ascii="Times New Roman" w:hAnsi="Times New Roman" w:cs="Times New Roman"/>
                <w:i/>
                <w:iCs/>
                <w:color w:val="000000" w:themeColor="text1"/>
                <w:sz w:val="14"/>
                <w:szCs w:val="14"/>
              </w:rPr>
              <w:t xml:space="preserve">  (Journal of Financial Crime,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Anti-corruption disclosure and performance; no consumer dimension.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Anti-corruption disclosure = compliance/governance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impact of </w:t>
            </w:r>
            <w:proofErr w:type="spellStart"/>
            <w:r w:rsidRPr="00A4111F">
              <w:rPr>
                <w:rFonts w:ascii="Times New Roman" w:hAnsi="Times New Roman" w:cs="Times New Roman"/>
                <w:color w:val="000000" w:themeColor="text1"/>
                <w:sz w:val="16"/>
                <w:szCs w:val="16"/>
              </w:rPr>
              <w:t>Shari'ah</w:t>
            </w:r>
            <w:proofErr w:type="spellEnd"/>
            <w:r w:rsidRPr="00A4111F">
              <w:rPr>
                <w:rFonts w:ascii="Times New Roman" w:hAnsi="Times New Roman" w:cs="Times New Roman"/>
                <w:color w:val="000000" w:themeColor="text1"/>
                <w:sz w:val="16"/>
                <w:szCs w:val="16"/>
              </w:rPr>
              <w:t xml:space="preserve"> governance practices on </w:t>
            </w:r>
            <w:proofErr w:type="spellStart"/>
            <w:r w:rsidRPr="00A4111F">
              <w:rPr>
                <w:rFonts w:ascii="Times New Roman" w:hAnsi="Times New Roman" w:cs="Times New Roman"/>
                <w:color w:val="000000" w:themeColor="text1"/>
                <w:sz w:val="16"/>
                <w:szCs w:val="16"/>
              </w:rPr>
              <w:t>Shari'ah</w:t>
            </w:r>
            <w:proofErr w:type="spellEnd"/>
            <w:r w:rsidRPr="00A4111F">
              <w:rPr>
                <w:rFonts w:ascii="Times New Roman" w:hAnsi="Times New Roman" w:cs="Times New Roman"/>
                <w:color w:val="000000" w:themeColor="text1"/>
                <w:sz w:val="16"/>
                <w:szCs w:val="16"/>
              </w:rPr>
              <w:t xml:space="preserve"> compliance in contemporary Islamic </w:t>
            </w:r>
            <w:proofErr w:type="gramStart"/>
            <w:r w:rsidRPr="00A4111F">
              <w:rPr>
                <w:rFonts w:ascii="Times New Roman" w:hAnsi="Times New Roman" w:cs="Times New Roman"/>
                <w:color w:val="000000" w:themeColor="text1"/>
                <w:sz w:val="16"/>
                <w:szCs w:val="16"/>
              </w:rPr>
              <w:t>finance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Banking Regulation, 2013)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governance and compliance; no consumer dimension.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governance and compliance are core to the officer's remit.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Business trends &amp; challenges in Islamic FinTech: A systematic literature </w:t>
            </w:r>
            <w:proofErr w:type="gramStart"/>
            <w:r w:rsidRPr="00A4111F">
              <w:rPr>
                <w:rFonts w:ascii="Times New Roman" w:hAnsi="Times New Roman" w:cs="Times New Roman"/>
                <w:color w:val="000000" w:themeColor="text1"/>
                <w:sz w:val="16"/>
                <w:szCs w:val="16"/>
              </w:rPr>
              <w:t>review</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F1000research,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FinTech SLR: FinTech topic + bibliometric method (both my fields).</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Secondary literature review; practitioner needs primary studies.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E-SERVQUAL and its impact on the performance of Islamic Banks in Malaysia from the customer's </w:t>
            </w:r>
            <w:proofErr w:type="gramStart"/>
            <w:r w:rsidRPr="00A4111F">
              <w:rPr>
                <w:rFonts w:ascii="Times New Roman" w:hAnsi="Times New Roman" w:cs="Times New Roman"/>
                <w:color w:val="000000" w:themeColor="text1"/>
                <w:sz w:val="16"/>
                <w:szCs w:val="16"/>
              </w:rPr>
              <w:t>perspective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Asian Finance Economics and Business,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E-SERVQUAL and bank performance, customer view (digital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E-service quality = digital banking service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Adoption of Islamic banking in a non-Islamic country: evidence from </w:t>
            </w:r>
            <w:proofErr w:type="gramStart"/>
            <w:r w:rsidRPr="00A4111F">
              <w:rPr>
                <w:rFonts w:ascii="Times New Roman" w:hAnsi="Times New Roman" w:cs="Times New Roman"/>
                <w:color w:val="000000" w:themeColor="text1"/>
                <w:sz w:val="16"/>
                <w:szCs w:val="16"/>
              </w:rPr>
              <w:t>Uganda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Adoption of Islamic banking in a non-Islamic country: consumer 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Market adoption/implementation of Islamic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Corporate social responsibility disclosure and Islamic bank stability in GCC countries: Do governance practices matter?</w:t>
            </w:r>
            <w:r w:rsidRPr="00A4111F">
              <w:rPr>
                <w:rFonts w:ascii="Times New Roman" w:hAnsi="Times New Roman" w:cs="Times New Roman"/>
                <w:i/>
                <w:iCs/>
                <w:color w:val="000000" w:themeColor="text1"/>
                <w:sz w:val="14"/>
                <w:szCs w:val="14"/>
              </w:rPr>
              <w:t xml:space="preserve">  (Cogent Business and Management,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CSR disclosure and stability/governance; no consumer dimension.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Disclosure, stability and governance practices = governance domain.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capital structure decisions of Islamic banks in the </w:t>
            </w:r>
            <w:proofErr w:type="gramStart"/>
            <w:r w:rsidRPr="00A4111F">
              <w:rPr>
                <w:rFonts w:ascii="Times New Roman" w:hAnsi="Times New Roman" w:cs="Times New Roman"/>
                <w:color w:val="000000" w:themeColor="text1"/>
                <w:sz w:val="16"/>
                <w:szCs w:val="16"/>
              </w:rPr>
              <w:t>GCC</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Capital structure decisions; corporate finance,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Capital structure;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banking services adoption as a new banking restructure: Examining its adoption from the perspective of </w:t>
            </w:r>
            <w:proofErr w:type="spellStart"/>
            <w:r w:rsidRPr="00A4111F">
              <w:rPr>
                <w:rFonts w:ascii="Times New Roman" w:hAnsi="Times New Roman" w:cs="Times New Roman"/>
                <w:color w:val="000000" w:themeColor="text1"/>
                <w:sz w:val="16"/>
                <w:szCs w:val="16"/>
              </w:rPr>
              <w:t>doi</w:t>
            </w:r>
            <w:proofErr w:type="spellEnd"/>
            <w:r w:rsidRPr="00A4111F">
              <w:rPr>
                <w:rFonts w:ascii="Times New Roman" w:hAnsi="Times New Roman" w:cs="Times New Roman"/>
                <w:color w:val="000000" w:themeColor="text1"/>
                <w:sz w:val="16"/>
                <w:szCs w:val="16"/>
              </w:rPr>
              <w:t xml:space="preserve"> theory and trust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Humanomics</w:t>
            </w:r>
            <w:proofErr w:type="spellEnd"/>
            <w:r w:rsidRPr="00A4111F">
              <w:rPr>
                <w:rFonts w:ascii="Times New Roman" w:hAnsi="Times New Roman" w:cs="Times New Roman"/>
                <w:i/>
                <w:iCs/>
                <w:color w:val="000000" w:themeColor="text1"/>
                <w:sz w:val="14"/>
                <w:szCs w:val="14"/>
              </w:rPr>
              <w:t>, 2015)</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banking adoption via DOI theory and trust (adoption + trust).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adoption and trust relevant to customer uptake.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Do customers' perceptions of Islamic banking services predict satisfaction and word of mouth? Evidence from Islamic banks in </w:t>
            </w:r>
            <w:proofErr w:type="gramStart"/>
            <w:r w:rsidRPr="00A4111F">
              <w:rPr>
                <w:rFonts w:ascii="Times New Roman" w:hAnsi="Times New Roman" w:cs="Times New Roman"/>
                <w:color w:val="000000" w:themeColor="text1"/>
                <w:sz w:val="16"/>
                <w:szCs w:val="16"/>
              </w:rPr>
              <w:t>Bangladesh</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Plos</w:t>
            </w:r>
            <w:proofErr w:type="spellEnd"/>
            <w:r w:rsidRPr="00A4111F">
              <w:rPr>
                <w:rFonts w:ascii="Times New Roman" w:hAnsi="Times New Roman" w:cs="Times New Roman"/>
                <w:i/>
                <w:iCs/>
                <w:color w:val="000000" w:themeColor="text1"/>
                <w:sz w:val="14"/>
                <w:szCs w:val="14"/>
              </w:rPr>
              <w:t xml:space="preserve"> One,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perceptions, satisfaction and WOM: consumer perceptions.</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perceptions/satisfaction relevant to customer service.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69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Financial inclusion and economic well-being: Evidence from Islamic Pawnbroking (</w:t>
            </w:r>
            <w:proofErr w:type="spellStart"/>
            <w:r w:rsidRPr="00A4111F">
              <w:rPr>
                <w:rFonts w:ascii="Times New Roman" w:hAnsi="Times New Roman" w:cs="Times New Roman"/>
                <w:color w:val="000000" w:themeColor="text1"/>
                <w:sz w:val="16"/>
                <w:szCs w:val="16"/>
              </w:rPr>
              <w:t>Ar-Rahn</w:t>
            </w:r>
            <w:proofErr w:type="spellEnd"/>
            <w:r w:rsidRPr="00A4111F">
              <w:rPr>
                <w:rFonts w:ascii="Times New Roman" w:hAnsi="Times New Roman" w:cs="Times New Roman"/>
                <w:color w:val="000000" w:themeColor="text1"/>
                <w:sz w:val="16"/>
                <w:szCs w:val="16"/>
              </w:rPr>
              <w:t xml:space="preserve">)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Research in International Business and Finance, 2022)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Ar-Rahn</w:t>
            </w:r>
            <w:proofErr w:type="spellEnd"/>
            <w:r w:rsidRPr="00A4111F">
              <w:rPr>
                <w:rFonts w:ascii="Times New Roman" w:hAnsi="Times New Roman" w:cs="Times New Roman"/>
                <w:color w:val="000000" w:themeColor="text1"/>
                <w:sz w:val="15"/>
                <w:szCs w:val="15"/>
              </w:rPr>
              <w:t xml:space="preserve"> pawnbroking and well-being; financial inclusion economics.</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Pawnbroking/inclusion economics; not digital/security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Consumers’ awareness and loyalty in Indonesia banking sector: does emotional bonding effect matters?</w:t>
            </w:r>
            <w:r w:rsidRPr="00A4111F">
              <w:rPr>
                <w:rFonts w:ascii="Times New Roman" w:hAnsi="Times New Roman" w:cs="Times New Roman"/>
                <w:i/>
                <w:iCs/>
                <w:color w:val="000000" w:themeColor="text1"/>
                <w:sz w:val="14"/>
                <w:szCs w:val="14"/>
              </w:rPr>
              <w:t xml:space="preserve">  (Journal of Islamic Marketing,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Consumer awareness, loyalty, emotional bonding: consumer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Emotional bonding/loyalty is a marketing lever,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Determinants of bank profitability: Islamic versus conventional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Banks and Bank Systems, 2018)</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Bank profitability determinants;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Profitability;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72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factors affecting the adherence of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accounting standards </w:t>
            </w:r>
            <w:proofErr w:type="spellStart"/>
            <w:r w:rsidRPr="00A4111F">
              <w:rPr>
                <w:rFonts w:ascii="Times New Roman" w:hAnsi="Times New Roman" w:cs="Times New Roman"/>
                <w:color w:val="000000" w:themeColor="text1"/>
                <w:sz w:val="16"/>
                <w:szCs w:val="16"/>
              </w:rPr>
              <w:t>aaoifi</w:t>
            </w:r>
            <w:proofErr w:type="spellEnd"/>
            <w:r w:rsidRPr="00A4111F">
              <w:rPr>
                <w:rFonts w:ascii="Times New Roman" w:hAnsi="Times New Roman" w:cs="Times New Roman"/>
                <w:color w:val="000000" w:themeColor="text1"/>
                <w:sz w:val="16"/>
                <w:szCs w:val="16"/>
              </w:rPr>
              <w:t xml:space="preserve"> in </w:t>
            </w:r>
            <w:proofErr w:type="gramStart"/>
            <w:r w:rsidRPr="00A4111F">
              <w:rPr>
                <w:rFonts w:ascii="Times New Roman" w:hAnsi="Times New Roman" w:cs="Times New Roman"/>
                <w:color w:val="000000" w:themeColor="text1"/>
                <w:sz w:val="16"/>
                <w:szCs w:val="16"/>
              </w:rPr>
              <w:t>Jordan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Governance and Regulation,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AAOIFI accounting-standard adherence; accounting,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AAOIFI standards adherence = compliance/regulatory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intention of religious leaders to use Islamic banking services: the case of </w:t>
            </w:r>
            <w:proofErr w:type="gramStart"/>
            <w:r w:rsidRPr="00A4111F">
              <w:rPr>
                <w:rFonts w:ascii="Times New Roman" w:hAnsi="Times New Roman" w:cs="Times New Roman"/>
                <w:color w:val="000000" w:themeColor="text1"/>
                <w:sz w:val="16"/>
                <w:szCs w:val="16"/>
              </w:rPr>
              <w:t>Indonesia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Religious leaders' intention to use Islamic banking: adoption/</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adoption of Islamic banking services.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Emotional propensities and the contemporary Islamic banking </w:t>
            </w:r>
            <w:proofErr w:type="gramStart"/>
            <w:r w:rsidRPr="00A4111F">
              <w:rPr>
                <w:rFonts w:ascii="Times New Roman" w:hAnsi="Times New Roman" w:cs="Times New Roman"/>
                <w:color w:val="000000" w:themeColor="text1"/>
                <w:sz w:val="16"/>
                <w:szCs w:val="16"/>
              </w:rPr>
              <w:t>industry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Critical Perspectives on Accounting,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Emotional propensities (critical-accounting essay); not empirical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Critical-accounting essay; not operational/security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Salesperson ethics behavior as antecedent of Islamic banking customer </w:t>
            </w:r>
            <w:proofErr w:type="gramStart"/>
            <w:r w:rsidRPr="00A4111F">
              <w:rPr>
                <w:rFonts w:ascii="Times New Roman" w:hAnsi="Times New Roman" w:cs="Times New Roman"/>
                <w:color w:val="000000" w:themeColor="text1"/>
                <w:sz w:val="16"/>
                <w:szCs w:val="16"/>
              </w:rPr>
              <w:t>loyalty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Salesperson ethics and customer loyalty: consumer/sales marketing.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Salesperson ethics is a sales-marketing lever,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What are the drivers of inefficiency in the Gulf Cooperation Council banking industry? A comparison between conventional and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Pacific Basin Finance Journal,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Banking inefficiency drivers; efficiency/finance,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Efficiency comparison;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Determinants of liquidity risk in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Banks and Bank Systems, 2017)</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Liquidity risk determinants;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Liquidity risk is a core risk-management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An empirical investigation of Islamic marketing ethics and convergence marketing as key factors in the improvement of Islamic banks </w:t>
            </w:r>
            <w:proofErr w:type="gramStart"/>
            <w:r w:rsidRPr="00A4111F">
              <w:rPr>
                <w:rFonts w:ascii="Times New Roman" w:hAnsi="Times New Roman" w:cs="Times New Roman"/>
                <w:color w:val="000000" w:themeColor="text1"/>
                <w:sz w:val="16"/>
                <w:szCs w:val="16"/>
              </w:rPr>
              <w:t>performance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marketing ethics and bank performance: Islamic marketing.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Marketing-ethics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79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Culture and the capital–performance nexus in dual banking </w:t>
            </w:r>
            <w:proofErr w:type="gramStart"/>
            <w:r w:rsidRPr="00A4111F">
              <w:rPr>
                <w:rFonts w:ascii="Times New Roman" w:hAnsi="Times New Roman" w:cs="Times New Roman"/>
                <w:color w:val="000000" w:themeColor="text1"/>
                <w:sz w:val="16"/>
                <w:szCs w:val="16"/>
              </w:rPr>
              <w:t>systems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Economic Modelling,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Culture and capital-performance nexus; finance/economics,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Capital-performance econometrics;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Green loyalty of Islamic banking customers: combined effect of green practices, green trust, green perceived value, and green </w:t>
            </w:r>
            <w:proofErr w:type="gramStart"/>
            <w:r w:rsidRPr="00A4111F">
              <w:rPr>
                <w:rFonts w:ascii="Times New Roman" w:hAnsi="Times New Roman" w:cs="Times New Roman"/>
                <w:color w:val="000000" w:themeColor="text1"/>
                <w:sz w:val="16"/>
                <w:szCs w:val="16"/>
              </w:rPr>
              <w:t>satisfaction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Ethics and Systems,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Green loyalty, green trust, green satisfaction: consumer trust/loyalty.</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Green-marketing lever; no operations/security/compliance content.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Investigating the impact of digital business ecosystem in enhancing Islamic mobile banking adoption through the TOE </w:t>
            </w:r>
            <w:proofErr w:type="gramStart"/>
            <w:r w:rsidRPr="00A4111F">
              <w:rPr>
                <w:rFonts w:ascii="Times New Roman" w:hAnsi="Times New Roman" w:cs="Times New Roman"/>
                <w:color w:val="000000" w:themeColor="text1"/>
                <w:sz w:val="16"/>
                <w:szCs w:val="16"/>
              </w:rPr>
              <w:t>framework</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Digital Business,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Digital business ecosystem and m-banking adoption (tech adoption + digital).</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adoption via TOE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Family Takaful in developing countries: the case of Middle East and North Africa (</w:t>
            </w:r>
            <w:proofErr w:type="gramStart"/>
            <w:r w:rsidRPr="00A4111F">
              <w:rPr>
                <w:rFonts w:ascii="Times New Roman" w:hAnsi="Times New Roman" w:cs="Times New Roman"/>
                <w:color w:val="000000" w:themeColor="text1"/>
                <w:sz w:val="16"/>
                <w:szCs w:val="16"/>
              </w:rPr>
              <w:t>MENA)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2017)</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Family Takaful in MENA; insurance, not digital banking.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Takaful insurance; outside banking operations scope.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Global Finical Crisis from an Islamic Point of </w:t>
            </w:r>
            <w:proofErr w:type="gramStart"/>
            <w:r w:rsidRPr="00A4111F">
              <w:rPr>
                <w:rFonts w:ascii="Times New Roman" w:hAnsi="Times New Roman" w:cs="Times New Roman"/>
                <w:color w:val="000000" w:themeColor="text1"/>
                <w:sz w:val="16"/>
                <w:szCs w:val="16"/>
              </w:rPr>
              <w:t>View</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Qubahan</w:t>
            </w:r>
            <w:proofErr w:type="spellEnd"/>
            <w:r w:rsidRPr="00A4111F">
              <w:rPr>
                <w:rFonts w:ascii="Times New Roman" w:hAnsi="Times New Roman" w:cs="Times New Roman"/>
                <w:i/>
                <w:iCs/>
                <w:color w:val="000000" w:themeColor="text1"/>
                <w:sz w:val="14"/>
                <w:szCs w:val="14"/>
              </w:rPr>
              <w:t xml:space="preserve"> Academic Journal,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Global financial crisis Islamic viewpoint; macro-finance,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Macro-finance commentary;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Predicting the intention to use </w:t>
            </w:r>
            <w:proofErr w:type="spellStart"/>
            <w:r w:rsidRPr="00A4111F">
              <w:rPr>
                <w:rFonts w:ascii="Times New Roman" w:hAnsi="Times New Roman" w:cs="Times New Roman"/>
                <w:color w:val="000000" w:themeColor="text1"/>
                <w:sz w:val="16"/>
                <w:szCs w:val="16"/>
              </w:rPr>
              <w:t>Paytech</w:t>
            </w:r>
            <w:proofErr w:type="spellEnd"/>
            <w:r w:rsidRPr="00A4111F">
              <w:rPr>
                <w:rFonts w:ascii="Times New Roman" w:hAnsi="Times New Roman" w:cs="Times New Roman"/>
                <w:color w:val="000000" w:themeColor="text1"/>
                <w:sz w:val="16"/>
                <w:szCs w:val="16"/>
              </w:rPr>
              <w:t xml:space="preserve"> services by Islamic banking </w:t>
            </w:r>
            <w:proofErr w:type="gramStart"/>
            <w:r w:rsidRPr="00A4111F">
              <w:rPr>
                <w:rFonts w:ascii="Times New Roman" w:hAnsi="Times New Roman" w:cs="Times New Roman"/>
                <w:color w:val="000000" w:themeColor="text1"/>
                <w:sz w:val="16"/>
                <w:szCs w:val="16"/>
              </w:rPr>
              <w:t>users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Intention to use </w:t>
            </w:r>
            <w:proofErr w:type="spellStart"/>
            <w:r w:rsidRPr="00A4111F">
              <w:rPr>
                <w:rFonts w:ascii="Times New Roman" w:hAnsi="Times New Roman" w:cs="Times New Roman"/>
                <w:color w:val="000000" w:themeColor="text1"/>
                <w:sz w:val="15"/>
                <w:szCs w:val="15"/>
              </w:rPr>
              <w:t>PayTech</w:t>
            </w:r>
            <w:proofErr w:type="spellEnd"/>
            <w:r w:rsidRPr="00A4111F">
              <w:rPr>
                <w:rFonts w:ascii="Times New Roman" w:hAnsi="Times New Roman" w:cs="Times New Roman"/>
                <w:color w:val="000000" w:themeColor="text1"/>
                <w:sz w:val="15"/>
                <w:szCs w:val="15"/>
              </w:rPr>
              <w:t xml:space="preserve"> by Islamic banking users (tech adoption + digital).</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PayTech</w:t>
            </w:r>
            <w:proofErr w:type="spellEnd"/>
            <w:r w:rsidRPr="00A4111F">
              <w:rPr>
                <w:rFonts w:ascii="Times New Roman" w:hAnsi="Times New Roman" w:cs="Times New Roman"/>
                <w:color w:val="000000" w:themeColor="text1"/>
                <w:sz w:val="15"/>
                <w:szCs w:val="15"/>
              </w:rPr>
              <w:t xml:space="preserve"> services = digital payments/banking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Determinants of Islamic banking adoption among non-Muslim customers in a Muslim </w:t>
            </w:r>
            <w:proofErr w:type="gramStart"/>
            <w:r w:rsidRPr="00A4111F">
              <w:rPr>
                <w:rFonts w:ascii="Times New Roman" w:hAnsi="Times New Roman" w:cs="Times New Roman"/>
                <w:color w:val="000000" w:themeColor="text1"/>
                <w:sz w:val="16"/>
                <w:szCs w:val="16"/>
              </w:rPr>
              <w:t>zone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banking adoption among non-Muslims: consumer adoption.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adoption/segment relevant to the customer base.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Independence and effectiveness of Shariah supervisory board of Islamic banks: evidence from an emerging </w:t>
            </w:r>
            <w:proofErr w:type="gramStart"/>
            <w:r w:rsidRPr="00A4111F">
              <w:rPr>
                <w:rFonts w:ascii="Times New Roman" w:hAnsi="Times New Roman" w:cs="Times New Roman"/>
                <w:color w:val="000000" w:themeColor="text1"/>
                <w:sz w:val="16"/>
                <w:szCs w:val="16"/>
              </w:rPr>
              <w:t>economy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Asian Review of Accounting,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supervisory board effectiveness; governance,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supervisory board = core Shariah-governance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87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bank customer satisfaction, trust, loyalty and word of mouth: the CREATOR </w:t>
            </w:r>
            <w:proofErr w:type="gramStart"/>
            <w:r w:rsidRPr="00A4111F">
              <w:rPr>
                <w:rFonts w:ascii="Times New Roman" w:hAnsi="Times New Roman" w:cs="Times New Roman"/>
                <w:color w:val="000000" w:themeColor="text1"/>
                <w:sz w:val="16"/>
                <w:szCs w:val="16"/>
              </w:rPr>
              <w:t>model</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Satisfaction, trust, loyalty, WOM (CREATOR model): core consumer trust.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satisfaction/trust model relevant to service.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 Rasch analysis of the community’s preference for different attributes of Islamic banks in </w:t>
            </w:r>
            <w:proofErr w:type="gramStart"/>
            <w:r w:rsidRPr="00A4111F">
              <w:rPr>
                <w:rFonts w:ascii="Times New Roman" w:hAnsi="Times New Roman" w:cs="Times New Roman"/>
                <w:color w:val="000000" w:themeColor="text1"/>
                <w:sz w:val="16"/>
                <w:szCs w:val="16"/>
              </w:rPr>
              <w:t>Indonesia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Social Economics, 2018)</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Community preference for Islamic bank attributes: consumer preference.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preferences/attributes relevant to product design.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89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Barriers to the adoption of Islamic banking: a bibliometric </w:t>
            </w:r>
            <w:proofErr w:type="gramStart"/>
            <w:r w:rsidRPr="00A4111F">
              <w:rPr>
                <w:rFonts w:ascii="Times New Roman" w:hAnsi="Times New Roman" w:cs="Times New Roman"/>
                <w:color w:val="000000" w:themeColor="text1"/>
                <w:sz w:val="16"/>
                <w:szCs w:val="16"/>
              </w:rPr>
              <w:t>analysis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Ethics and Systems,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Barriers to Islamic banking adoption (bibliometric): adoption + method.</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Bibliometric mapping; practitioner needs primary studies.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How are Islamic banking products developed? Evidence from emerging </w:t>
            </w:r>
            <w:proofErr w:type="gramStart"/>
            <w:r w:rsidRPr="00A4111F">
              <w:rPr>
                <w:rFonts w:ascii="Times New Roman" w:hAnsi="Times New Roman" w:cs="Times New Roman"/>
                <w:color w:val="000000" w:themeColor="text1"/>
                <w:sz w:val="16"/>
                <w:szCs w:val="16"/>
              </w:rPr>
              <w:t>country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Cogent Economics and Finance,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How Islamic banking products are developed: product/ops,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Product development = Islamic banking implementation/operations.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Are cryptocurrencies </w:t>
            </w:r>
            <w:proofErr w:type="spellStart"/>
            <w:r w:rsidRPr="00A4111F">
              <w:rPr>
                <w:rFonts w:ascii="Times New Roman" w:hAnsi="Times New Roman" w:cs="Times New Roman"/>
                <w:color w:val="000000" w:themeColor="text1"/>
                <w:sz w:val="16"/>
                <w:szCs w:val="16"/>
              </w:rPr>
              <w:t>halāl</w:t>
            </w:r>
            <w:proofErr w:type="spellEnd"/>
            <w:r w:rsidRPr="00A4111F">
              <w:rPr>
                <w:rFonts w:ascii="Times New Roman" w:hAnsi="Times New Roman" w:cs="Times New Roman"/>
                <w:color w:val="000000" w:themeColor="text1"/>
                <w:sz w:val="16"/>
                <w:szCs w:val="16"/>
              </w:rPr>
              <w:t xml:space="preserve">? On the sharia-compliancy of blockchain-based </w:t>
            </w:r>
            <w:proofErr w:type="gramStart"/>
            <w:r w:rsidRPr="00A4111F">
              <w:rPr>
                <w:rFonts w:ascii="Times New Roman" w:hAnsi="Times New Roman" w:cs="Times New Roman"/>
                <w:color w:val="000000" w:themeColor="text1"/>
                <w:sz w:val="16"/>
                <w:szCs w:val="16"/>
              </w:rPr>
              <w:t>fintech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Islamic Law and Society,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Crypto halal jurisprudence; no consumer or banking application.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Crypto-jurisprudence; no banking-operations application.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On building social capital for Islamic </w:t>
            </w:r>
            <w:proofErr w:type="gramStart"/>
            <w:r w:rsidRPr="00A4111F">
              <w:rPr>
                <w:rFonts w:ascii="Times New Roman" w:hAnsi="Times New Roman" w:cs="Times New Roman"/>
                <w:color w:val="000000" w:themeColor="text1"/>
                <w:sz w:val="16"/>
                <w:szCs w:val="16"/>
              </w:rPr>
              <w:t>finance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Building social capital for Islamic finance; conceptual,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Social-capital concept;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ABCD technology-AI, Blockchain, Cloud computing and Data security in Islamic banking sector</w:t>
            </w:r>
            <w:proofErr w:type="gramStart"/>
            <w:r w:rsidRPr="00A4111F">
              <w:rPr>
                <w:rFonts w:ascii="Cambria Math" w:hAnsi="Cambria Math" w:cs="Cambria Math"/>
                <w:color w:val="000000" w:themeColor="text1"/>
                <w:sz w:val="16"/>
                <w:szCs w:val="16"/>
              </w:rPr>
              <w: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 xml:space="preserve">2022 International Conference on Sustainable Islamic Business and Finance </w:t>
            </w:r>
            <w:proofErr w:type="spellStart"/>
            <w:r w:rsidRPr="00A4111F">
              <w:rPr>
                <w:rFonts w:ascii="Times New Roman" w:hAnsi="Times New Roman" w:cs="Times New Roman"/>
                <w:i/>
                <w:iCs/>
                <w:color w:val="000000" w:themeColor="text1"/>
                <w:sz w:val="14"/>
                <w:szCs w:val="14"/>
              </w:rPr>
              <w:t>Sibf</w:t>
            </w:r>
            <w:proofErr w:type="spellEnd"/>
            <w:r w:rsidRPr="00A4111F">
              <w:rPr>
                <w:rFonts w:ascii="Times New Roman" w:hAnsi="Times New Roman" w:cs="Times New Roman"/>
                <w:i/>
                <w:iCs/>
                <w:color w:val="000000" w:themeColor="text1"/>
                <w:sz w:val="14"/>
                <w:szCs w:val="14"/>
              </w:rPr>
              <w:t xml:space="preserve"> 2022, 2022)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 blockchain, cloud, data security in Islamic banking: data privacy/tech.</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Data security/cloud/AI in banking = core information 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impact of the Blockchain technology on the global Sukuk industry: smart contracts and asset </w:t>
            </w:r>
            <w:proofErr w:type="spellStart"/>
            <w:proofErr w:type="gramStart"/>
            <w:r w:rsidRPr="00A4111F">
              <w:rPr>
                <w:rFonts w:ascii="Times New Roman" w:hAnsi="Times New Roman" w:cs="Times New Roman"/>
                <w:color w:val="000000" w:themeColor="text1"/>
                <w:sz w:val="16"/>
                <w:szCs w:val="16"/>
              </w:rPr>
              <w:t>tokenisation</w:t>
            </w:r>
            <w:proofErr w:type="spellEnd"/>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Technology Analysis and Strategic Management, 2025)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in Sukuk/</w:t>
            </w:r>
            <w:proofErr w:type="spellStart"/>
            <w:r w:rsidRPr="00A4111F">
              <w:rPr>
                <w:rFonts w:ascii="Times New Roman" w:hAnsi="Times New Roman" w:cs="Times New Roman"/>
                <w:color w:val="000000" w:themeColor="text1"/>
                <w:sz w:val="15"/>
                <w:szCs w:val="15"/>
              </w:rPr>
              <w:t>tokenisation</w:t>
            </w:r>
            <w:proofErr w:type="spellEnd"/>
            <w:r w:rsidRPr="00A4111F">
              <w:rPr>
                <w:rFonts w:ascii="Times New Roman" w:hAnsi="Times New Roman" w:cs="Times New Roman"/>
                <w:color w:val="000000" w:themeColor="text1"/>
                <w:sz w:val="15"/>
                <w:szCs w:val="15"/>
              </w:rPr>
              <w:t>; capital markets,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smart-contracts/</w:t>
            </w:r>
            <w:proofErr w:type="spellStart"/>
            <w:r w:rsidRPr="00A4111F">
              <w:rPr>
                <w:rFonts w:ascii="Times New Roman" w:hAnsi="Times New Roman" w:cs="Times New Roman"/>
                <w:color w:val="000000" w:themeColor="text1"/>
                <w:sz w:val="15"/>
                <w:szCs w:val="15"/>
              </w:rPr>
              <w:t>tokenisation</w:t>
            </w:r>
            <w:proofErr w:type="spellEnd"/>
            <w:r w:rsidRPr="00A4111F">
              <w:rPr>
                <w:rFonts w:ascii="Times New Roman" w:hAnsi="Times New Roman" w:cs="Times New Roman"/>
                <w:color w:val="000000" w:themeColor="text1"/>
                <w:sz w:val="15"/>
                <w:szCs w:val="15"/>
              </w:rPr>
              <w:t xml:space="preserve"> = digital finance application.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Does the tag “Islamic” help in customer satisfaction in dual banking sector?</w:t>
            </w:r>
            <w:r w:rsidRPr="00A4111F">
              <w:rPr>
                <w:rFonts w:ascii="Times New Roman" w:hAnsi="Times New Roman" w:cs="Times New Roman"/>
                <w:i/>
                <w:iCs/>
                <w:color w:val="000000" w:themeColor="text1"/>
                <w:sz w:val="14"/>
                <w:szCs w:val="14"/>
              </w:rPr>
              <w:t xml:space="preserve">  (Journal of Islamic Marketing,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Does 'Islamic' tag help customer satisfaction: consumer satisfaction.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satisfaction relevant to service positioning.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Consumer criteria for the selection of an Islamic Bank: Evidence from </w:t>
            </w:r>
            <w:proofErr w:type="gramStart"/>
            <w:r w:rsidRPr="00A4111F">
              <w:rPr>
                <w:rFonts w:ascii="Times New Roman" w:hAnsi="Times New Roman" w:cs="Times New Roman"/>
                <w:color w:val="000000" w:themeColor="text1"/>
                <w:sz w:val="16"/>
                <w:szCs w:val="16"/>
              </w:rPr>
              <w:t>Pakistan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Research Journal of Finance and Economics, 2012)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Consumer criteria for Islamic bank selection: consumer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selection criteria relevant to the customer base.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Predictors of Islamic bank adoption: Nigerian </w:t>
            </w:r>
            <w:proofErr w:type="gramStart"/>
            <w:r w:rsidRPr="00A4111F">
              <w:rPr>
                <w:rFonts w:ascii="Times New Roman" w:hAnsi="Times New Roman" w:cs="Times New Roman"/>
                <w:color w:val="000000" w:themeColor="text1"/>
                <w:sz w:val="16"/>
                <w:szCs w:val="16"/>
              </w:rPr>
              <w:t>perspective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Predictors of Islamic bank adoption (Nigeria): consumer adoption.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adoption relevant to uptake/implementation.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FinTech application in Islamic social finance in Asia region: a systematic literature </w:t>
            </w:r>
            <w:proofErr w:type="gramStart"/>
            <w:r w:rsidRPr="00A4111F">
              <w:rPr>
                <w:rFonts w:ascii="Times New Roman" w:hAnsi="Times New Roman" w:cs="Times New Roman"/>
                <w:color w:val="000000" w:themeColor="text1"/>
                <w:sz w:val="16"/>
                <w:szCs w:val="16"/>
              </w:rPr>
              <w:t>review</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Ethics and Systems, 2025)</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FinTech in social finance SLR: FinTech + method (my fields).</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Secondary literature review; practitioner needs primary studies.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99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Antecedents and outcome of commitment in Islamic banking relationships – an emerging African market </w:t>
            </w:r>
            <w:proofErr w:type="gramStart"/>
            <w:r w:rsidRPr="00A4111F">
              <w:rPr>
                <w:rFonts w:ascii="Times New Roman" w:hAnsi="Times New Roman" w:cs="Times New Roman"/>
                <w:color w:val="000000" w:themeColor="text1"/>
                <w:sz w:val="16"/>
                <w:szCs w:val="16"/>
              </w:rPr>
              <w:t>perspective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Commitment in Islamic banking relationships: consumer commitment/trust.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Relationship commitment relevant to customer retention.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Knowledge management in Islamic and conventional banks in the United Arab </w:t>
            </w:r>
            <w:proofErr w:type="gramStart"/>
            <w:r w:rsidRPr="00A4111F">
              <w:rPr>
                <w:rFonts w:ascii="Times New Roman" w:hAnsi="Times New Roman" w:cs="Times New Roman"/>
                <w:color w:val="000000" w:themeColor="text1"/>
                <w:sz w:val="16"/>
                <w:szCs w:val="16"/>
              </w:rPr>
              <w:t>Emirates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Management Research Review, 2013)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Knowledge management in banks; </w:t>
            </w:r>
            <w:proofErr w:type="spellStart"/>
            <w:r w:rsidRPr="00A4111F">
              <w:rPr>
                <w:rFonts w:ascii="Times New Roman" w:hAnsi="Times New Roman" w:cs="Times New Roman"/>
                <w:color w:val="000000" w:themeColor="text1"/>
                <w:sz w:val="15"/>
                <w:szCs w:val="15"/>
              </w:rPr>
              <w:t>organisational</w:t>
            </w:r>
            <w:proofErr w:type="spellEnd"/>
            <w:r w:rsidRPr="00A4111F">
              <w:rPr>
                <w:rFonts w:ascii="Times New Roman" w:hAnsi="Times New Roman" w:cs="Times New Roman"/>
                <w:color w:val="000000" w:themeColor="text1"/>
                <w:sz w:val="15"/>
                <w:szCs w:val="15"/>
              </w:rPr>
              <w:t>,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Knowledge management; not security/risk/compliance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 comparative analysis of DSN-MUI fatwas regarding </w:t>
            </w:r>
            <w:proofErr w:type="spellStart"/>
            <w:r w:rsidRPr="00A4111F">
              <w:rPr>
                <w:rFonts w:ascii="Times New Roman" w:hAnsi="Times New Roman" w:cs="Times New Roman"/>
                <w:color w:val="000000" w:themeColor="text1"/>
                <w:sz w:val="16"/>
                <w:szCs w:val="16"/>
              </w:rPr>
              <w:t>murabahah</w:t>
            </w:r>
            <w:proofErr w:type="spellEnd"/>
            <w:r w:rsidRPr="00A4111F">
              <w:rPr>
                <w:rFonts w:ascii="Times New Roman" w:hAnsi="Times New Roman" w:cs="Times New Roman"/>
                <w:color w:val="000000" w:themeColor="text1"/>
                <w:sz w:val="16"/>
                <w:szCs w:val="16"/>
              </w:rPr>
              <w:t xml:space="preserve"> contract and the real context application (A study at Islamic Banking in </w:t>
            </w:r>
            <w:proofErr w:type="gramStart"/>
            <w:r w:rsidRPr="00A4111F">
              <w:rPr>
                <w:rFonts w:ascii="Times New Roman" w:hAnsi="Times New Roman" w:cs="Times New Roman"/>
                <w:color w:val="000000" w:themeColor="text1"/>
                <w:sz w:val="16"/>
                <w:szCs w:val="16"/>
              </w:rPr>
              <w:t>Aceh)</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Samarah</w:t>
            </w:r>
            <w:proofErr w:type="spellEnd"/>
            <w:r w:rsidRPr="00A4111F">
              <w:rPr>
                <w:rFonts w:ascii="Times New Roman" w:hAnsi="Times New Roman" w:cs="Times New Roman"/>
                <w:i/>
                <w:iCs/>
                <w:color w:val="000000" w:themeColor="text1"/>
                <w:sz w:val="14"/>
                <w:szCs w:val="14"/>
              </w:rPr>
              <w:t>,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DSN-MUI fatwa on </w:t>
            </w:r>
            <w:proofErr w:type="spellStart"/>
            <w:r w:rsidRPr="00A4111F">
              <w:rPr>
                <w:rFonts w:ascii="Times New Roman" w:hAnsi="Times New Roman" w:cs="Times New Roman"/>
                <w:color w:val="000000" w:themeColor="text1"/>
                <w:sz w:val="15"/>
                <w:szCs w:val="15"/>
              </w:rPr>
              <w:t>murabahah</w:t>
            </w:r>
            <w:proofErr w:type="spellEnd"/>
            <w:r w:rsidRPr="00A4111F">
              <w:rPr>
                <w:rFonts w:ascii="Times New Roman" w:hAnsi="Times New Roman" w:cs="Times New Roman"/>
                <w:color w:val="000000" w:themeColor="text1"/>
                <w:sz w:val="15"/>
                <w:szCs w:val="15"/>
              </w:rPr>
              <w:t xml:space="preserve"> contract; jurisprudence,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Fatwa/contract compliance = Shariah-governance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102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Service quality perception and customer satisfaction in Islamic banks of </w:t>
            </w:r>
            <w:proofErr w:type="gramStart"/>
            <w:r w:rsidRPr="00A4111F">
              <w:rPr>
                <w:rFonts w:ascii="Times New Roman" w:hAnsi="Times New Roman" w:cs="Times New Roman"/>
                <w:color w:val="000000" w:themeColor="text1"/>
                <w:sz w:val="16"/>
                <w:szCs w:val="16"/>
              </w:rPr>
              <w:t>Oman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Asian Finance Economics and Business,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quality perception and satisfaction (Oman): core marketing.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quality/satisfaction relevant to customer service.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Legal, regulatory and governance issues in Islamic </w:t>
            </w:r>
            <w:proofErr w:type="gramStart"/>
            <w:r w:rsidRPr="00A4111F">
              <w:rPr>
                <w:rFonts w:ascii="Times New Roman" w:hAnsi="Times New Roman" w:cs="Times New Roman"/>
                <w:color w:val="000000" w:themeColor="text1"/>
                <w:sz w:val="16"/>
                <w:szCs w:val="16"/>
              </w:rPr>
              <w:t>finance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Legal Regulatory and Governance Issues in Islamic Finance, 2012)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Legal/regulatory/governance issues in Islamic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Legal, regulatory and governance reference for 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Financing government budget deficit as a liquidity risk mitigation tool for Islamic Banks: A dynamic </w:t>
            </w:r>
            <w:proofErr w:type="gramStart"/>
            <w:r w:rsidRPr="00A4111F">
              <w:rPr>
                <w:rFonts w:ascii="Times New Roman" w:hAnsi="Times New Roman" w:cs="Times New Roman"/>
                <w:color w:val="000000" w:themeColor="text1"/>
                <w:sz w:val="16"/>
                <w:szCs w:val="16"/>
              </w:rPr>
              <w:t>approach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Deficit financing as liquidity tool; finance,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Liquidity-risk mitigation = core risk-management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Bibliometric analysis of service quality and customer satisfaction in Islamic banking: a roadmap for future </w:t>
            </w:r>
            <w:proofErr w:type="gramStart"/>
            <w:r w:rsidRPr="00A4111F">
              <w:rPr>
                <w:rFonts w:ascii="Times New Roman" w:hAnsi="Times New Roman" w:cs="Times New Roman"/>
                <w:color w:val="000000" w:themeColor="text1"/>
                <w:sz w:val="16"/>
                <w:szCs w:val="16"/>
              </w:rPr>
              <w:t>research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2025)</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Bibliometric of service quality/satisfaction: topic + method (my fields).</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Bibliometric mapping; practitioner needs primary studies.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Influence of adoption AAOIFI accounting standards on earning management: evidence from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AAOIFI standards and earnings management; accounting,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Accounting-standard compliance/earnings = governance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Understanding the subjective realties of social proof and usability for mobile banking adoption: using triangulation of qualitative </w:t>
            </w:r>
            <w:proofErr w:type="gramStart"/>
            <w:r w:rsidRPr="00A4111F">
              <w:rPr>
                <w:rFonts w:ascii="Times New Roman" w:hAnsi="Times New Roman" w:cs="Times New Roman"/>
                <w:color w:val="000000" w:themeColor="text1"/>
                <w:sz w:val="16"/>
                <w:szCs w:val="16"/>
              </w:rPr>
              <w:t>methods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Social proof and usability for m-banking adoption (tech adoption + digital).</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usability/adoption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Employing Takaful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banking through state of the art blockchain: A case </w:t>
            </w:r>
            <w:proofErr w:type="gramStart"/>
            <w:r w:rsidRPr="00A4111F">
              <w:rPr>
                <w:rFonts w:ascii="Times New Roman" w:hAnsi="Times New Roman" w:cs="Times New Roman"/>
                <w:color w:val="000000" w:themeColor="text1"/>
                <w:sz w:val="16"/>
                <w:szCs w:val="16"/>
              </w:rPr>
              <w:t>study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Advanced Computer Science and Applications,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Takaful via blockchain case; insurance + tech,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in Islamic finance = digital application/operations.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109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Understanding the role of social networking platforms in addressing the challenges of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Management Development,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Social networking platforms for Islamic banks: digital marketing.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Social-media engagement is marketing comms,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Discourses of sustainable finance implementation in Islamic bank (Cases studies in Bank </w:t>
            </w:r>
            <w:proofErr w:type="spellStart"/>
            <w:r w:rsidRPr="00A4111F">
              <w:rPr>
                <w:rFonts w:ascii="Times New Roman" w:hAnsi="Times New Roman" w:cs="Times New Roman"/>
                <w:color w:val="000000" w:themeColor="text1"/>
                <w:sz w:val="16"/>
                <w:szCs w:val="16"/>
              </w:rPr>
              <w:t>Mandiri</w:t>
            </w:r>
            <w:proofErr w:type="spellEnd"/>
            <w:r w:rsidRPr="00A4111F">
              <w:rPr>
                <w:rFonts w:ascii="Times New Roman" w:hAnsi="Times New Roman" w:cs="Times New Roman"/>
                <w:color w:val="000000" w:themeColor="text1"/>
                <w:sz w:val="16"/>
                <w:szCs w:val="16"/>
              </w:rPr>
              <w:t xml:space="preserve"> Syariah 2018</w:t>
            </w:r>
            <w:proofErr w:type="gramStart"/>
            <w:r w:rsidRPr="00A4111F">
              <w:rPr>
                <w:rFonts w:ascii="Times New Roman" w:hAnsi="Times New Roman" w:cs="Times New Roman"/>
                <w:color w:val="000000" w:themeColor="text1"/>
                <w:sz w:val="16"/>
                <w:szCs w:val="16"/>
              </w:rPr>
              <w: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Financial Research,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Sustainable-finance discourse; no consumer/marketing dimension.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Sustainable-finance implementation in a bank = operational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Sharia E-Wallet: The Issue of Sharia Compliance and Data </w:t>
            </w:r>
            <w:proofErr w:type="gramStart"/>
            <w:r w:rsidRPr="00A4111F">
              <w:rPr>
                <w:rFonts w:ascii="Times New Roman" w:hAnsi="Times New Roman" w:cs="Times New Roman"/>
                <w:color w:val="000000" w:themeColor="text1"/>
                <w:sz w:val="16"/>
                <w:szCs w:val="16"/>
              </w:rPr>
              <w:t>Protection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 xml:space="preserve">Al </w:t>
            </w:r>
            <w:proofErr w:type="spellStart"/>
            <w:r w:rsidRPr="00A4111F">
              <w:rPr>
                <w:rFonts w:ascii="Times New Roman" w:hAnsi="Times New Roman" w:cs="Times New Roman"/>
                <w:i/>
                <w:iCs/>
                <w:color w:val="000000" w:themeColor="text1"/>
                <w:sz w:val="14"/>
                <w:szCs w:val="14"/>
              </w:rPr>
              <w:t>Manahij</w:t>
            </w:r>
            <w:proofErr w:type="spellEnd"/>
            <w:r w:rsidRPr="00A4111F">
              <w:rPr>
                <w:rFonts w:ascii="Times New Roman" w:hAnsi="Times New Roman" w:cs="Times New Roman"/>
                <w:i/>
                <w:iCs/>
                <w:color w:val="000000" w:themeColor="text1"/>
                <w:sz w:val="14"/>
                <w:szCs w:val="14"/>
              </w:rPr>
              <w:t xml:space="preserve"> </w:t>
            </w:r>
            <w:proofErr w:type="spellStart"/>
            <w:r w:rsidRPr="00A4111F">
              <w:rPr>
                <w:rFonts w:ascii="Times New Roman" w:hAnsi="Times New Roman" w:cs="Times New Roman"/>
                <w:i/>
                <w:iCs/>
                <w:color w:val="000000" w:themeColor="text1"/>
                <w:sz w:val="14"/>
                <w:szCs w:val="14"/>
              </w:rPr>
              <w:t>Jurnal</w:t>
            </w:r>
            <w:proofErr w:type="spellEnd"/>
            <w:r w:rsidRPr="00A4111F">
              <w:rPr>
                <w:rFonts w:ascii="Times New Roman" w:hAnsi="Times New Roman" w:cs="Times New Roman"/>
                <w:i/>
                <w:iCs/>
                <w:color w:val="000000" w:themeColor="text1"/>
                <w:sz w:val="14"/>
                <w:szCs w:val="14"/>
              </w:rPr>
              <w:t xml:space="preserve"> Kajian Hukum Islam,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 e-wallet, compliance and data protection (digital + privacy).</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E-wallet data protection/compliance = security + 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financial technology acceptance: An empirical study in </w:t>
            </w:r>
            <w:proofErr w:type="gramStart"/>
            <w:r w:rsidRPr="00A4111F">
              <w:rPr>
                <w:rFonts w:ascii="Times New Roman" w:hAnsi="Times New Roman" w:cs="Times New Roman"/>
                <w:color w:val="000000" w:themeColor="text1"/>
                <w:sz w:val="16"/>
                <w:szCs w:val="16"/>
              </w:rPr>
              <w:t>Jordan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Data and Network Science,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FinTech acceptance (Jordan): technology 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acceptance = digital banking adoption.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Efficiency of Islamic banks: case of North African Arab </w:t>
            </w:r>
            <w:proofErr w:type="gramStart"/>
            <w:r w:rsidRPr="00A4111F">
              <w:rPr>
                <w:rFonts w:ascii="Times New Roman" w:hAnsi="Times New Roman" w:cs="Times New Roman"/>
                <w:color w:val="000000" w:themeColor="text1"/>
                <w:sz w:val="16"/>
                <w:szCs w:val="16"/>
              </w:rPr>
              <w:t>countries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Qualitative Research in Financial Markets, 2012)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Efficiency of Islamic banks;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Efficiency analysis;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Waqf-based </w:t>
            </w:r>
            <w:proofErr w:type="spellStart"/>
            <w:r w:rsidRPr="00A4111F">
              <w:rPr>
                <w:rFonts w:ascii="Times New Roman" w:hAnsi="Times New Roman" w:cs="Times New Roman"/>
                <w:color w:val="000000" w:themeColor="text1"/>
                <w:sz w:val="16"/>
                <w:szCs w:val="16"/>
              </w:rPr>
              <w:t>qardhul</w:t>
            </w:r>
            <w:proofErr w:type="spellEnd"/>
            <w:r w:rsidRPr="00A4111F">
              <w:rPr>
                <w:rFonts w:ascii="Times New Roman" w:hAnsi="Times New Roman" w:cs="Times New Roman"/>
                <w:color w:val="000000" w:themeColor="text1"/>
                <w:sz w:val="16"/>
                <w:szCs w:val="16"/>
              </w:rPr>
              <w:t xml:space="preserve"> </w:t>
            </w:r>
            <w:proofErr w:type="spellStart"/>
            <w:r w:rsidRPr="00A4111F">
              <w:rPr>
                <w:rFonts w:ascii="Times New Roman" w:hAnsi="Times New Roman" w:cs="Times New Roman"/>
                <w:color w:val="000000" w:themeColor="text1"/>
                <w:sz w:val="16"/>
                <w:szCs w:val="16"/>
              </w:rPr>
              <w:t>hassan</w:t>
            </w:r>
            <w:proofErr w:type="spellEnd"/>
            <w:r w:rsidRPr="00A4111F">
              <w:rPr>
                <w:rFonts w:ascii="Times New Roman" w:hAnsi="Times New Roman" w:cs="Times New Roman"/>
                <w:color w:val="000000" w:themeColor="text1"/>
                <w:sz w:val="16"/>
                <w:szCs w:val="16"/>
              </w:rPr>
              <w:t xml:space="preserve"> financing preference in Malaysia: an exploratory </w:t>
            </w:r>
            <w:proofErr w:type="gramStart"/>
            <w:r w:rsidRPr="00A4111F">
              <w:rPr>
                <w:rFonts w:ascii="Times New Roman" w:hAnsi="Times New Roman" w:cs="Times New Roman"/>
                <w:color w:val="000000" w:themeColor="text1"/>
                <w:sz w:val="16"/>
                <w:szCs w:val="16"/>
              </w:rPr>
              <w:t>study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Ethics and Systems,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Waqf </w:t>
            </w:r>
            <w:proofErr w:type="spellStart"/>
            <w:r w:rsidRPr="00A4111F">
              <w:rPr>
                <w:rFonts w:ascii="Times New Roman" w:hAnsi="Times New Roman" w:cs="Times New Roman"/>
                <w:color w:val="000000" w:themeColor="text1"/>
                <w:sz w:val="15"/>
                <w:szCs w:val="15"/>
              </w:rPr>
              <w:t>qard-hasan</w:t>
            </w:r>
            <w:proofErr w:type="spellEnd"/>
            <w:r w:rsidRPr="00A4111F">
              <w:rPr>
                <w:rFonts w:ascii="Times New Roman" w:hAnsi="Times New Roman" w:cs="Times New Roman"/>
                <w:color w:val="000000" w:themeColor="text1"/>
                <w:sz w:val="15"/>
                <w:szCs w:val="15"/>
              </w:rPr>
              <w:t xml:space="preserve"> financing preference; social finance, off-core.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Waqf financing product; not digital/security/risk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Does Fintech-Driven Inclusive Finance Induce Bank Profitability? Empirical Evidence from Developing </w:t>
            </w:r>
            <w:proofErr w:type="gramStart"/>
            <w:r w:rsidRPr="00A4111F">
              <w:rPr>
                <w:rFonts w:ascii="Times New Roman" w:hAnsi="Times New Roman" w:cs="Times New Roman"/>
                <w:color w:val="000000" w:themeColor="text1"/>
                <w:sz w:val="16"/>
                <w:szCs w:val="16"/>
              </w:rPr>
              <w:t>Countries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Risk and Financial Management,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and profitability, non-Islamic context; finance outcome.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Conventional-context profitability; not Islamic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How important is CRM toward customer’s loyalty to conventional and Islamic bank marketing strategy</w:t>
            </w:r>
            <w:proofErr w:type="gramStart"/>
            <w:r w:rsidRPr="00A4111F">
              <w:rPr>
                <w:rFonts w:ascii="Times New Roman" w:hAnsi="Times New Roman" w:cs="Times New Roman"/>
                <w:color w:val="000000" w:themeColor="text1"/>
                <w:sz w:val="16"/>
                <w:szCs w:val="16"/>
              </w:rPr>
              <w:t>? :</w:t>
            </w:r>
            <w:proofErr w:type="gramEnd"/>
            <w:r w:rsidRPr="00A4111F">
              <w:rPr>
                <w:rFonts w:ascii="Times New Roman" w:hAnsi="Times New Roman" w:cs="Times New Roman"/>
                <w:color w:val="000000" w:themeColor="text1"/>
                <w:sz w:val="16"/>
                <w:szCs w:val="16"/>
              </w:rPr>
              <w:t xml:space="preserve"> A </w:t>
            </w:r>
            <w:r w:rsidRPr="00A4111F">
              <w:rPr>
                <w:rFonts w:ascii="Times New Roman" w:hAnsi="Times New Roman" w:cs="Times New Roman"/>
                <w:color w:val="000000" w:themeColor="text1"/>
                <w:sz w:val="16"/>
                <w:szCs w:val="16"/>
              </w:rPr>
              <w:lastRenderedPageBreak/>
              <w:t>case study from Indonesia</w:t>
            </w:r>
            <w:r w:rsidRPr="00A4111F">
              <w:rPr>
                <w:rFonts w:ascii="Times New Roman" w:hAnsi="Times New Roman" w:cs="Times New Roman"/>
                <w:i/>
                <w:iCs/>
                <w:color w:val="000000" w:themeColor="text1"/>
                <w:sz w:val="14"/>
                <w:szCs w:val="14"/>
              </w:rPr>
              <w:t xml:space="preserve">  (Journal of Islamic Marketing,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lastRenderedPageBreak/>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CRM and customer loyalty marketing strategy: consumer/CRM.</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CRM marketing strategy is a marketing lever,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Effect of architecture and efficiency of mobile banking application on the intention to continue using Islamic bank: does data security matter?</w:t>
            </w:r>
            <w:r w:rsidRPr="00A4111F">
              <w:rPr>
                <w:rFonts w:ascii="Times New Roman" w:hAnsi="Times New Roman" w:cs="Times New Roman"/>
                <w:i/>
                <w:iCs/>
                <w:color w:val="000000" w:themeColor="text1"/>
                <w:sz w:val="14"/>
                <w:szCs w:val="14"/>
              </w:rPr>
              <w:t xml:space="preserve">  (Journal of Islamic Marketing,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M-banking architecture, continuance and data security (digital + privacy).</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and data security = digital operations + 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Trustworthiness and margins in Islamic small business financing: Evidence from </w:t>
            </w:r>
            <w:proofErr w:type="gramStart"/>
            <w:r w:rsidRPr="00A4111F">
              <w:rPr>
                <w:rFonts w:ascii="Times New Roman" w:hAnsi="Times New Roman" w:cs="Times New Roman"/>
                <w:color w:val="000000" w:themeColor="text1"/>
                <w:sz w:val="16"/>
                <w:szCs w:val="16"/>
              </w:rPr>
              <w:t>Indonesia</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Borsa</w:t>
            </w:r>
            <w:proofErr w:type="spellEnd"/>
            <w:r w:rsidRPr="00A4111F">
              <w:rPr>
                <w:rFonts w:ascii="Times New Roman" w:hAnsi="Times New Roman" w:cs="Times New Roman"/>
                <w:i/>
                <w:iCs/>
                <w:color w:val="000000" w:themeColor="text1"/>
                <w:sz w:val="14"/>
                <w:szCs w:val="14"/>
              </w:rPr>
              <w:t xml:space="preserve"> Istanbul Review,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Trustworthiness in small-business financing: consumer/relational trust.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Financing trustworthiness/margins relevant to lending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119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critical success factors (CSF) of blockchain technology effecting excel performance of banking sector: Case of UAE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Data and Network Science,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CSFs and bank performance: technology adoption.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implementation in Islamic banks = digital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experience and the prospects of Islamic finance in </w:t>
            </w:r>
            <w:proofErr w:type="gramStart"/>
            <w:r w:rsidRPr="00A4111F">
              <w:rPr>
                <w:rFonts w:ascii="Times New Roman" w:hAnsi="Times New Roman" w:cs="Times New Roman"/>
                <w:color w:val="000000" w:themeColor="text1"/>
                <w:sz w:val="16"/>
                <w:szCs w:val="16"/>
              </w:rPr>
              <w:t>Kazakhstan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Qualitative Research in Financial Markets, 2022)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finance prospects (Kazakhstan); general, no consumer/digital.</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General country prospects;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Millennial </w:t>
            </w:r>
            <w:proofErr w:type="spellStart"/>
            <w:r w:rsidRPr="00A4111F">
              <w:rPr>
                <w:rFonts w:ascii="Times New Roman" w:hAnsi="Times New Roman" w:cs="Times New Roman"/>
                <w:color w:val="000000" w:themeColor="text1"/>
                <w:sz w:val="16"/>
                <w:szCs w:val="16"/>
              </w:rPr>
              <w:t>behavioural</w:t>
            </w:r>
            <w:proofErr w:type="spellEnd"/>
            <w:r w:rsidRPr="00A4111F">
              <w:rPr>
                <w:rFonts w:ascii="Times New Roman" w:hAnsi="Times New Roman" w:cs="Times New Roman"/>
                <w:color w:val="000000" w:themeColor="text1"/>
                <w:sz w:val="16"/>
                <w:szCs w:val="16"/>
              </w:rPr>
              <w:t xml:space="preserve"> intention in Islamic banks: the role of social media </w:t>
            </w:r>
            <w:proofErr w:type="gramStart"/>
            <w:r w:rsidRPr="00A4111F">
              <w:rPr>
                <w:rFonts w:ascii="Times New Roman" w:hAnsi="Times New Roman" w:cs="Times New Roman"/>
                <w:color w:val="000000" w:themeColor="text1"/>
                <w:sz w:val="16"/>
                <w:szCs w:val="16"/>
              </w:rPr>
              <w:t>influencers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Behavioural</w:t>
            </w:r>
            <w:proofErr w:type="spellEnd"/>
            <w:r w:rsidRPr="00A4111F">
              <w:rPr>
                <w:rFonts w:ascii="Times New Roman" w:hAnsi="Times New Roman" w:cs="Times New Roman"/>
                <w:color w:val="000000" w:themeColor="text1"/>
                <w:sz w:val="15"/>
                <w:szCs w:val="15"/>
              </w:rPr>
              <w:t xml:space="preserve"> intention and social-media influencers: digital marketing.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Influencer marketing is marketing comms,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financing and business framework: A </w:t>
            </w:r>
            <w:proofErr w:type="gramStart"/>
            <w:r w:rsidRPr="00A4111F">
              <w:rPr>
                <w:rFonts w:ascii="Times New Roman" w:hAnsi="Times New Roman" w:cs="Times New Roman"/>
                <w:color w:val="000000" w:themeColor="text1"/>
                <w:sz w:val="16"/>
                <w:szCs w:val="16"/>
              </w:rPr>
              <w:t>survey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European Journal of Social Sciences, 2010)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financing framework survey; general, no consumer/digital.</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General financing framework;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Artificial intelligence and Islamic finance industry: problems and </w:t>
            </w:r>
            <w:proofErr w:type="gramStart"/>
            <w:r w:rsidRPr="00A4111F">
              <w:rPr>
                <w:rFonts w:ascii="Times New Roman" w:hAnsi="Times New Roman" w:cs="Times New Roman"/>
                <w:color w:val="000000" w:themeColor="text1"/>
                <w:sz w:val="16"/>
                <w:szCs w:val="16"/>
              </w:rPr>
              <w:t>oversight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Law and Management, 2025)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 in Islamic finance, problems/oversight; not consumer/adoption.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 oversight in finance = digital governance/regulation.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Debt maturity and </w:t>
            </w:r>
            <w:proofErr w:type="spellStart"/>
            <w:r w:rsidRPr="00A4111F">
              <w:rPr>
                <w:rFonts w:ascii="Times New Roman" w:hAnsi="Times New Roman" w:cs="Times New Roman"/>
                <w:color w:val="000000" w:themeColor="text1"/>
                <w:sz w:val="16"/>
                <w:szCs w:val="16"/>
              </w:rPr>
              <w:t>shari’ah</w:t>
            </w:r>
            <w:proofErr w:type="spellEnd"/>
            <w:r w:rsidRPr="00A4111F">
              <w:rPr>
                <w:rFonts w:ascii="Times New Roman" w:hAnsi="Times New Roman" w:cs="Times New Roman"/>
                <w:color w:val="000000" w:themeColor="text1"/>
                <w:sz w:val="16"/>
                <w:szCs w:val="16"/>
              </w:rPr>
              <w:t xml:space="preserve"> compliance: Evidence from Malaysian panel </w:t>
            </w:r>
            <w:proofErr w:type="gramStart"/>
            <w:r w:rsidRPr="00A4111F">
              <w:rPr>
                <w:rFonts w:ascii="Times New Roman" w:hAnsi="Times New Roman" w:cs="Times New Roman"/>
                <w:color w:val="000000" w:themeColor="text1"/>
                <w:sz w:val="16"/>
                <w:szCs w:val="16"/>
              </w:rPr>
              <w:t>data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European Research Studies Journal, 2018)</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Debt maturity and Shariah compliance; corporate finance,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Capital-structure finance; compliance only as a variable.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Technological turbulence as hindrance between factors influencing readiness of senior management and implementing blockchain technology in Jordanian Islamic banks: a structural equation modeling </w:t>
            </w:r>
            <w:proofErr w:type="gramStart"/>
            <w:r w:rsidRPr="00A4111F">
              <w:rPr>
                <w:rFonts w:ascii="Times New Roman" w:hAnsi="Times New Roman" w:cs="Times New Roman"/>
                <w:color w:val="000000" w:themeColor="text1"/>
                <w:sz w:val="16"/>
                <w:szCs w:val="16"/>
              </w:rPr>
              <w:t>approach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Innovation and Entrepreneurship,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implementation readiness, SEM: technology adoption.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implementation in Islamic banks = digital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Relationship between Islamic human resource management (IHRM) practices and trust: An empirical </w:t>
            </w:r>
            <w:proofErr w:type="gramStart"/>
            <w:r w:rsidRPr="00A4111F">
              <w:rPr>
                <w:rFonts w:ascii="Times New Roman" w:hAnsi="Times New Roman" w:cs="Times New Roman"/>
                <w:color w:val="000000" w:themeColor="text1"/>
                <w:sz w:val="16"/>
                <w:szCs w:val="16"/>
              </w:rPr>
              <w:t>study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Industrial Engineering and Management, 2013)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HRM practices and (employee) trust; HR, not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HRM/employee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Impact of relationship marketing on customers loyalty of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banks in the state of </w:t>
            </w:r>
            <w:proofErr w:type="gramStart"/>
            <w:r w:rsidRPr="00A4111F">
              <w:rPr>
                <w:rFonts w:ascii="Times New Roman" w:hAnsi="Times New Roman" w:cs="Times New Roman"/>
                <w:color w:val="000000" w:themeColor="text1"/>
                <w:sz w:val="16"/>
                <w:szCs w:val="16"/>
              </w:rPr>
              <w:t>Kuwait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Scientific and Technology Research,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Relationship marketing and customer loyalty: consumer/relationship.</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Relationship-marketing lever; no operations/security content.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Role of Service Quality and Online Trust in Maintaining Clients for Malaysian Online </w:t>
            </w:r>
            <w:proofErr w:type="gramStart"/>
            <w:r w:rsidRPr="00A4111F">
              <w:rPr>
                <w:rFonts w:ascii="Times New Roman" w:hAnsi="Times New Roman" w:cs="Times New Roman"/>
                <w:color w:val="000000" w:themeColor="text1"/>
                <w:sz w:val="16"/>
                <w:szCs w:val="16"/>
              </w:rPr>
              <w:t>Enterprises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 xml:space="preserve">International Journal of </w:t>
            </w:r>
            <w:proofErr w:type="spellStart"/>
            <w:r w:rsidRPr="00A4111F">
              <w:rPr>
                <w:rFonts w:ascii="Times New Roman" w:hAnsi="Times New Roman" w:cs="Times New Roman"/>
                <w:i/>
                <w:iCs/>
                <w:color w:val="000000" w:themeColor="text1"/>
                <w:sz w:val="14"/>
                <w:szCs w:val="14"/>
              </w:rPr>
              <w:t>Ebusiness</w:t>
            </w:r>
            <w:proofErr w:type="spellEnd"/>
            <w:r w:rsidRPr="00A4111F">
              <w:rPr>
                <w:rFonts w:ascii="Times New Roman" w:hAnsi="Times New Roman" w:cs="Times New Roman"/>
                <w:i/>
                <w:iCs/>
                <w:color w:val="000000" w:themeColor="text1"/>
                <w:sz w:val="14"/>
                <w:szCs w:val="14"/>
              </w:rPr>
              <w:t xml:space="preserve"> and </w:t>
            </w:r>
            <w:proofErr w:type="spellStart"/>
            <w:r w:rsidRPr="00A4111F">
              <w:rPr>
                <w:rFonts w:ascii="Times New Roman" w:hAnsi="Times New Roman" w:cs="Times New Roman"/>
                <w:i/>
                <w:iCs/>
                <w:color w:val="000000" w:themeColor="text1"/>
                <w:sz w:val="14"/>
                <w:szCs w:val="14"/>
              </w:rPr>
              <w:t>Egovernment</w:t>
            </w:r>
            <w:proofErr w:type="spellEnd"/>
            <w:r w:rsidRPr="00A4111F">
              <w:rPr>
                <w:rFonts w:ascii="Times New Roman" w:hAnsi="Times New Roman" w:cs="Times New Roman"/>
                <w:i/>
                <w:iCs/>
                <w:color w:val="000000" w:themeColor="text1"/>
                <w:sz w:val="14"/>
                <w:szCs w:val="14"/>
              </w:rPr>
              <w:t xml:space="preserve"> Studies,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 trust and service quality for e-enterprises: online trust construct.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Online-enterprise e-commerce; not Islamic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129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potential of waqf in activating idle agricultural </w:t>
            </w:r>
            <w:proofErr w:type="gramStart"/>
            <w:r w:rsidRPr="00A4111F">
              <w:rPr>
                <w:rFonts w:ascii="Times New Roman" w:hAnsi="Times New Roman" w:cs="Times New Roman"/>
                <w:color w:val="000000" w:themeColor="text1"/>
                <w:sz w:val="16"/>
                <w:szCs w:val="16"/>
              </w:rPr>
              <w:t>land</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Jurnal</w:t>
            </w:r>
            <w:proofErr w:type="spellEnd"/>
            <w:r w:rsidRPr="00A4111F">
              <w:rPr>
                <w:rFonts w:ascii="Times New Roman" w:hAnsi="Times New Roman" w:cs="Times New Roman"/>
                <w:i/>
                <w:iCs/>
                <w:color w:val="000000" w:themeColor="text1"/>
                <w:sz w:val="14"/>
                <w:szCs w:val="14"/>
              </w:rPr>
              <w:t xml:space="preserve"> </w:t>
            </w:r>
            <w:proofErr w:type="spellStart"/>
            <w:r w:rsidRPr="00A4111F">
              <w:rPr>
                <w:rFonts w:ascii="Times New Roman" w:hAnsi="Times New Roman" w:cs="Times New Roman"/>
                <w:i/>
                <w:iCs/>
                <w:color w:val="000000" w:themeColor="text1"/>
                <w:sz w:val="14"/>
                <w:szCs w:val="14"/>
              </w:rPr>
              <w:t>Pengurusan</w:t>
            </w:r>
            <w:proofErr w:type="spellEnd"/>
            <w:r w:rsidRPr="00A4111F">
              <w:rPr>
                <w:rFonts w:ascii="Times New Roman" w:hAnsi="Times New Roman" w:cs="Times New Roman"/>
                <w:i/>
                <w:iCs/>
                <w:color w:val="000000" w:themeColor="text1"/>
                <w:sz w:val="14"/>
                <w:szCs w:val="14"/>
              </w:rPr>
              <w:t>, 2015)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Waqf for idle agricultural land; agriculture, off-topic.</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Agricultural waqf; unrelated to banking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130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6"/>
                <w:szCs w:val="16"/>
              </w:rPr>
              <w:t>Sharīʿah</w:t>
            </w:r>
            <w:proofErr w:type="spellEnd"/>
            <w:r w:rsidRPr="00A4111F">
              <w:rPr>
                <w:rFonts w:ascii="Times New Roman" w:hAnsi="Times New Roman" w:cs="Times New Roman"/>
                <w:color w:val="000000" w:themeColor="text1"/>
                <w:sz w:val="16"/>
                <w:szCs w:val="16"/>
              </w:rPr>
              <w:t xml:space="preserve">-compliance ratings of the Islamic financial services industry: a quantitative </w:t>
            </w:r>
            <w:proofErr w:type="gramStart"/>
            <w:r w:rsidRPr="00A4111F">
              <w:rPr>
                <w:rFonts w:ascii="Times New Roman" w:hAnsi="Times New Roman" w:cs="Times New Roman"/>
                <w:color w:val="000000" w:themeColor="text1"/>
                <w:sz w:val="16"/>
                <w:szCs w:val="16"/>
              </w:rPr>
              <w:t>approach</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Isra</w:t>
            </w:r>
            <w:proofErr w:type="spellEnd"/>
            <w:r w:rsidRPr="00A4111F">
              <w:rPr>
                <w:rFonts w:ascii="Times New Roman" w:hAnsi="Times New Roman" w:cs="Times New Roman"/>
                <w:i/>
                <w:iCs/>
                <w:color w:val="000000" w:themeColor="text1"/>
                <w:sz w:val="14"/>
                <w:szCs w:val="14"/>
              </w:rPr>
              <w:t xml:space="preserve"> International Journal of Islamic Finance, 2018)</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Shariah-compliance ratings of IFSI; no consumer dimension.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Shariah-compliance ratings = compliance/governance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Strengthening a sustainable Islamic financial industry through digital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Sustainable Islamic finance via digital banking (digital + strategy).</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Digital banking for sustainability = digital transformation.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6"/>
                <w:szCs w:val="16"/>
              </w:rPr>
              <w:t>Qard</w:t>
            </w:r>
            <w:proofErr w:type="spellEnd"/>
            <w:r w:rsidRPr="00A4111F">
              <w:rPr>
                <w:rFonts w:ascii="Times New Roman" w:hAnsi="Times New Roman" w:cs="Times New Roman"/>
                <w:color w:val="000000" w:themeColor="text1"/>
                <w:sz w:val="16"/>
                <w:szCs w:val="16"/>
              </w:rPr>
              <w:t xml:space="preserve"> Hasan, </w:t>
            </w:r>
            <w:proofErr w:type="spellStart"/>
            <w:r w:rsidRPr="00A4111F">
              <w:rPr>
                <w:rFonts w:ascii="Times New Roman" w:hAnsi="Times New Roman" w:cs="Times New Roman"/>
                <w:color w:val="000000" w:themeColor="text1"/>
                <w:sz w:val="16"/>
                <w:szCs w:val="16"/>
              </w:rPr>
              <w:t>Wadīah</w:t>
            </w:r>
            <w:proofErr w:type="spellEnd"/>
            <w:r w:rsidRPr="00A4111F">
              <w:rPr>
                <w:rFonts w:ascii="Times New Roman" w:hAnsi="Times New Roman" w:cs="Times New Roman"/>
                <w:color w:val="000000" w:themeColor="text1"/>
                <w:sz w:val="16"/>
                <w:szCs w:val="16"/>
              </w:rPr>
              <w:t>/</w:t>
            </w:r>
            <w:proofErr w:type="spellStart"/>
            <w:r w:rsidRPr="00A4111F">
              <w:rPr>
                <w:rFonts w:ascii="Times New Roman" w:hAnsi="Times New Roman" w:cs="Times New Roman"/>
                <w:color w:val="000000" w:themeColor="text1"/>
                <w:sz w:val="16"/>
                <w:szCs w:val="16"/>
              </w:rPr>
              <w:t>Amānah</w:t>
            </w:r>
            <w:proofErr w:type="spellEnd"/>
            <w:r w:rsidRPr="00A4111F">
              <w:rPr>
                <w:rFonts w:ascii="Times New Roman" w:hAnsi="Times New Roman" w:cs="Times New Roman"/>
                <w:color w:val="000000" w:themeColor="text1"/>
                <w:sz w:val="16"/>
                <w:szCs w:val="16"/>
              </w:rPr>
              <w:t xml:space="preserve"> and bank deposits: Applications and misapplications of some concepts in Islamic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Arab Law Quarterly, 2011)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Qard</w:t>
            </w:r>
            <w:proofErr w:type="spellEnd"/>
            <w:r w:rsidRPr="00A4111F">
              <w:rPr>
                <w:rFonts w:ascii="Times New Roman" w:hAnsi="Times New Roman" w:cs="Times New Roman"/>
                <w:color w:val="000000" w:themeColor="text1"/>
                <w:sz w:val="15"/>
                <w:szCs w:val="15"/>
              </w:rPr>
              <w:t>/</w:t>
            </w:r>
            <w:proofErr w:type="spellStart"/>
            <w:r w:rsidRPr="00A4111F">
              <w:rPr>
                <w:rFonts w:ascii="Times New Roman" w:hAnsi="Times New Roman" w:cs="Times New Roman"/>
                <w:color w:val="000000" w:themeColor="text1"/>
                <w:sz w:val="15"/>
                <w:szCs w:val="15"/>
              </w:rPr>
              <w:t>Wadiah</w:t>
            </w:r>
            <w:proofErr w:type="spellEnd"/>
            <w:r w:rsidRPr="00A4111F">
              <w:rPr>
                <w:rFonts w:ascii="Times New Roman" w:hAnsi="Times New Roman" w:cs="Times New Roman"/>
                <w:color w:val="000000" w:themeColor="text1"/>
                <w:sz w:val="15"/>
                <w:szCs w:val="15"/>
              </w:rPr>
              <w:t xml:space="preserve"> deposit concepts; jurisprudence,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Deposit-contract concepts = Islamic banking product/Shariah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subprime mortgages crisis and Islamic </w:t>
            </w:r>
            <w:proofErr w:type="gramStart"/>
            <w:r w:rsidRPr="00A4111F">
              <w:rPr>
                <w:rFonts w:ascii="Times New Roman" w:hAnsi="Times New Roman" w:cs="Times New Roman"/>
                <w:color w:val="000000" w:themeColor="text1"/>
                <w:sz w:val="16"/>
                <w:szCs w:val="16"/>
              </w:rPr>
              <w:t>securitization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Subprime crisis and Islamic </w:t>
            </w:r>
            <w:proofErr w:type="spellStart"/>
            <w:r w:rsidRPr="00A4111F">
              <w:rPr>
                <w:rFonts w:ascii="Times New Roman" w:hAnsi="Times New Roman" w:cs="Times New Roman"/>
                <w:color w:val="000000" w:themeColor="text1"/>
                <w:sz w:val="15"/>
                <w:szCs w:val="15"/>
              </w:rPr>
              <w:t>securitisation</w:t>
            </w:r>
            <w:proofErr w:type="spellEnd"/>
            <w:r w:rsidRPr="00A4111F">
              <w:rPr>
                <w:rFonts w:ascii="Times New Roman" w:hAnsi="Times New Roman" w:cs="Times New Roman"/>
                <w:color w:val="000000" w:themeColor="text1"/>
                <w:sz w:val="15"/>
                <w:szCs w:val="15"/>
              </w:rPr>
              <w:t>;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Securitisation</w:t>
            </w:r>
            <w:proofErr w:type="spellEnd"/>
            <w:r w:rsidRPr="00A4111F">
              <w:rPr>
                <w:rFonts w:ascii="Times New Roman" w:hAnsi="Times New Roman" w:cs="Times New Roman"/>
                <w:color w:val="000000" w:themeColor="text1"/>
                <w:sz w:val="15"/>
                <w:szCs w:val="15"/>
              </w:rPr>
              <w:t>/finance;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 proposed framework for implementing risk-based </w:t>
            </w:r>
            <w:proofErr w:type="spellStart"/>
            <w:r w:rsidRPr="00A4111F">
              <w:rPr>
                <w:rFonts w:ascii="Times New Roman" w:hAnsi="Times New Roman" w:cs="Times New Roman"/>
                <w:color w:val="000000" w:themeColor="text1"/>
                <w:sz w:val="16"/>
                <w:szCs w:val="16"/>
              </w:rPr>
              <w:t>Shari’ah</w:t>
            </w:r>
            <w:proofErr w:type="spellEnd"/>
            <w:r w:rsidRPr="00A4111F">
              <w:rPr>
                <w:rFonts w:ascii="Times New Roman" w:hAnsi="Times New Roman" w:cs="Times New Roman"/>
                <w:color w:val="000000" w:themeColor="text1"/>
                <w:sz w:val="16"/>
                <w:szCs w:val="16"/>
              </w:rPr>
              <w:t xml:space="preserve"> </w:t>
            </w:r>
            <w:proofErr w:type="gramStart"/>
            <w:r w:rsidRPr="00A4111F">
              <w:rPr>
                <w:rFonts w:ascii="Times New Roman" w:hAnsi="Times New Roman" w:cs="Times New Roman"/>
                <w:color w:val="000000" w:themeColor="text1"/>
                <w:sz w:val="16"/>
                <w:szCs w:val="16"/>
              </w:rPr>
              <w:t>audit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Financial Reporting and Accounting,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Risk-based Shariah audit framework; audit,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Risk-based Shariah audit = compliance/governance + risk.</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Building loyalty in Islamic banking relationship: a multiple mediation approach empirically in </w:t>
            </w:r>
            <w:proofErr w:type="gramStart"/>
            <w:r w:rsidRPr="00A4111F">
              <w:rPr>
                <w:rFonts w:ascii="Times New Roman" w:hAnsi="Times New Roman" w:cs="Times New Roman"/>
                <w:color w:val="000000" w:themeColor="text1"/>
                <w:sz w:val="16"/>
                <w:szCs w:val="16"/>
              </w:rPr>
              <w:t>Indonesia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Financial Services Marketing,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Building loyalty in Islamic banking relationships: consumer loyalty.</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loyalty/relationship relevant to retention.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Risk Management in Islamic Banking: The Impact of Financial Technologies through Empirical Insights from the </w:t>
            </w:r>
            <w:proofErr w:type="gramStart"/>
            <w:r w:rsidRPr="00A4111F">
              <w:rPr>
                <w:rFonts w:ascii="Times New Roman" w:hAnsi="Times New Roman" w:cs="Times New Roman"/>
                <w:color w:val="000000" w:themeColor="text1"/>
                <w:sz w:val="16"/>
                <w:szCs w:val="16"/>
              </w:rPr>
              <w:t>UAE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Risks,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Risk management via FinTech; risk/finance focus,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Risk management with financial technologies = risk + digital.</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Analysis of the frequency dynamics of spillovers and connectedness among Islamic and conventional banks and their determinants: evidence from Gulf Cooperative Council (GCC) </w:t>
            </w:r>
            <w:proofErr w:type="gramStart"/>
            <w:r w:rsidRPr="00A4111F">
              <w:rPr>
                <w:rFonts w:ascii="Times New Roman" w:hAnsi="Times New Roman" w:cs="Times New Roman"/>
                <w:color w:val="000000" w:themeColor="text1"/>
                <w:sz w:val="16"/>
                <w:szCs w:val="16"/>
              </w:rPr>
              <w:t>markets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Applied Economics,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Spillovers/connectedness among banks; econometrics,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Market-connectedness econometrics;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Instagram: its roles in management of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Instagram in managing Islamic banks: social-media marketing.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Instagram marketing is marketing comms,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139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Information asymmetry and regulatory shortcomings in profit sharing investment </w:t>
            </w:r>
            <w:proofErr w:type="gramStart"/>
            <w:r w:rsidRPr="00A4111F">
              <w:rPr>
                <w:rFonts w:ascii="Times New Roman" w:hAnsi="Times New Roman" w:cs="Times New Roman"/>
                <w:color w:val="000000" w:themeColor="text1"/>
                <w:sz w:val="16"/>
                <w:szCs w:val="16"/>
              </w:rPr>
              <w:t>accounts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Information asymmetry in PSIA; finance/regulation,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Regulatory shortcomings in PSIA = compliance/regulatory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Explicating the adoption of an innovation Fintech Value Chain Financing from Aarti (Middlemen) perspective in </w:t>
            </w:r>
            <w:proofErr w:type="gramStart"/>
            <w:r w:rsidRPr="00A4111F">
              <w:rPr>
                <w:rFonts w:ascii="Times New Roman" w:hAnsi="Times New Roman" w:cs="Times New Roman"/>
                <w:color w:val="000000" w:themeColor="text1"/>
                <w:sz w:val="16"/>
                <w:szCs w:val="16"/>
              </w:rPr>
              <w:t>Pakistan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African Journal of Science Technology Innovation and Development,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value-chain financing adoption: technology 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value-chain financing = digital financial services.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Predictive Power of Random Forests in Analyzing Risk Management in Islamic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Risk and Financial Management,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Random forests for risk management; ML/risk focus,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ML for risk management = risk + analytics in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Arabian Gulf innovator attitudes for online Islamic bank marketing </w:t>
            </w:r>
            <w:proofErr w:type="gramStart"/>
            <w:r w:rsidRPr="00A4111F">
              <w:rPr>
                <w:rFonts w:ascii="Times New Roman" w:hAnsi="Times New Roman" w:cs="Times New Roman"/>
                <w:color w:val="000000" w:themeColor="text1"/>
                <w:sz w:val="16"/>
                <w:szCs w:val="16"/>
              </w:rPr>
              <w:t>strategy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2010)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Innovator attitudes for online Islamic bank marketing: digital + attitudes.</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Framed as online marketing strategy, not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Commitment and trust in achieving financial goals of strategic alliance: Case in Islamic </w:t>
            </w:r>
            <w:proofErr w:type="gramStart"/>
            <w:r w:rsidRPr="00A4111F">
              <w:rPr>
                <w:rFonts w:ascii="Times New Roman" w:hAnsi="Times New Roman" w:cs="Times New Roman"/>
                <w:color w:val="000000" w:themeColor="text1"/>
                <w:sz w:val="16"/>
                <w:szCs w:val="16"/>
              </w:rPr>
              <w:t>microfinance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2014)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in strategic alliance (microfinance); inter-</w:t>
            </w:r>
            <w:proofErr w:type="spellStart"/>
            <w:r w:rsidRPr="00A4111F">
              <w:rPr>
                <w:rFonts w:ascii="Times New Roman" w:hAnsi="Times New Roman" w:cs="Times New Roman"/>
                <w:color w:val="000000" w:themeColor="text1"/>
                <w:sz w:val="15"/>
                <w:szCs w:val="15"/>
              </w:rPr>
              <w:t>organisational</w:t>
            </w:r>
            <w:proofErr w:type="spellEnd"/>
            <w:r w:rsidRPr="00A4111F">
              <w:rPr>
                <w:rFonts w:ascii="Times New Roman" w:hAnsi="Times New Roman" w:cs="Times New Roman"/>
                <w:color w:val="000000" w:themeColor="text1"/>
                <w:sz w:val="15"/>
                <w:szCs w:val="15"/>
              </w:rPr>
              <w:t>,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Inter-</w:t>
            </w:r>
            <w:proofErr w:type="spellStart"/>
            <w:r w:rsidRPr="00A4111F">
              <w:rPr>
                <w:rFonts w:ascii="Times New Roman" w:hAnsi="Times New Roman" w:cs="Times New Roman"/>
                <w:color w:val="000000" w:themeColor="text1"/>
                <w:sz w:val="15"/>
                <w:szCs w:val="15"/>
              </w:rPr>
              <w:t>organisational</w:t>
            </w:r>
            <w:proofErr w:type="spellEnd"/>
            <w:r w:rsidRPr="00A4111F">
              <w:rPr>
                <w:rFonts w:ascii="Times New Roman" w:hAnsi="Times New Roman" w:cs="Times New Roman"/>
                <w:color w:val="000000" w:themeColor="text1"/>
                <w:sz w:val="15"/>
                <w:szCs w:val="15"/>
              </w:rPr>
              <w:t xml:space="preserve"> alliance;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non-economic consequences of disclosure in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Emerging Markets, 2018)</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Disclosure consequences in Islamic banks; no consumer dimension.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Disclosure practices = governance/compliance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145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 there a link between profit share rate of participation banks and interest </w:t>
            </w:r>
            <w:proofErr w:type="gramStart"/>
            <w:r w:rsidRPr="00A4111F">
              <w:rPr>
                <w:rFonts w:ascii="Times New Roman" w:hAnsi="Times New Roman" w:cs="Times New Roman"/>
                <w:color w:val="000000" w:themeColor="text1"/>
                <w:sz w:val="16"/>
                <w:szCs w:val="16"/>
              </w:rPr>
              <w:t>rate?:</w:t>
            </w:r>
            <w:proofErr w:type="gramEnd"/>
            <w:r w:rsidRPr="00A4111F">
              <w:rPr>
                <w:rFonts w:ascii="Times New Roman" w:hAnsi="Times New Roman" w:cs="Times New Roman"/>
                <w:color w:val="000000" w:themeColor="text1"/>
                <w:sz w:val="16"/>
                <w:szCs w:val="16"/>
              </w:rPr>
              <w:t xml:space="preserve"> The case of Turkey</w:t>
            </w:r>
            <w:r w:rsidRPr="00A4111F">
              <w:rPr>
                <w:rFonts w:ascii="Times New Roman" w:hAnsi="Times New Roman" w:cs="Times New Roman"/>
                <w:i/>
                <w:iCs/>
                <w:color w:val="000000" w:themeColor="text1"/>
                <w:sz w:val="14"/>
                <w:szCs w:val="14"/>
              </w:rPr>
              <w:t xml:space="preserve">  (Journal of Economic Cooperation and Development, 2017)</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Profit-share vs interest rate (Turkey); monetary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Rate/monetary finance;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Nurturing trust in Islamic banking within the metaverse for market </w:t>
            </w:r>
            <w:proofErr w:type="gramStart"/>
            <w:r w:rsidRPr="00A4111F">
              <w:rPr>
                <w:rFonts w:ascii="Times New Roman" w:hAnsi="Times New Roman" w:cs="Times New Roman"/>
                <w:color w:val="000000" w:themeColor="text1"/>
                <w:sz w:val="16"/>
                <w:szCs w:val="16"/>
              </w:rPr>
              <w:t>success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Nurturing trust in metaverse banking: consumer trust + emerging tech.</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Metaverse 'market success' framing is marketing,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impact of mobile banking use on the Islamic financial institutional interest: A study in </w:t>
            </w:r>
            <w:proofErr w:type="gramStart"/>
            <w:r w:rsidRPr="00A4111F">
              <w:rPr>
                <w:rFonts w:ascii="Times New Roman" w:hAnsi="Times New Roman" w:cs="Times New Roman"/>
                <w:color w:val="000000" w:themeColor="text1"/>
                <w:sz w:val="16"/>
                <w:szCs w:val="16"/>
              </w:rPr>
              <w:t>Indonesia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Banks and Bank Systems,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Mobile banking use and institutional interest (digital +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use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Halal lifestyle in marketing communication of tourism and </w:t>
            </w:r>
            <w:proofErr w:type="gramStart"/>
            <w:r w:rsidRPr="00A4111F">
              <w:rPr>
                <w:rFonts w:ascii="Times New Roman" w:hAnsi="Times New Roman" w:cs="Times New Roman"/>
                <w:color w:val="000000" w:themeColor="text1"/>
                <w:sz w:val="16"/>
                <w:szCs w:val="16"/>
              </w:rPr>
              <w:t>hospitality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Economic Research, 2017)</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Halal lifestyle in tourism/hospitality marketing; off-topic domain.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Tourism/hospitality; unrelated to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149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P2p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fintech investment innovation. A proposal of </w:t>
            </w:r>
            <w:proofErr w:type="spellStart"/>
            <w:r w:rsidRPr="00A4111F">
              <w:rPr>
                <w:rFonts w:ascii="Times New Roman" w:hAnsi="Times New Roman" w:cs="Times New Roman"/>
                <w:color w:val="000000" w:themeColor="text1"/>
                <w:sz w:val="16"/>
                <w:szCs w:val="16"/>
              </w:rPr>
              <w:t>mushĀrakah</w:t>
            </w:r>
            <w:proofErr w:type="spellEnd"/>
            <w:r w:rsidRPr="00A4111F">
              <w:rPr>
                <w:rFonts w:ascii="Times New Roman" w:hAnsi="Times New Roman" w:cs="Times New Roman"/>
                <w:color w:val="000000" w:themeColor="text1"/>
                <w:sz w:val="16"/>
                <w:szCs w:val="16"/>
              </w:rPr>
              <w:t xml:space="preserve"> smart contract model for </w:t>
            </w:r>
            <w:proofErr w:type="spellStart"/>
            <w:r w:rsidRPr="00A4111F">
              <w:rPr>
                <w:rFonts w:ascii="Times New Roman" w:hAnsi="Times New Roman" w:cs="Times New Roman"/>
                <w:color w:val="000000" w:themeColor="text1"/>
                <w:sz w:val="16"/>
                <w:szCs w:val="16"/>
              </w:rPr>
              <w:t>smes</w:t>
            </w:r>
            <w:proofErr w:type="spellEnd"/>
            <w:r w:rsidRPr="00A4111F">
              <w:rPr>
                <w:rFonts w:ascii="Times New Roman" w:hAnsi="Times New Roman" w:cs="Times New Roman"/>
                <w:color w:val="000000" w:themeColor="text1"/>
                <w:sz w:val="16"/>
                <w:szCs w:val="16"/>
              </w:rPr>
              <w:t xml:space="preserve"> financing and social </w:t>
            </w:r>
            <w:proofErr w:type="gramStart"/>
            <w:r w:rsidRPr="00A4111F">
              <w:rPr>
                <w:rFonts w:ascii="Times New Roman" w:hAnsi="Times New Roman" w:cs="Times New Roman"/>
                <w:color w:val="000000" w:themeColor="text1"/>
                <w:sz w:val="16"/>
                <w:szCs w:val="16"/>
              </w:rPr>
              <w:t>development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 xml:space="preserve">Al </w:t>
            </w:r>
            <w:proofErr w:type="spellStart"/>
            <w:r w:rsidRPr="00A4111F">
              <w:rPr>
                <w:rFonts w:ascii="Times New Roman" w:hAnsi="Times New Roman" w:cs="Times New Roman"/>
                <w:i/>
                <w:iCs/>
                <w:color w:val="000000" w:themeColor="text1"/>
                <w:sz w:val="14"/>
                <w:szCs w:val="14"/>
              </w:rPr>
              <w:t>Shajarah</w:t>
            </w:r>
            <w:proofErr w:type="spellEnd"/>
            <w:r w:rsidRPr="00A4111F">
              <w:rPr>
                <w:rFonts w:ascii="Times New Roman" w:hAnsi="Times New Roman" w:cs="Times New Roman"/>
                <w:i/>
                <w:iCs/>
                <w:color w:val="000000" w:themeColor="text1"/>
                <w:sz w:val="14"/>
                <w:szCs w:val="14"/>
              </w:rPr>
              <w:t>,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P2P Islamic FinTech, </w:t>
            </w:r>
            <w:proofErr w:type="spellStart"/>
            <w:r w:rsidRPr="00A4111F">
              <w:rPr>
                <w:rFonts w:ascii="Times New Roman" w:hAnsi="Times New Roman" w:cs="Times New Roman"/>
                <w:color w:val="000000" w:themeColor="text1"/>
                <w:sz w:val="15"/>
                <w:szCs w:val="15"/>
              </w:rPr>
              <w:t>musharakah</w:t>
            </w:r>
            <w:proofErr w:type="spellEnd"/>
            <w:r w:rsidRPr="00A4111F">
              <w:rPr>
                <w:rFonts w:ascii="Times New Roman" w:hAnsi="Times New Roman" w:cs="Times New Roman"/>
                <w:color w:val="000000" w:themeColor="text1"/>
                <w:sz w:val="15"/>
                <w:szCs w:val="15"/>
              </w:rPr>
              <w:t xml:space="preserve"> smart-contract model: Islamic FinTech.</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P2P smart-contract financing = digital financial services.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Evaluating customer satisfaction with the quality of online banking services after COVID-19: developing country </w:t>
            </w:r>
            <w:proofErr w:type="gramStart"/>
            <w:r w:rsidRPr="00A4111F">
              <w:rPr>
                <w:rFonts w:ascii="Times New Roman" w:hAnsi="Times New Roman" w:cs="Times New Roman"/>
                <w:color w:val="000000" w:themeColor="text1"/>
                <w:sz w:val="16"/>
                <w:szCs w:val="16"/>
              </w:rPr>
              <w:t>perspective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Cogent Business and Management,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 banking satisfaction post-COVID (digital +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 banking service quality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ROLE OF ARTIFICIAL INTELLIGENCE AND BIG DATA CAPABILITIES ON FINTECH SERVICES: VALUE CO-CREATION </w:t>
            </w:r>
            <w:proofErr w:type="gramStart"/>
            <w:r w:rsidRPr="00A4111F">
              <w:rPr>
                <w:rFonts w:ascii="Times New Roman" w:hAnsi="Times New Roman" w:cs="Times New Roman"/>
                <w:color w:val="000000" w:themeColor="text1"/>
                <w:sz w:val="16"/>
                <w:szCs w:val="16"/>
              </w:rPr>
              <w:t>THEORY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Innovative Marketing,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 and big-data on FinTech services, value co-creation: tech + value.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AI/big-data FinTech services = digital banking capability.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Brand familiarity vs profit-sharing rate: which has a stronger impact on Muslim customers’ intention to invest in an Islamic bank?</w:t>
            </w:r>
            <w:r w:rsidRPr="00A4111F">
              <w:rPr>
                <w:rFonts w:ascii="Times New Roman" w:hAnsi="Times New Roman" w:cs="Times New Roman"/>
                <w:i/>
                <w:iCs/>
                <w:color w:val="000000" w:themeColor="text1"/>
                <w:sz w:val="14"/>
                <w:szCs w:val="14"/>
              </w:rPr>
              <w:t xml:space="preserve">  (Journal of Islamic Marketing,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Brand familiarity vs profit-share on investment intention: branding/intention.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Brand familiarity is a branding lever,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Shariah board, web-based information and branding of Islamic financial </w:t>
            </w:r>
            <w:proofErr w:type="gramStart"/>
            <w:r w:rsidRPr="00A4111F">
              <w:rPr>
                <w:rFonts w:ascii="Times New Roman" w:hAnsi="Times New Roman" w:cs="Times New Roman"/>
                <w:color w:val="000000" w:themeColor="text1"/>
                <w:sz w:val="16"/>
                <w:szCs w:val="16"/>
              </w:rPr>
              <w:t>institutions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board, web info and branding of IFIs: branding + web (digital).</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board and web-based disclosure = governance + digital.</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Developing a </w:t>
            </w:r>
            <w:proofErr w:type="spellStart"/>
            <w:r w:rsidRPr="00A4111F">
              <w:rPr>
                <w:rFonts w:ascii="Times New Roman" w:hAnsi="Times New Roman" w:cs="Times New Roman"/>
                <w:color w:val="000000" w:themeColor="text1"/>
                <w:sz w:val="16"/>
                <w:szCs w:val="16"/>
              </w:rPr>
              <w:t>Shari’ah</w:t>
            </w:r>
            <w:proofErr w:type="spellEnd"/>
            <w:r w:rsidRPr="00A4111F">
              <w:rPr>
                <w:rFonts w:ascii="Times New Roman" w:hAnsi="Times New Roman" w:cs="Times New Roman"/>
                <w:color w:val="000000" w:themeColor="text1"/>
                <w:sz w:val="16"/>
                <w:szCs w:val="16"/>
              </w:rPr>
              <w:t xml:space="preserve"> based FinTech Money Creation Free [SFMCF] model for Islamic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Shariah-based FinTech money-creation model: Islamic FinTech.</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Shariah-based FinTech model for banking = digital + Shariah.</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Bank Selection criteria and </w:t>
            </w:r>
            <w:proofErr w:type="spellStart"/>
            <w:r w:rsidRPr="00A4111F">
              <w:rPr>
                <w:rFonts w:ascii="Times New Roman" w:hAnsi="Times New Roman" w:cs="Times New Roman"/>
                <w:color w:val="000000" w:themeColor="text1"/>
                <w:sz w:val="16"/>
                <w:szCs w:val="16"/>
              </w:rPr>
              <w:t>ServQual</w:t>
            </w:r>
            <w:proofErr w:type="spellEnd"/>
            <w:r w:rsidRPr="00A4111F">
              <w:rPr>
                <w:rFonts w:ascii="Times New Roman" w:hAnsi="Times New Roman" w:cs="Times New Roman"/>
                <w:color w:val="000000" w:themeColor="text1"/>
                <w:sz w:val="16"/>
                <w:szCs w:val="16"/>
              </w:rPr>
              <w:t xml:space="preserve"> Survey among </w:t>
            </w:r>
            <w:proofErr w:type="spellStart"/>
            <w:r w:rsidRPr="00A4111F">
              <w:rPr>
                <w:rFonts w:ascii="Times New Roman" w:hAnsi="Times New Roman" w:cs="Times New Roman"/>
                <w:color w:val="000000" w:themeColor="text1"/>
                <w:sz w:val="16"/>
                <w:szCs w:val="16"/>
              </w:rPr>
              <w:t>muSlimS</w:t>
            </w:r>
            <w:proofErr w:type="spellEnd"/>
            <w:r w:rsidRPr="00A4111F">
              <w:rPr>
                <w:rFonts w:ascii="Times New Roman" w:hAnsi="Times New Roman" w:cs="Times New Roman"/>
                <w:color w:val="000000" w:themeColor="text1"/>
                <w:sz w:val="16"/>
                <w:szCs w:val="16"/>
              </w:rPr>
              <w:t xml:space="preserve"> in </w:t>
            </w:r>
            <w:proofErr w:type="gramStart"/>
            <w:r w:rsidRPr="00A4111F">
              <w:rPr>
                <w:rFonts w:ascii="Times New Roman" w:hAnsi="Times New Roman" w:cs="Times New Roman"/>
                <w:color w:val="000000" w:themeColor="text1"/>
                <w:sz w:val="16"/>
                <w:szCs w:val="16"/>
              </w:rPr>
              <w:t>Mauritius</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Qudus</w:t>
            </w:r>
            <w:proofErr w:type="spellEnd"/>
            <w:r w:rsidRPr="00A4111F">
              <w:rPr>
                <w:rFonts w:ascii="Times New Roman" w:hAnsi="Times New Roman" w:cs="Times New Roman"/>
                <w:i/>
                <w:iCs/>
                <w:color w:val="000000" w:themeColor="text1"/>
                <w:sz w:val="14"/>
                <w:szCs w:val="14"/>
              </w:rPr>
              <w:t xml:space="preserve"> International Journal of Islamic Studies, 2018)</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Bank selection criteria and </w:t>
            </w:r>
            <w:proofErr w:type="spellStart"/>
            <w:r w:rsidRPr="00A4111F">
              <w:rPr>
                <w:rFonts w:ascii="Times New Roman" w:hAnsi="Times New Roman" w:cs="Times New Roman"/>
                <w:color w:val="000000" w:themeColor="text1"/>
                <w:sz w:val="15"/>
                <w:szCs w:val="15"/>
              </w:rPr>
              <w:t>ServQual</w:t>
            </w:r>
            <w:proofErr w:type="spellEnd"/>
            <w:r w:rsidRPr="00A4111F">
              <w:rPr>
                <w:rFonts w:ascii="Times New Roman" w:hAnsi="Times New Roman" w:cs="Times New Roman"/>
                <w:color w:val="000000" w:themeColor="text1"/>
                <w:sz w:val="15"/>
                <w:szCs w:val="15"/>
              </w:rPr>
              <w:t xml:space="preserve"> among Muslims: consumer selection/SQ.</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selection/service quality relevant to the customer base.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Duration model for maturity gap risk management in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Modelling in Management, 2020)</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Duration model for maturity-gap risk; finance/risk modelling,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Maturity-gap risk management = core risk-management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Central bank Islamic monetary instruments: A theoretical </w:t>
            </w:r>
            <w:proofErr w:type="gramStart"/>
            <w:r w:rsidRPr="00A4111F">
              <w:rPr>
                <w:rFonts w:ascii="Times New Roman" w:hAnsi="Times New Roman" w:cs="Times New Roman"/>
                <w:color w:val="000000" w:themeColor="text1"/>
                <w:sz w:val="16"/>
                <w:szCs w:val="16"/>
              </w:rPr>
              <w:t>approach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Studies in Economics and Finance, 2011)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Central-bank Islamic monetary instruments; macro,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Monetary instruments; not bank-level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effect of financial risks on the performance of Islamic and commercial banks in </w:t>
            </w:r>
            <w:proofErr w:type="gramStart"/>
            <w:r w:rsidRPr="00A4111F">
              <w:rPr>
                <w:rFonts w:ascii="Times New Roman" w:hAnsi="Times New Roman" w:cs="Times New Roman"/>
                <w:color w:val="000000" w:themeColor="text1"/>
                <w:sz w:val="16"/>
                <w:szCs w:val="16"/>
              </w:rPr>
              <w:t>UAE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Frontiers in Applied Mathematics and Statistics,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Financial risks and bank performance; finance/risk,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Financial-risk effects = risk-management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159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banking: The firewall against the global financial </w:t>
            </w:r>
            <w:proofErr w:type="gramStart"/>
            <w:r w:rsidRPr="00A4111F">
              <w:rPr>
                <w:rFonts w:ascii="Times New Roman" w:hAnsi="Times New Roman" w:cs="Times New Roman"/>
                <w:color w:val="000000" w:themeColor="text1"/>
                <w:sz w:val="16"/>
                <w:szCs w:val="16"/>
              </w:rPr>
              <w:t>crisis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Applied Business Research, 2012)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banking as crisis firewall; macro-finance,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Macro-resilience commentary;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160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Trust and loyalty among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and conventional bank customers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Pertanika</w:t>
            </w:r>
            <w:proofErr w:type="spellEnd"/>
            <w:r w:rsidRPr="00A4111F">
              <w:rPr>
                <w:rFonts w:ascii="Times New Roman" w:hAnsi="Times New Roman" w:cs="Times New Roman"/>
                <w:i/>
                <w:iCs/>
                <w:color w:val="000000" w:themeColor="text1"/>
                <w:sz w:val="14"/>
                <w:szCs w:val="14"/>
              </w:rPr>
              <w:t xml:space="preserve"> Journal of Social Sciences and Humanities,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and loyalty among bank customers: core consumer trust/loyalty.</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trust/loyalty relevant to retention.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Nexus between customer preference and operation of conventional banks Islamic windows in </w:t>
            </w:r>
            <w:proofErr w:type="gramStart"/>
            <w:r w:rsidRPr="00A4111F">
              <w:rPr>
                <w:rFonts w:ascii="Times New Roman" w:hAnsi="Times New Roman" w:cs="Times New Roman"/>
                <w:color w:val="000000" w:themeColor="text1"/>
                <w:sz w:val="16"/>
                <w:szCs w:val="16"/>
              </w:rPr>
              <w:t>Pakistan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Marketing,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preference and Islamic-window operations: consumer preference.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preference + bank operations of Islamic windows.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MEASURING FACTORS AFFECTING CONSUMER ATTITUDES TOWARD METAVERSE ADOPTION: ISLAMIC BANKING SERVICES </w:t>
            </w:r>
            <w:proofErr w:type="gramStart"/>
            <w:r w:rsidRPr="00A4111F">
              <w:rPr>
                <w:rFonts w:ascii="Times New Roman" w:hAnsi="Times New Roman" w:cs="Times New Roman"/>
                <w:color w:val="000000" w:themeColor="text1"/>
                <w:sz w:val="16"/>
                <w:szCs w:val="16"/>
              </w:rPr>
              <w:t>SETTING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Banks and Bank Systems,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Consumer attitudes to metaverse adoption in Islamic banking: tech 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Metaverse banking-service adoption = emerging digital channel.</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FINTECH INSTRUMENTS: NEW OPPORTUNITIES FOR DIGITAL ECONOMY OF </w:t>
            </w:r>
            <w:proofErr w:type="gramStart"/>
            <w:r w:rsidRPr="00A4111F">
              <w:rPr>
                <w:rFonts w:ascii="Times New Roman" w:hAnsi="Times New Roman" w:cs="Times New Roman"/>
                <w:color w:val="000000" w:themeColor="text1"/>
                <w:sz w:val="16"/>
                <w:szCs w:val="16"/>
              </w:rPr>
              <w:t>UZBEKISTAN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ACM International Conference Proceeding Series,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FinTech instruments for digital economy: Islamic FinTech.</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FinTech instruments/digital economy = digital financial services.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Are Cryptocurrencies </w:t>
            </w:r>
            <w:proofErr w:type="spellStart"/>
            <w:r w:rsidRPr="00A4111F">
              <w:rPr>
                <w:rFonts w:ascii="Times New Roman" w:hAnsi="Times New Roman" w:cs="Times New Roman"/>
                <w:color w:val="000000" w:themeColor="text1"/>
                <w:sz w:val="16"/>
                <w:szCs w:val="16"/>
              </w:rPr>
              <w:t>Ḥaram</w:t>
            </w:r>
            <w:proofErr w:type="spellEnd"/>
            <w:r w:rsidRPr="00A4111F">
              <w:rPr>
                <w:rFonts w:ascii="Times New Roman" w:hAnsi="Times New Roman" w:cs="Times New Roman"/>
                <w:color w:val="000000" w:themeColor="text1"/>
                <w:sz w:val="16"/>
                <w:szCs w:val="16"/>
              </w:rPr>
              <w:t xml:space="preserve">? A Critical Analysis toward MUI’s </w:t>
            </w:r>
            <w:proofErr w:type="spellStart"/>
            <w:proofErr w:type="gramStart"/>
            <w:r w:rsidRPr="00A4111F">
              <w:rPr>
                <w:rFonts w:ascii="Times New Roman" w:hAnsi="Times New Roman" w:cs="Times New Roman"/>
                <w:color w:val="000000" w:themeColor="text1"/>
                <w:sz w:val="16"/>
                <w:szCs w:val="16"/>
              </w:rPr>
              <w:t>Fatwā</w:t>
            </w:r>
            <w:proofErr w:type="spellEnd"/>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 xml:space="preserve">Al </w:t>
            </w:r>
            <w:proofErr w:type="spellStart"/>
            <w:r w:rsidRPr="00A4111F">
              <w:rPr>
                <w:rFonts w:ascii="Times New Roman" w:hAnsi="Times New Roman" w:cs="Times New Roman"/>
                <w:i/>
                <w:iCs/>
                <w:color w:val="000000" w:themeColor="text1"/>
                <w:sz w:val="14"/>
                <w:szCs w:val="14"/>
              </w:rPr>
              <w:t>Ihkam</w:t>
            </w:r>
            <w:proofErr w:type="spellEnd"/>
            <w:r w:rsidRPr="00A4111F">
              <w:rPr>
                <w:rFonts w:ascii="Times New Roman" w:hAnsi="Times New Roman" w:cs="Times New Roman"/>
                <w:i/>
                <w:iCs/>
                <w:color w:val="000000" w:themeColor="text1"/>
                <w:sz w:val="14"/>
                <w:szCs w:val="14"/>
              </w:rPr>
              <w:t xml:space="preserve"> </w:t>
            </w:r>
            <w:proofErr w:type="spellStart"/>
            <w:r w:rsidRPr="00A4111F">
              <w:rPr>
                <w:rFonts w:ascii="Times New Roman" w:hAnsi="Times New Roman" w:cs="Times New Roman"/>
                <w:i/>
                <w:iCs/>
                <w:color w:val="000000" w:themeColor="text1"/>
                <w:sz w:val="14"/>
                <w:szCs w:val="14"/>
              </w:rPr>
              <w:t>Jurnal</w:t>
            </w:r>
            <w:proofErr w:type="spellEnd"/>
            <w:r w:rsidRPr="00A4111F">
              <w:rPr>
                <w:rFonts w:ascii="Times New Roman" w:hAnsi="Times New Roman" w:cs="Times New Roman"/>
                <w:i/>
                <w:iCs/>
                <w:color w:val="000000" w:themeColor="text1"/>
                <w:sz w:val="14"/>
                <w:szCs w:val="14"/>
              </w:rPr>
              <w:t xml:space="preserve"> Hukum Dan </w:t>
            </w:r>
            <w:proofErr w:type="spellStart"/>
            <w:r w:rsidRPr="00A4111F">
              <w:rPr>
                <w:rFonts w:ascii="Times New Roman" w:hAnsi="Times New Roman" w:cs="Times New Roman"/>
                <w:i/>
                <w:iCs/>
                <w:color w:val="000000" w:themeColor="text1"/>
                <w:sz w:val="14"/>
                <w:szCs w:val="14"/>
              </w:rPr>
              <w:t>Pranata</w:t>
            </w:r>
            <w:proofErr w:type="spellEnd"/>
            <w:r w:rsidRPr="00A4111F">
              <w:rPr>
                <w:rFonts w:ascii="Times New Roman" w:hAnsi="Times New Roman" w:cs="Times New Roman"/>
                <w:i/>
                <w:iCs/>
                <w:color w:val="000000" w:themeColor="text1"/>
                <w:sz w:val="14"/>
                <w:szCs w:val="14"/>
              </w:rPr>
              <w:t xml:space="preserve"> </w:t>
            </w:r>
            <w:proofErr w:type="spellStart"/>
            <w:r w:rsidRPr="00A4111F">
              <w:rPr>
                <w:rFonts w:ascii="Times New Roman" w:hAnsi="Times New Roman" w:cs="Times New Roman"/>
                <w:i/>
                <w:iCs/>
                <w:color w:val="000000" w:themeColor="text1"/>
                <w:sz w:val="14"/>
                <w:szCs w:val="14"/>
              </w:rPr>
              <w:t>Sosial</w:t>
            </w:r>
            <w:proofErr w:type="spellEnd"/>
            <w:r w:rsidRPr="00A4111F">
              <w:rPr>
                <w:rFonts w:ascii="Times New Roman" w:hAnsi="Times New Roman" w:cs="Times New Roman"/>
                <w:i/>
                <w:iCs/>
                <w:color w:val="000000" w:themeColor="text1"/>
                <w:sz w:val="14"/>
                <w:szCs w:val="14"/>
              </w:rPr>
              <w:t>,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Crypto haram MUI fatwa; jurisprudence, no consumer/banking application.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Crypto-jurisprudence; no banking-operations application.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Apartment purchase under </w:t>
            </w:r>
            <w:proofErr w:type="spellStart"/>
            <w:r w:rsidRPr="00A4111F">
              <w:rPr>
                <w:rFonts w:ascii="Times New Roman" w:hAnsi="Times New Roman" w:cs="Times New Roman"/>
                <w:color w:val="000000" w:themeColor="text1"/>
                <w:sz w:val="16"/>
                <w:szCs w:val="16"/>
              </w:rPr>
              <w:t>Shirkah-ul</w:t>
            </w:r>
            <w:proofErr w:type="spellEnd"/>
            <w:r w:rsidRPr="00A4111F">
              <w:rPr>
                <w:rFonts w:ascii="Times New Roman" w:hAnsi="Times New Roman" w:cs="Times New Roman"/>
                <w:color w:val="000000" w:themeColor="text1"/>
                <w:sz w:val="16"/>
                <w:szCs w:val="16"/>
              </w:rPr>
              <w:t xml:space="preserve"> Milk and shariah compliance in Islamic banks: the perception of bankers and clients in </w:t>
            </w:r>
            <w:proofErr w:type="gramStart"/>
            <w:r w:rsidRPr="00A4111F">
              <w:rPr>
                <w:rFonts w:ascii="Times New Roman" w:hAnsi="Times New Roman" w:cs="Times New Roman"/>
                <w:color w:val="000000" w:themeColor="text1"/>
                <w:sz w:val="16"/>
                <w:szCs w:val="16"/>
              </w:rPr>
              <w:t>Bangladesh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2022)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proofErr w:type="spellStart"/>
            <w:r w:rsidRPr="00A4111F">
              <w:rPr>
                <w:rFonts w:ascii="Times New Roman" w:hAnsi="Times New Roman" w:cs="Times New Roman"/>
                <w:color w:val="000000" w:themeColor="text1"/>
                <w:sz w:val="15"/>
                <w:szCs w:val="15"/>
              </w:rPr>
              <w:t>Shirkah</w:t>
            </w:r>
            <w:proofErr w:type="spellEnd"/>
            <w:r w:rsidRPr="00A4111F">
              <w:rPr>
                <w:rFonts w:ascii="Times New Roman" w:hAnsi="Times New Roman" w:cs="Times New Roman"/>
                <w:color w:val="000000" w:themeColor="text1"/>
                <w:sz w:val="15"/>
                <w:szCs w:val="15"/>
              </w:rPr>
              <w:t>-</w:t>
            </w:r>
            <w:proofErr w:type="spellStart"/>
            <w:r w:rsidRPr="00A4111F">
              <w:rPr>
                <w:rFonts w:ascii="Times New Roman" w:hAnsi="Times New Roman" w:cs="Times New Roman"/>
                <w:color w:val="000000" w:themeColor="text1"/>
                <w:sz w:val="15"/>
                <w:szCs w:val="15"/>
              </w:rPr>
              <w:t>ul</w:t>
            </w:r>
            <w:proofErr w:type="spellEnd"/>
            <w:r w:rsidRPr="00A4111F">
              <w:rPr>
                <w:rFonts w:ascii="Times New Roman" w:hAnsi="Times New Roman" w:cs="Times New Roman"/>
                <w:color w:val="000000" w:themeColor="text1"/>
                <w:sz w:val="15"/>
                <w:szCs w:val="15"/>
              </w:rPr>
              <w:t>-Milk product and Shariah compliance; product/legal, no marketing.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Shariah-compliant home-financing product = product/compliance practice.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spillover effect of the Bangladesh Bank cyber heist on banks’ cyber risk disclosures in </w:t>
            </w:r>
            <w:proofErr w:type="gramStart"/>
            <w:r w:rsidRPr="00A4111F">
              <w:rPr>
                <w:rFonts w:ascii="Times New Roman" w:hAnsi="Times New Roman" w:cs="Times New Roman"/>
                <w:color w:val="000000" w:themeColor="text1"/>
                <w:sz w:val="16"/>
                <w:szCs w:val="16"/>
              </w:rPr>
              <w:t>Bangladesh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Operational Risk,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Cyber-heist spillover and cyber-risk disclosure: cybersecurity/cyber risk.</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Cyber heist and cyber-risk disclosure = core cybersecurity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Do trust and country governance affect credit growth in GCC countries?</w:t>
            </w:r>
            <w:r w:rsidRPr="00A4111F">
              <w:rPr>
                <w:rFonts w:ascii="Times New Roman" w:hAnsi="Times New Roman" w:cs="Times New Roman"/>
                <w:i/>
                <w:iCs/>
                <w:color w:val="000000" w:themeColor="text1"/>
                <w:sz w:val="14"/>
                <w:szCs w:val="14"/>
              </w:rPr>
              <w:t xml:space="preserve">  (International Journal of Islamic and Middle Eastern Finance and Management,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governance and credit growth (macro); institutional, not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Macro credit-growth/governance; not bank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Blockchain, fintech, and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finance: Building the future in the new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digital </w:t>
            </w:r>
            <w:proofErr w:type="gramStart"/>
            <w:r w:rsidRPr="00A4111F">
              <w:rPr>
                <w:rFonts w:ascii="Times New Roman" w:hAnsi="Times New Roman" w:cs="Times New Roman"/>
                <w:color w:val="000000" w:themeColor="text1"/>
                <w:sz w:val="16"/>
                <w:szCs w:val="16"/>
              </w:rPr>
              <w:t>economy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Blockchain Fintech and Islamic Finance Building the Future in the New Islamic Digital Economy, 2022)</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FinTech and Islamic digital economy: digital services.</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Blockchain/FinTech for Islamic digital economy = digital banking.</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169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Does Environmental Disclosure and Corporate Governance Ensure the Financial Sustainability of Islamic Banks?</w:t>
            </w:r>
            <w:r w:rsidRPr="00A4111F">
              <w:rPr>
                <w:rFonts w:ascii="Times New Roman" w:hAnsi="Times New Roman" w:cs="Times New Roman"/>
                <w:i/>
                <w:iCs/>
                <w:color w:val="000000" w:themeColor="text1"/>
                <w:sz w:val="14"/>
                <w:szCs w:val="14"/>
              </w:rPr>
              <w:t xml:space="preserve">  (Administrative Sciences, 2025)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Environmental disclosure/governance and sustainability;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Disclosure and governance = compliance/governance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finance: Principles, performance and </w:t>
            </w:r>
            <w:proofErr w:type="gramStart"/>
            <w:r w:rsidRPr="00A4111F">
              <w:rPr>
                <w:rFonts w:ascii="Times New Roman" w:hAnsi="Times New Roman" w:cs="Times New Roman"/>
                <w:color w:val="000000" w:themeColor="text1"/>
                <w:sz w:val="16"/>
                <w:szCs w:val="16"/>
              </w:rPr>
              <w:t>prospects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Islamic Finance Principles Performance and Prospects, 2016)</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finance principles/performance overview; general,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General overview; not specific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Sustainable Development of Islamic Banks by Creating Islamic Branding: Challenges, Importance, and Strategies of Islamic </w:t>
            </w:r>
            <w:proofErr w:type="gramStart"/>
            <w:r w:rsidRPr="00A4111F">
              <w:rPr>
                <w:rFonts w:ascii="Times New Roman" w:hAnsi="Times New Roman" w:cs="Times New Roman"/>
                <w:color w:val="000000" w:themeColor="text1"/>
                <w:sz w:val="16"/>
                <w:szCs w:val="16"/>
              </w:rPr>
              <w:t>Branding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Sustainable Development and Planning,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branding for sustainable development: branding/marketing.</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Branding strategy is a marketing lever, not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DETERMINANTS OF INDONESIAN CONVENTIONAL AND ISLAMIC BANK DEPOSITOR TRUST DURING THE COVID-19 </w:t>
            </w:r>
            <w:proofErr w:type="gramStart"/>
            <w:r w:rsidRPr="00A4111F">
              <w:rPr>
                <w:rFonts w:ascii="Times New Roman" w:hAnsi="Times New Roman" w:cs="Times New Roman"/>
                <w:color w:val="000000" w:themeColor="text1"/>
                <w:sz w:val="16"/>
                <w:szCs w:val="16"/>
              </w:rPr>
              <w:t>PANDEMIC</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Monetary Economics and Finance,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Depositor trust during COVID-19: core consumer/depositor trust.</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Depositor trust/confidence relevant to the trust theme.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role of religion and social capital on employees’ performance: An empirical study post Indonesia’s </w:t>
            </w:r>
            <w:r w:rsidRPr="00A4111F">
              <w:rPr>
                <w:rFonts w:ascii="Times New Roman" w:hAnsi="Times New Roman" w:cs="Times New Roman"/>
                <w:color w:val="000000" w:themeColor="text1"/>
                <w:sz w:val="16"/>
                <w:szCs w:val="16"/>
              </w:rPr>
              <w:lastRenderedPageBreak/>
              <w:t xml:space="preserve">Islamic bank </w:t>
            </w:r>
            <w:proofErr w:type="gramStart"/>
            <w:r w:rsidRPr="00A4111F">
              <w:rPr>
                <w:rFonts w:ascii="Times New Roman" w:hAnsi="Times New Roman" w:cs="Times New Roman"/>
                <w:color w:val="000000" w:themeColor="text1"/>
                <w:sz w:val="16"/>
                <w:szCs w:val="16"/>
              </w:rPr>
              <w:t>merger</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Cogent Business and Management, 2023)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lastRenderedPageBreak/>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Religion/social capital and employee performance; HR, not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HR/employee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feasibility of online dispute resolution in the Islamic banking industry in Malaysia: An empirical legal </w:t>
            </w:r>
            <w:proofErr w:type="gramStart"/>
            <w:r w:rsidRPr="00A4111F">
              <w:rPr>
                <w:rFonts w:ascii="Times New Roman" w:hAnsi="Times New Roman" w:cs="Times New Roman"/>
                <w:color w:val="000000" w:themeColor="text1"/>
                <w:sz w:val="16"/>
                <w:szCs w:val="16"/>
              </w:rPr>
              <w:t>analysis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Law and Management, 2018)</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 dispute resolution feasibility; legal analysis, not marketing.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Online dispute resolution = digital + compliance/customer protection.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Authentic leadership, trust, and employees' work engagement: A comparative study of Islamic and conventional banks in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for Global Business Advancement, 2013)</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Authentic leadership and employee engagement; HR, not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HR/leadership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effects of trust mediator and education level moderator on adoption of Islamic banking system in </w:t>
            </w:r>
            <w:proofErr w:type="gramStart"/>
            <w:r w:rsidRPr="00A4111F">
              <w:rPr>
                <w:rFonts w:ascii="Times New Roman" w:hAnsi="Times New Roman" w:cs="Times New Roman"/>
                <w:color w:val="000000" w:themeColor="text1"/>
                <w:sz w:val="16"/>
                <w:szCs w:val="16"/>
              </w:rPr>
              <w:t>Tajikistan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Russian Journal of Economics, 2019)</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Trust mediator and education in Islamic banking adoption: trust + 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trust and adoption relevant to uptake.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Fundamentals of Islamic Money and Capital </w:t>
            </w:r>
            <w:proofErr w:type="gramStart"/>
            <w:r w:rsidRPr="00A4111F">
              <w:rPr>
                <w:rFonts w:ascii="Times New Roman" w:hAnsi="Times New Roman" w:cs="Times New Roman"/>
                <w:color w:val="000000" w:themeColor="text1"/>
                <w:sz w:val="16"/>
                <w:szCs w:val="16"/>
              </w:rPr>
              <w:t>Markets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Fundamentals of Islamic Money and Capital Markets,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money/capital markets fundamentals; capital markets,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Capital-markets reference; not bank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CUSTOMER LOYALTY ISLAMIC BANKS IN INDONESIA: SERVICE QUALITY WHICH MEDIATED BY SATISFACTION AND CUSTOMER </w:t>
            </w:r>
            <w:proofErr w:type="gramStart"/>
            <w:r w:rsidRPr="00A4111F">
              <w:rPr>
                <w:rFonts w:ascii="Times New Roman" w:hAnsi="Times New Roman" w:cs="Times New Roman"/>
                <w:color w:val="000000" w:themeColor="text1"/>
                <w:sz w:val="16"/>
                <w:szCs w:val="16"/>
              </w:rPr>
              <w:t>TRUST</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Professional Business Review,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 via service quality, satisfaction, trust: core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loyalty/satisfaction/trust relevant to service.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179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Impact of shariah-compliant status on firms’ decision to practice forex </w:t>
            </w:r>
            <w:proofErr w:type="gramStart"/>
            <w:r w:rsidRPr="00A4111F">
              <w:rPr>
                <w:rFonts w:ascii="Times New Roman" w:hAnsi="Times New Roman" w:cs="Times New Roman"/>
                <w:color w:val="000000" w:themeColor="text1"/>
                <w:sz w:val="16"/>
                <w:szCs w:val="16"/>
              </w:rPr>
              <w:t>hedging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Shariah-status and corporate forex hedging; corporate 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Firms' treasury hedging; not bank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Halal purchase intention- a study on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banks of </w:t>
            </w:r>
            <w:proofErr w:type="gramStart"/>
            <w:r w:rsidRPr="00A4111F">
              <w:rPr>
                <w:rFonts w:ascii="Times New Roman" w:hAnsi="Times New Roman" w:cs="Times New Roman"/>
                <w:color w:val="000000" w:themeColor="text1"/>
                <w:sz w:val="16"/>
                <w:szCs w:val="16"/>
              </w:rPr>
              <w:t>Bangladesh</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Social Sciences Research, 2018)</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Halal purchase intention toward Islamic banks: </w:t>
            </w:r>
            <w:proofErr w:type="spellStart"/>
            <w:r w:rsidRPr="00A4111F">
              <w:rPr>
                <w:rFonts w:ascii="Times New Roman" w:hAnsi="Times New Roman" w:cs="Times New Roman"/>
                <w:color w:val="000000" w:themeColor="text1"/>
                <w:sz w:val="15"/>
                <w:szCs w:val="15"/>
              </w:rPr>
              <w:t>behavioural</w:t>
            </w:r>
            <w:proofErr w:type="spellEnd"/>
            <w:r w:rsidRPr="00A4111F">
              <w:rPr>
                <w:rFonts w:ascii="Times New Roman" w:hAnsi="Times New Roman" w:cs="Times New Roman"/>
                <w:color w:val="000000" w:themeColor="text1"/>
                <w:sz w:val="15"/>
                <w:szCs w:val="15"/>
              </w:rPr>
              <w:t xml:space="preserve"> intention.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intention/adoption toward Islamic banks.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ESG activities and bank performance with the moderating influence of competition and regulatory quality: a study in the organization of Islamic </w:t>
            </w:r>
            <w:proofErr w:type="gramStart"/>
            <w:r w:rsidRPr="00A4111F">
              <w:rPr>
                <w:rFonts w:ascii="Times New Roman" w:hAnsi="Times New Roman" w:cs="Times New Roman"/>
                <w:color w:val="000000" w:themeColor="text1"/>
                <w:sz w:val="16"/>
                <w:szCs w:val="16"/>
              </w:rPr>
              <w:t>countries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Islamic and Middle Eastern Finance and Management, 2025)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ESG and bank performance with regulatory moderators;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ESG and regulatory quality = governance/compliance concern.</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Profitability of Islamic financing </w:t>
            </w:r>
            <w:proofErr w:type="gramStart"/>
            <w:r w:rsidRPr="00A4111F">
              <w:rPr>
                <w:rFonts w:ascii="Times New Roman" w:hAnsi="Times New Roman" w:cs="Times New Roman"/>
                <w:color w:val="000000" w:themeColor="text1"/>
                <w:sz w:val="16"/>
                <w:szCs w:val="16"/>
              </w:rPr>
              <w:t>tools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Banking and Finance Review, 2017)</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Profitability of Islamic financing tools; finance,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Profitability of instruments;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MONETARY POLICY PASS-THROUGH, EXCESS LIQUIDITY AND PRICE SPILLOVER: A COMPARATIVE STUDY OF CONVENTIONAL AND ISLAMIC BANKS OF </w:t>
            </w:r>
            <w:proofErr w:type="gramStart"/>
            <w:r w:rsidRPr="00A4111F">
              <w:rPr>
                <w:rFonts w:ascii="Times New Roman" w:hAnsi="Times New Roman" w:cs="Times New Roman"/>
                <w:color w:val="000000" w:themeColor="text1"/>
                <w:sz w:val="16"/>
                <w:szCs w:val="16"/>
              </w:rPr>
              <w:t>PAKISTAN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Monetary Economics and Finance,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Monetary pass-through and price spillover; macro-finance,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Monetary econometrics; not bank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Measuring customers satisfaction of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banking sector in </w:t>
            </w:r>
            <w:proofErr w:type="gramStart"/>
            <w:r w:rsidRPr="00A4111F">
              <w:rPr>
                <w:rFonts w:ascii="Times New Roman" w:hAnsi="Times New Roman" w:cs="Times New Roman"/>
                <w:color w:val="000000" w:themeColor="text1"/>
                <w:sz w:val="16"/>
                <w:szCs w:val="16"/>
              </w:rPr>
              <w:t>Jordan</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Humanities and Social Sciences Letters,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Measuring customer satisfaction of Islamic banking: core marketing.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satisfaction relevant to service quality.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An Analysis of the Determining Factors of Mobile Banking Adoption in Islamic </w:t>
            </w:r>
            <w:proofErr w:type="gramStart"/>
            <w:r w:rsidRPr="00A4111F">
              <w:rPr>
                <w:rFonts w:ascii="Times New Roman" w:hAnsi="Times New Roman" w:cs="Times New Roman"/>
                <w:color w:val="000000" w:themeColor="text1"/>
                <w:sz w:val="16"/>
                <w:szCs w:val="16"/>
              </w:rPr>
              <w:t>Banks</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Iop</w:t>
            </w:r>
            <w:proofErr w:type="spellEnd"/>
            <w:r w:rsidRPr="00A4111F">
              <w:rPr>
                <w:rFonts w:ascii="Times New Roman" w:hAnsi="Times New Roman" w:cs="Times New Roman"/>
                <w:i/>
                <w:iCs/>
                <w:color w:val="000000" w:themeColor="text1"/>
                <w:sz w:val="14"/>
                <w:szCs w:val="14"/>
              </w:rPr>
              <w:t xml:space="preserve"> Conference Series Materials Science and Engineering, 2020)</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Determinants of mobile banking adoption in Islamic banks (digital + adoption).</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Mobile banking adoption = digital banking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Key success drivers for implementation blockchain technology in UAE Islamic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Uncertain Supply Chain Management,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Key drivers for blockchain implementation: technology adoption.</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Blockchain implementation in Islamic banking = digital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lastRenderedPageBreak/>
              <w:t>187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Social learning and principal-agent problems in profit sharing </w:t>
            </w:r>
            <w:proofErr w:type="gramStart"/>
            <w:r w:rsidRPr="00A4111F">
              <w:rPr>
                <w:rFonts w:ascii="Times New Roman" w:hAnsi="Times New Roman" w:cs="Times New Roman"/>
                <w:color w:val="000000" w:themeColor="text1"/>
                <w:sz w:val="16"/>
                <w:szCs w:val="16"/>
              </w:rPr>
              <w:t>contract</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Humanomics</w:t>
            </w:r>
            <w:proofErr w:type="spellEnd"/>
            <w:r w:rsidRPr="00A4111F">
              <w:rPr>
                <w:rFonts w:ascii="Times New Roman" w:hAnsi="Times New Roman" w:cs="Times New Roman"/>
                <w:i/>
                <w:iCs/>
                <w:color w:val="000000" w:themeColor="text1"/>
                <w:sz w:val="14"/>
                <w:szCs w:val="14"/>
              </w:rPr>
              <w:t>, 2016)</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Social learning and principal-agent in profit-sharing; theory,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Agency-theory/contract economics;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Cooperative takaful for non-banking financial institutions: Islamization of SOCSO in the case of </w:t>
            </w:r>
            <w:proofErr w:type="gramStart"/>
            <w:r w:rsidRPr="00A4111F">
              <w:rPr>
                <w:rFonts w:ascii="Times New Roman" w:hAnsi="Times New Roman" w:cs="Times New Roman"/>
                <w:color w:val="000000" w:themeColor="text1"/>
                <w:sz w:val="16"/>
                <w:szCs w:val="16"/>
              </w:rPr>
              <w:t>Malaysia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Intellectual Discourse, 2016)</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Cooperative takaful/SOCSO </w:t>
            </w:r>
            <w:proofErr w:type="spellStart"/>
            <w:r w:rsidRPr="00A4111F">
              <w:rPr>
                <w:rFonts w:ascii="Times New Roman" w:hAnsi="Times New Roman" w:cs="Times New Roman"/>
                <w:color w:val="000000" w:themeColor="text1"/>
                <w:sz w:val="15"/>
                <w:szCs w:val="15"/>
              </w:rPr>
              <w:t>Islamisation</w:t>
            </w:r>
            <w:proofErr w:type="spellEnd"/>
            <w:r w:rsidRPr="00A4111F">
              <w:rPr>
                <w:rFonts w:ascii="Times New Roman" w:hAnsi="Times New Roman" w:cs="Times New Roman"/>
                <w:color w:val="000000" w:themeColor="text1"/>
                <w:sz w:val="15"/>
                <w:szCs w:val="15"/>
              </w:rPr>
              <w:t>; social security, non-banking.</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Takaful/social-security; outside banking operations scope.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189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Customer loyalty assessment in Malaysian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banking using artificial </w:t>
            </w:r>
            <w:proofErr w:type="gramStart"/>
            <w:r w:rsidRPr="00A4111F">
              <w:rPr>
                <w:rFonts w:ascii="Times New Roman" w:hAnsi="Times New Roman" w:cs="Times New Roman"/>
                <w:color w:val="000000" w:themeColor="text1"/>
                <w:sz w:val="16"/>
                <w:szCs w:val="16"/>
              </w:rPr>
              <w:t>intelligence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Theoretical and Applied Information Technology, 2016)</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 assessment using AI: consumer loyalty + analytics.</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AI for customer-loyalty analytics = digital banking capability.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Factors propelling the use of Islamic banking services: The moderating role of customer </w:t>
            </w:r>
            <w:proofErr w:type="gramStart"/>
            <w:r w:rsidRPr="00A4111F">
              <w:rPr>
                <w:rFonts w:ascii="Times New Roman" w:hAnsi="Times New Roman" w:cs="Times New Roman"/>
                <w:color w:val="000000" w:themeColor="text1"/>
                <w:sz w:val="16"/>
                <w:szCs w:val="16"/>
              </w:rPr>
              <w:t>intimacy</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Business Excellence, 2021)</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Use of Islamic banking services moderated by customer intimacy: consumer use.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Customer-intimacy relationship marketing; no digital/operations hook.</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191</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The relationship between empowerment to quality of work life, trust, </w:t>
            </w:r>
            <w:proofErr w:type="spellStart"/>
            <w:r w:rsidRPr="00A4111F">
              <w:rPr>
                <w:rFonts w:ascii="Times New Roman" w:hAnsi="Times New Roman" w:cs="Times New Roman"/>
                <w:color w:val="000000" w:themeColor="text1"/>
                <w:sz w:val="16"/>
                <w:szCs w:val="16"/>
              </w:rPr>
              <w:t>satisfation</w:t>
            </w:r>
            <w:proofErr w:type="spellEnd"/>
            <w:r w:rsidRPr="00A4111F">
              <w:rPr>
                <w:rFonts w:ascii="Times New Roman" w:hAnsi="Times New Roman" w:cs="Times New Roman"/>
                <w:color w:val="000000" w:themeColor="text1"/>
                <w:sz w:val="16"/>
                <w:szCs w:val="16"/>
              </w:rPr>
              <w:t xml:space="preserve">, commitment and performance (case study in sharia bank in East Java, </w:t>
            </w:r>
            <w:proofErr w:type="gramStart"/>
            <w:r w:rsidRPr="00A4111F">
              <w:rPr>
                <w:rFonts w:ascii="Times New Roman" w:hAnsi="Times New Roman" w:cs="Times New Roman"/>
                <w:color w:val="000000" w:themeColor="text1"/>
                <w:sz w:val="16"/>
                <w:szCs w:val="16"/>
              </w:rPr>
              <w:t>Indonesia)</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Journal of Applied Business and Economic Research, 2015)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Empowerment, QWL and (employee) trust/performance; HR, not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HR/employee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192</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Addressing the agricultural financing gap in Malaysia via </w:t>
            </w:r>
            <w:proofErr w:type="spellStart"/>
            <w:r w:rsidRPr="00A4111F">
              <w:rPr>
                <w:rFonts w:ascii="Times New Roman" w:hAnsi="Times New Roman" w:cs="Times New Roman"/>
                <w:color w:val="000000" w:themeColor="text1"/>
                <w:sz w:val="16"/>
                <w:szCs w:val="16"/>
              </w:rPr>
              <w:t>Manihah</w:t>
            </w:r>
            <w:proofErr w:type="spellEnd"/>
            <w:r w:rsidRPr="00A4111F">
              <w:rPr>
                <w:rFonts w:ascii="Times New Roman" w:hAnsi="Times New Roman" w:cs="Times New Roman"/>
                <w:color w:val="000000" w:themeColor="text1"/>
                <w:sz w:val="16"/>
                <w:szCs w:val="16"/>
              </w:rPr>
              <w:t xml:space="preserve"> Agricultural Financing Model: will Islamic banks go the extra mile?</w:t>
            </w:r>
            <w:r w:rsidRPr="00A4111F">
              <w:rPr>
                <w:rFonts w:ascii="Times New Roman" w:hAnsi="Times New Roman" w:cs="Times New Roman"/>
                <w:i/>
                <w:iCs/>
                <w:color w:val="000000" w:themeColor="text1"/>
                <w:sz w:val="14"/>
                <w:szCs w:val="14"/>
              </w:rPr>
              <w:t xml:space="preserve">  (Agricultural Finance Review, 2022)</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Agricultural-financing model; agriculture finance, off-core.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Agricultural financing; not digital/security operations.</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193</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Leadership and employee </w:t>
            </w:r>
            <w:proofErr w:type="spellStart"/>
            <w:r w:rsidRPr="00A4111F">
              <w:rPr>
                <w:rFonts w:ascii="Times New Roman" w:hAnsi="Times New Roman" w:cs="Times New Roman"/>
                <w:color w:val="000000" w:themeColor="text1"/>
                <w:sz w:val="16"/>
                <w:szCs w:val="16"/>
              </w:rPr>
              <w:t>behaviour</w:t>
            </w:r>
            <w:proofErr w:type="spellEnd"/>
            <w:r w:rsidRPr="00A4111F">
              <w:rPr>
                <w:rFonts w:ascii="Times New Roman" w:hAnsi="Times New Roman" w:cs="Times New Roman"/>
                <w:color w:val="000000" w:themeColor="text1"/>
                <w:sz w:val="16"/>
                <w:szCs w:val="16"/>
              </w:rPr>
              <w:t xml:space="preserve">: the mediating and moderating role of cognitive trust and organizational </w:t>
            </w:r>
            <w:proofErr w:type="gramStart"/>
            <w:r w:rsidRPr="00A4111F">
              <w:rPr>
                <w:rFonts w:ascii="Times New Roman" w:hAnsi="Times New Roman" w:cs="Times New Roman"/>
                <w:color w:val="000000" w:themeColor="text1"/>
                <w:sz w:val="16"/>
                <w:szCs w:val="16"/>
              </w:rPr>
              <w:t>culture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Islamic Accounting and Business Research, 2024)</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Leadership and employee </w:t>
            </w:r>
            <w:proofErr w:type="spellStart"/>
            <w:r w:rsidRPr="00A4111F">
              <w:rPr>
                <w:rFonts w:ascii="Times New Roman" w:hAnsi="Times New Roman" w:cs="Times New Roman"/>
                <w:color w:val="000000" w:themeColor="text1"/>
                <w:sz w:val="15"/>
                <w:szCs w:val="15"/>
              </w:rPr>
              <w:t>behaviour</w:t>
            </w:r>
            <w:proofErr w:type="spellEnd"/>
            <w:r w:rsidRPr="00A4111F">
              <w:rPr>
                <w:rFonts w:ascii="Times New Roman" w:hAnsi="Times New Roman" w:cs="Times New Roman"/>
                <w:color w:val="000000" w:themeColor="text1"/>
                <w:sz w:val="15"/>
                <w:szCs w:val="15"/>
              </w:rPr>
              <w:t xml:space="preserve"> (cognitive trust); HR, not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HR/leadership study; not operations/security/compliance.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194</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Building an Islamic financial information system based on policy </w:t>
            </w:r>
            <w:proofErr w:type="gramStart"/>
            <w:r w:rsidRPr="00A4111F">
              <w:rPr>
                <w:rFonts w:ascii="Times New Roman" w:hAnsi="Times New Roman" w:cs="Times New Roman"/>
                <w:color w:val="000000" w:themeColor="text1"/>
                <w:sz w:val="16"/>
                <w:szCs w:val="16"/>
              </w:rPr>
              <w:t>managements</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King Saud University Computer and Information Sciences, 2015)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Islamic financial information system build; IT engineering,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Financial information system = digital banking infrastructure.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195</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MULTI CONTRACT AS A LEGAL JUSTIFICATION OF ISLAMIC ECONOMIC LAW FOR GOLD MORTGAGE AGREEMENT IN ISLAMIC </w:t>
            </w:r>
            <w:proofErr w:type="gramStart"/>
            <w:r w:rsidRPr="00A4111F">
              <w:rPr>
                <w:rFonts w:ascii="Times New Roman" w:hAnsi="Times New Roman" w:cs="Times New Roman"/>
                <w:color w:val="000000" w:themeColor="text1"/>
                <w:sz w:val="16"/>
                <w:szCs w:val="16"/>
              </w:rPr>
              <w:t>BANK</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Jurnal</w:t>
            </w:r>
            <w:proofErr w:type="spellEnd"/>
            <w:r w:rsidRPr="00A4111F">
              <w:rPr>
                <w:rFonts w:ascii="Times New Roman" w:hAnsi="Times New Roman" w:cs="Times New Roman"/>
                <w:i/>
                <w:iCs/>
                <w:color w:val="000000" w:themeColor="text1"/>
                <w:sz w:val="14"/>
                <w:szCs w:val="14"/>
              </w:rPr>
              <w:t xml:space="preserve"> </w:t>
            </w:r>
            <w:proofErr w:type="spellStart"/>
            <w:r w:rsidRPr="00A4111F">
              <w:rPr>
                <w:rFonts w:ascii="Times New Roman" w:hAnsi="Times New Roman" w:cs="Times New Roman"/>
                <w:i/>
                <w:iCs/>
                <w:color w:val="000000" w:themeColor="text1"/>
                <w:sz w:val="14"/>
                <w:szCs w:val="14"/>
              </w:rPr>
              <w:t>Ilmiah</w:t>
            </w:r>
            <w:proofErr w:type="spellEnd"/>
            <w:r w:rsidRPr="00A4111F">
              <w:rPr>
                <w:rFonts w:ascii="Times New Roman" w:hAnsi="Times New Roman" w:cs="Times New Roman"/>
                <w:i/>
                <w:iCs/>
                <w:color w:val="000000" w:themeColor="text1"/>
                <w:sz w:val="14"/>
                <w:szCs w:val="14"/>
              </w:rPr>
              <w:t xml:space="preserve"> </w:t>
            </w:r>
            <w:proofErr w:type="spellStart"/>
            <w:r w:rsidRPr="00A4111F">
              <w:rPr>
                <w:rFonts w:ascii="Times New Roman" w:hAnsi="Times New Roman" w:cs="Times New Roman"/>
                <w:i/>
                <w:iCs/>
                <w:color w:val="000000" w:themeColor="text1"/>
                <w:sz w:val="14"/>
                <w:szCs w:val="14"/>
              </w:rPr>
              <w:t>Peuradeun</w:t>
            </w:r>
            <w:proofErr w:type="spellEnd"/>
            <w:r w:rsidRPr="00A4111F">
              <w:rPr>
                <w:rFonts w:ascii="Times New Roman" w:hAnsi="Times New Roman" w:cs="Times New Roman"/>
                <w:i/>
                <w:iCs/>
                <w:color w:val="000000" w:themeColor="text1"/>
                <w:sz w:val="14"/>
                <w:szCs w:val="14"/>
              </w:rPr>
              <w:t>, 2019)</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Multi-contract legal justification for gold mortgage; jurisprudence, no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contract structuring for a bank product = compliance/product.</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196</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Intermediary performance of Islamic banks in the disruption era: Does it contribute to economic growth?</w:t>
            </w:r>
            <w:r w:rsidRPr="00A4111F">
              <w:rPr>
                <w:rFonts w:ascii="Times New Roman" w:hAnsi="Times New Roman" w:cs="Times New Roman"/>
                <w:i/>
                <w:iCs/>
                <w:color w:val="000000" w:themeColor="text1"/>
                <w:sz w:val="14"/>
                <w:szCs w:val="14"/>
              </w:rPr>
              <w:t xml:space="preserve">  (Banks and Bank Systems,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Intermediary performance and growth; macro-finance,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Performance/growth macro; not operations/security.</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197</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Sharia crowdfunding in Indonesia: a regulatory environment </w:t>
            </w:r>
            <w:proofErr w:type="gramStart"/>
            <w:r w:rsidRPr="00A4111F">
              <w:rPr>
                <w:rFonts w:ascii="Times New Roman" w:hAnsi="Times New Roman" w:cs="Times New Roman"/>
                <w:color w:val="000000" w:themeColor="text1"/>
                <w:sz w:val="16"/>
                <w:szCs w:val="16"/>
              </w:rPr>
              <w:t>perspective</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Journal of Science and Technology Policy Management, 2024)</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 crowdfunding and regulation: Islamic FinTech + consumer.</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 crowdfunding + regulatory environment = digital + compliance.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198</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Islamic banks’ service quality in Somalia: Customer loyalty, satisfaction, and the role of trust as a </w:t>
            </w:r>
            <w:proofErr w:type="gramStart"/>
            <w:r w:rsidRPr="00A4111F">
              <w:rPr>
                <w:rFonts w:ascii="Times New Roman" w:hAnsi="Times New Roman" w:cs="Times New Roman"/>
                <w:color w:val="000000" w:themeColor="text1"/>
                <w:sz w:val="16"/>
                <w:szCs w:val="16"/>
              </w:rPr>
              <w:t>mediator</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Asian Economic and Financial Review, 2023)</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Service quality, loyalty, satisfaction, trust (Somalia): core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Customer loyalty/satisfaction/trust relevant to service.</w:t>
            </w:r>
          </w:p>
        </w:tc>
      </w:tr>
      <w:tr w:rsidR="00A4111F" w:rsidRPr="00A4111F">
        <w:tblPrEx>
          <w:tblCellMar>
            <w:top w:w="0" w:type="dxa"/>
            <w:bottom w:w="0" w:type="dxa"/>
          </w:tblCellMar>
        </w:tblPrEx>
        <w:tc>
          <w:tcPr>
            <w:tcW w:w="52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199</w:t>
            </w:r>
          </w:p>
        </w:tc>
        <w:tc>
          <w:tcPr>
            <w:tcW w:w="3850"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Realizing knowledge sharing in strategic alliance: Case in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w:t>
            </w:r>
            <w:proofErr w:type="gramStart"/>
            <w:r w:rsidRPr="00A4111F">
              <w:rPr>
                <w:rFonts w:ascii="Times New Roman" w:hAnsi="Times New Roman" w:cs="Times New Roman"/>
                <w:color w:val="000000" w:themeColor="text1"/>
                <w:sz w:val="16"/>
                <w:szCs w:val="16"/>
              </w:rPr>
              <w:t>microfinance</w:t>
            </w:r>
            <w:r w:rsidRPr="00A4111F">
              <w:rPr>
                <w:rFonts w:ascii="Times New Roman" w:hAnsi="Times New Roman" w:cs="Times New Roman"/>
                <w:i/>
                <w:iCs/>
                <w:color w:val="000000" w:themeColor="text1"/>
                <w:sz w:val="14"/>
                <w:szCs w:val="14"/>
              </w:rPr>
              <w:t xml:space="preserve">  (</w:t>
            </w:r>
            <w:proofErr w:type="spellStart"/>
            <w:proofErr w:type="gramEnd"/>
            <w:r w:rsidRPr="00A4111F">
              <w:rPr>
                <w:rFonts w:ascii="Times New Roman" w:hAnsi="Times New Roman" w:cs="Times New Roman"/>
                <w:i/>
                <w:iCs/>
                <w:color w:val="000000" w:themeColor="text1"/>
                <w:sz w:val="14"/>
                <w:szCs w:val="14"/>
              </w:rPr>
              <w:t>Humanomics</w:t>
            </w:r>
            <w:proofErr w:type="spellEnd"/>
            <w:r w:rsidRPr="00A4111F">
              <w:rPr>
                <w:rFonts w:ascii="Times New Roman" w:hAnsi="Times New Roman" w:cs="Times New Roman"/>
                <w:i/>
                <w:iCs/>
                <w:color w:val="000000" w:themeColor="text1"/>
                <w:sz w:val="14"/>
                <w:szCs w:val="14"/>
              </w:rPr>
              <w:t>, 2015)</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 xml:space="preserve">Knowledge sharing in strategic alliance (microfinance); </w:t>
            </w:r>
            <w:proofErr w:type="spellStart"/>
            <w:r w:rsidRPr="00A4111F">
              <w:rPr>
                <w:rFonts w:ascii="Times New Roman" w:hAnsi="Times New Roman" w:cs="Times New Roman"/>
                <w:color w:val="000000" w:themeColor="text1"/>
                <w:sz w:val="15"/>
                <w:szCs w:val="15"/>
              </w:rPr>
              <w:t>organisational</w:t>
            </w:r>
            <w:proofErr w:type="spellEnd"/>
            <w:r w:rsidRPr="00A4111F">
              <w:rPr>
                <w:rFonts w:ascii="Times New Roman" w:hAnsi="Times New Roman" w:cs="Times New Roman"/>
                <w:color w:val="000000" w:themeColor="text1"/>
                <w:sz w:val="15"/>
                <w:szCs w:val="15"/>
              </w:rPr>
              <w:t>.</w:t>
            </w:r>
          </w:p>
        </w:tc>
        <w:tc>
          <w:tcPr>
            <w:tcW w:w="3185" w:type="dxa"/>
            <w:tcBorders>
              <w:top w:val="single" w:sz="1" w:space="0" w:color="BFBFBF"/>
              <w:left w:val="single" w:sz="1" w:space="0" w:color="BFBFBF"/>
              <w:bottom w:val="single" w:sz="1" w:space="0" w:color="BFBFBF"/>
              <w:right w:val="single" w:sz="1" w:space="0" w:color="BFBFBF"/>
            </w:tcBorders>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Inter-</w:t>
            </w:r>
            <w:proofErr w:type="spellStart"/>
            <w:r w:rsidRPr="00A4111F">
              <w:rPr>
                <w:rFonts w:ascii="Times New Roman" w:hAnsi="Times New Roman" w:cs="Times New Roman"/>
                <w:color w:val="000000" w:themeColor="text1"/>
                <w:sz w:val="15"/>
                <w:szCs w:val="15"/>
              </w:rPr>
              <w:t>organisational</w:t>
            </w:r>
            <w:proofErr w:type="spellEnd"/>
            <w:r w:rsidRPr="00A4111F">
              <w:rPr>
                <w:rFonts w:ascii="Times New Roman" w:hAnsi="Times New Roman" w:cs="Times New Roman"/>
                <w:color w:val="000000" w:themeColor="text1"/>
                <w:sz w:val="15"/>
                <w:szCs w:val="15"/>
              </w:rPr>
              <w:t xml:space="preserve"> knowledge sharing; not operations/security.</w:t>
            </w:r>
          </w:p>
        </w:tc>
      </w:tr>
      <w:tr w:rsidR="00A4111F" w:rsidRPr="00A4111F" w:rsidTr="00A4111F">
        <w:tblPrEx>
          <w:tblCellMar>
            <w:top w:w="0" w:type="dxa"/>
            <w:bottom w:w="0" w:type="dxa"/>
          </w:tblCellMar>
        </w:tblPrEx>
        <w:trPr>
          <w:trHeight w:val="15"/>
        </w:trPr>
        <w:tc>
          <w:tcPr>
            <w:tcW w:w="52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200</w:t>
            </w:r>
          </w:p>
        </w:tc>
        <w:tc>
          <w:tcPr>
            <w:tcW w:w="3850"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spacing w:line="228" w:lineRule="auto"/>
              <w:rPr>
                <w:rFonts w:ascii="Times New Roman" w:hAnsi="Times New Roman" w:cs="Times New Roman"/>
                <w:color w:val="000000" w:themeColor="text1"/>
              </w:rPr>
            </w:pPr>
            <w:r w:rsidRPr="00A4111F">
              <w:rPr>
                <w:rFonts w:ascii="Times New Roman" w:hAnsi="Times New Roman" w:cs="Times New Roman"/>
                <w:color w:val="000000" w:themeColor="text1"/>
                <w:sz w:val="16"/>
                <w:szCs w:val="16"/>
              </w:rPr>
              <w:t xml:space="preserve">Sharia disclosure, sharia supervisory board and the moderating effect of regulatory framework: The impact on soundness of </w:t>
            </w:r>
            <w:proofErr w:type="spellStart"/>
            <w:r w:rsidRPr="00A4111F">
              <w:rPr>
                <w:rFonts w:ascii="Times New Roman" w:hAnsi="Times New Roman" w:cs="Times New Roman"/>
                <w:color w:val="000000" w:themeColor="text1"/>
                <w:sz w:val="16"/>
                <w:szCs w:val="16"/>
              </w:rPr>
              <w:t>islamic</w:t>
            </w:r>
            <w:proofErr w:type="spellEnd"/>
            <w:r w:rsidRPr="00A4111F">
              <w:rPr>
                <w:rFonts w:ascii="Times New Roman" w:hAnsi="Times New Roman" w:cs="Times New Roman"/>
                <w:color w:val="000000" w:themeColor="text1"/>
                <w:sz w:val="16"/>
                <w:szCs w:val="16"/>
              </w:rPr>
              <w:t xml:space="preserve"> </w:t>
            </w:r>
            <w:proofErr w:type="gramStart"/>
            <w:r w:rsidRPr="00A4111F">
              <w:rPr>
                <w:rFonts w:ascii="Times New Roman" w:hAnsi="Times New Roman" w:cs="Times New Roman"/>
                <w:color w:val="000000" w:themeColor="text1"/>
                <w:sz w:val="16"/>
                <w:szCs w:val="16"/>
              </w:rPr>
              <w:t>banking</w:t>
            </w:r>
            <w:r w:rsidRPr="00A4111F">
              <w:rPr>
                <w:rFonts w:ascii="Times New Roman" w:hAnsi="Times New Roman" w:cs="Times New Roman"/>
                <w:i/>
                <w:iCs/>
                <w:color w:val="000000" w:themeColor="text1"/>
                <w:sz w:val="14"/>
                <w:szCs w:val="14"/>
              </w:rPr>
              <w:t xml:space="preserve">  (</w:t>
            </w:r>
            <w:proofErr w:type="gramEnd"/>
            <w:r w:rsidRPr="00A4111F">
              <w:rPr>
                <w:rFonts w:ascii="Times New Roman" w:hAnsi="Times New Roman" w:cs="Times New Roman"/>
                <w:i/>
                <w:iCs/>
                <w:color w:val="000000" w:themeColor="text1"/>
                <w:sz w:val="14"/>
                <w:szCs w:val="14"/>
              </w:rPr>
              <w:t>International Symposia in Economic Theory and Econometrics, 2021)</w:t>
            </w:r>
          </w:p>
        </w:tc>
        <w:tc>
          <w:tcPr>
            <w:tcW w:w="860" w:type="dxa"/>
            <w:tcBorders>
              <w:top w:val="single" w:sz="1" w:space="0" w:color="BFBFBF"/>
              <w:left w:val="single" w:sz="1" w:space="0" w:color="BFBFBF"/>
              <w:bottom w:val="single" w:sz="1" w:space="0" w:color="BFBFBF"/>
              <w:right w:val="single" w:sz="1" w:space="0" w:color="BFBFBF"/>
            </w:tcBorders>
            <w:shd w:val="clear" w:color="auto" w:fill="FCE4E4"/>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Exclude</w:t>
            </w:r>
          </w:p>
        </w:tc>
        <w:tc>
          <w:tcPr>
            <w:tcW w:w="860" w:type="dxa"/>
            <w:tcBorders>
              <w:top w:val="single" w:sz="1" w:space="0" w:color="BFBFBF"/>
              <w:left w:val="single" w:sz="1" w:space="0" w:color="BFBFBF"/>
              <w:bottom w:val="single" w:sz="1" w:space="0" w:color="BFBFBF"/>
              <w:right w:val="single" w:sz="1" w:space="0" w:color="BFBFBF"/>
            </w:tcBorders>
            <w:shd w:val="clear" w:color="auto" w:fill="D9EAD3"/>
            <w:tcMar>
              <w:top w:w="60" w:type="dxa"/>
              <w:left w:w="110" w:type="dxa"/>
              <w:bottom w:w="60" w:type="dxa"/>
              <w:right w:w="110" w:type="dxa"/>
            </w:tcMar>
            <w:vAlign w:val="center"/>
          </w:tcPr>
          <w:p w:rsidR="00505467" w:rsidRPr="00A4111F" w:rsidRDefault="00000000">
            <w:pPr>
              <w:jc w:val="center"/>
              <w:rPr>
                <w:rFonts w:ascii="Times New Roman" w:hAnsi="Times New Roman" w:cs="Times New Roman"/>
                <w:color w:val="000000" w:themeColor="text1"/>
              </w:rPr>
            </w:pPr>
            <w:r w:rsidRPr="00A4111F">
              <w:rPr>
                <w:rFonts w:ascii="Times New Roman" w:hAnsi="Times New Roman" w:cs="Times New Roman"/>
                <w:b/>
                <w:bCs/>
                <w:color w:val="000000" w:themeColor="text1"/>
                <w:sz w:val="16"/>
                <w:szCs w:val="16"/>
              </w:rPr>
              <w:t>Include</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 disclosure/SSB and regulation; governance, no consumer.</w:t>
            </w:r>
          </w:p>
        </w:tc>
        <w:tc>
          <w:tcPr>
            <w:tcW w:w="3185" w:type="dxa"/>
            <w:tcBorders>
              <w:top w:val="single" w:sz="1" w:space="0" w:color="BFBFBF"/>
              <w:left w:val="single" w:sz="1" w:space="0" w:color="BFBFBF"/>
              <w:bottom w:val="single" w:sz="1" w:space="0" w:color="BFBFBF"/>
              <w:right w:val="single" w:sz="1" w:space="0" w:color="BFBFBF"/>
            </w:tcBorders>
            <w:shd w:val="clear" w:color="auto" w:fill="F4F7FB"/>
            <w:tcMar>
              <w:top w:w="60" w:type="dxa"/>
              <w:left w:w="110" w:type="dxa"/>
              <w:bottom w:w="60" w:type="dxa"/>
              <w:right w:w="110" w:type="dxa"/>
            </w:tcMar>
          </w:tcPr>
          <w:p w:rsidR="00505467" w:rsidRPr="00A4111F" w:rsidRDefault="00000000">
            <w:pPr>
              <w:rPr>
                <w:rFonts w:ascii="Times New Roman" w:hAnsi="Times New Roman" w:cs="Times New Roman"/>
                <w:color w:val="000000" w:themeColor="text1"/>
              </w:rPr>
            </w:pPr>
            <w:r w:rsidRPr="00A4111F">
              <w:rPr>
                <w:rFonts w:ascii="Times New Roman" w:hAnsi="Times New Roman" w:cs="Times New Roman"/>
                <w:color w:val="000000" w:themeColor="text1"/>
                <w:sz w:val="15"/>
                <w:szCs w:val="15"/>
              </w:rPr>
              <w:t>Shariah disclosure, SSB and regulation = governance/compliance/soundness.</w:t>
            </w:r>
          </w:p>
        </w:tc>
      </w:tr>
    </w:tbl>
    <w:p w:rsidR="00693342" w:rsidRPr="00A4111F" w:rsidRDefault="00693342" w:rsidP="00A4111F">
      <w:pPr>
        <w:rPr>
          <w:rFonts w:ascii="Times New Roman" w:hAnsi="Times New Roman" w:cs="Times New Roman"/>
          <w:color w:val="000000" w:themeColor="text1"/>
        </w:rPr>
      </w:pPr>
    </w:p>
    <w:sectPr w:rsidR="00693342" w:rsidRPr="00A4111F">
      <w:footerReference w:type="default" r:id="rId10"/>
      <w:pgSz w:w="15840" w:h="12240"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3342" w:rsidRDefault="00693342">
      <w:r>
        <w:separator/>
      </w:r>
    </w:p>
  </w:endnote>
  <w:endnote w:type="continuationSeparator" w:id="0">
    <w:p w:rsidR="00693342" w:rsidRDefault="00693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Vrinda">
    <w:panose1 w:val="020B0604020202020204"/>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05467" w:rsidRDefault="00000000">
    <w:pPr>
      <w:jc w:val="center"/>
    </w:pPr>
    <w:r>
      <w:rPr>
        <w:rFonts w:cs="Calibri"/>
        <w:color w:val="888888"/>
        <w:sz w:val="16"/>
        <w:szCs w:val="16"/>
      </w:rPr>
      <w:t xml:space="preserve">Dual-reviewer screening &amp; Cohen’s </w:t>
    </w:r>
    <w:proofErr w:type="gramStart"/>
    <w:r>
      <w:rPr>
        <w:rFonts w:cs="Calibri"/>
        <w:color w:val="888888"/>
        <w:sz w:val="16"/>
        <w:szCs w:val="16"/>
      </w:rPr>
      <w:t>κ  —</w:t>
    </w:r>
    <w:proofErr w:type="gramEnd"/>
    <w:r>
      <w:rPr>
        <w:rFonts w:cs="Calibri"/>
        <w:color w:val="888888"/>
        <w:sz w:val="16"/>
        <w:szCs w:val="16"/>
      </w:rPr>
      <w:t xml:space="preserve">  page </w:t>
    </w:r>
    <w:r>
      <w:rPr>
        <w:rFonts w:cs="Calibri"/>
        <w:color w:val="888888"/>
        <w:sz w:val="16"/>
        <w:szCs w:val="16"/>
      </w:rPr>
      <w:fldChar w:fldCharType="begin"/>
    </w:r>
    <w:r>
      <w:rPr>
        <w:rFonts w:cs="Calibri"/>
        <w:color w:val="888888"/>
        <w:sz w:val="16"/>
        <w:szCs w:val="16"/>
      </w:rPr>
      <w:instrText>PAGE</w:instrText>
    </w:r>
    <w:r>
      <w:rPr>
        <w:rFonts w:cs="Calibri"/>
        <w:color w:val="888888"/>
        <w:sz w:val="16"/>
        <w:szCs w:val="16"/>
      </w:rPr>
      <w:fldChar w:fldCharType="separate"/>
    </w:r>
    <w:r w:rsidR="00A4111F">
      <w:rPr>
        <w:rFonts w:cs="Calibri"/>
        <w:noProof/>
        <w:color w:val="888888"/>
        <w:sz w:val="16"/>
        <w:szCs w:val="16"/>
      </w:rPr>
      <w:t>1</w:t>
    </w:r>
    <w:r>
      <w:rPr>
        <w:rFonts w:cs="Calibri"/>
        <w:color w:val="888888"/>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05467" w:rsidRDefault="00000000">
    <w:pPr>
      <w:jc w:val="center"/>
    </w:pPr>
    <w:r>
      <w:rPr>
        <w:rFonts w:cs="Calibri"/>
        <w:color w:val="888888"/>
        <w:sz w:val="16"/>
        <w:szCs w:val="16"/>
      </w:rPr>
      <w:t xml:space="preserve">Appendix A — full screening </w:t>
    </w:r>
    <w:proofErr w:type="gramStart"/>
    <w:r>
      <w:rPr>
        <w:rFonts w:cs="Calibri"/>
        <w:color w:val="888888"/>
        <w:sz w:val="16"/>
        <w:szCs w:val="16"/>
      </w:rPr>
      <w:t>table  —</w:t>
    </w:r>
    <w:proofErr w:type="gramEnd"/>
    <w:r>
      <w:rPr>
        <w:rFonts w:cs="Calibri"/>
        <w:color w:val="888888"/>
        <w:sz w:val="16"/>
        <w:szCs w:val="16"/>
      </w:rPr>
      <w:t xml:space="preserve">  page </w:t>
    </w:r>
    <w:r>
      <w:rPr>
        <w:rFonts w:cs="Calibri"/>
        <w:color w:val="888888"/>
        <w:sz w:val="16"/>
        <w:szCs w:val="16"/>
      </w:rPr>
      <w:fldChar w:fldCharType="begin"/>
    </w:r>
    <w:r>
      <w:rPr>
        <w:rFonts w:cs="Calibri"/>
        <w:color w:val="888888"/>
        <w:sz w:val="16"/>
        <w:szCs w:val="16"/>
      </w:rPr>
      <w:instrText>PAGE</w:instrText>
    </w:r>
    <w:r>
      <w:rPr>
        <w:rFonts w:cs="Calibri"/>
        <w:color w:val="888888"/>
        <w:sz w:val="16"/>
        <w:szCs w:val="16"/>
      </w:rPr>
      <w:fldChar w:fldCharType="separate"/>
    </w:r>
    <w:r w:rsidR="00A4111F">
      <w:rPr>
        <w:rFonts w:cs="Calibri"/>
        <w:noProof/>
        <w:color w:val="888888"/>
        <w:sz w:val="16"/>
        <w:szCs w:val="16"/>
      </w:rPr>
      <w:t>7</w:t>
    </w:r>
    <w:r>
      <w:rPr>
        <w:rFonts w:cs="Calibri"/>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3342" w:rsidRDefault="00693342">
      <w:r>
        <w:separator/>
      </w:r>
    </w:p>
  </w:footnote>
  <w:footnote w:type="continuationSeparator" w:id="0">
    <w:p w:rsidR="00693342" w:rsidRDefault="00693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5C3DBF"/>
    <w:multiLevelType w:val="hybridMultilevel"/>
    <w:tmpl w:val="10F27D68"/>
    <w:lvl w:ilvl="0" w:tplc="851019F2">
      <w:start w:val="1"/>
      <w:numFmt w:val="bullet"/>
      <w:lvlText w:val="●"/>
      <w:lvlJc w:val="left"/>
      <w:pPr>
        <w:ind w:left="720" w:hanging="360"/>
      </w:pPr>
    </w:lvl>
    <w:lvl w:ilvl="1" w:tplc="9F1EB0A8">
      <w:start w:val="1"/>
      <w:numFmt w:val="bullet"/>
      <w:lvlText w:val="○"/>
      <w:lvlJc w:val="left"/>
      <w:pPr>
        <w:ind w:left="1440" w:hanging="360"/>
      </w:pPr>
    </w:lvl>
    <w:lvl w:ilvl="2" w:tplc="B7C6C134">
      <w:start w:val="1"/>
      <w:numFmt w:val="bullet"/>
      <w:lvlText w:val="■"/>
      <w:lvlJc w:val="left"/>
      <w:pPr>
        <w:ind w:left="2160" w:hanging="360"/>
      </w:pPr>
    </w:lvl>
    <w:lvl w:ilvl="3" w:tplc="71703D8E">
      <w:start w:val="1"/>
      <w:numFmt w:val="bullet"/>
      <w:lvlText w:val="●"/>
      <w:lvlJc w:val="left"/>
      <w:pPr>
        <w:ind w:left="2880" w:hanging="360"/>
      </w:pPr>
    </w:lvl>
    <w:lvl w:ilvl="4" w:tplc="EAC08D0A">
      <w:start w:val="1"/>
      <w:numFmt w:val="bullet"/>
      <w:lvlText w:val="○"/>
      <w:lvlJc w:val="left"/>
      <w:pPr>
        <w:ind w:left="3600" w:hanging="360"/>
      </w:pPr>
    </w:lvl>
    <w:lvl w:ilvl="5" w:tplc="3D068CF8">
      <w:start w:val="1"/>
      <w:numFmt w:val="bullet"/>
      <w:lvlText w:val="■"/>
      <w:lvlJc w:val="left"/>
      <w:pPr>
        <w:ind w:left="4320" w:hanging="360"/>
      </w:pPr>
    </w:lvl>
    <w:lvl w:ilvl="6" w:tplc="8CD41F4C">
      <w:start w:val="1"/>
      <w:numFmt w:val="bullet"/>
      <w:lvlText w:val="●"/>
      <w:lvlJc w:val="left"/>
      <w:pPr>
        <w:ind w:left="5040" w:hanging="360"/>
      </w:pPr>
    </w:lvl>
    <w:lvl w:ilvl="7" w:tplc="28C46E54">
      <w:start w:val="1"/>
      <w:numFmt w:val="bullet"/>
      <w:lvlText w:val="●"/>
      <w:lvlJc w:val="left"/>
      <w:pPr>
        <w:ind w:left="5760" w:hanging="360"/>
      </w:pPr>
    </w:lvl>
    <w:lvl w:ilvl="8" w:tplc="0D7837EA">
      <w:start w:val="1"/>
      <w:numFmt w:val="bullet"/>
      <w:lvlText w:val="●"/>
      <w:lvlJc w:val="left"/>
      <w:pPr>
        <w:ind w:left="6480" w:hanging="360"/>
      </w:pPr>
    </w:lvl>
  </w:abstractNum>
  <w:num w:numId="1" w16cid:durableId="10474859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467"/>
    <w:rsid w:val="00505467"/>
    <w:rsid w:val="00693342"/>
    <w:rsid w:val="00A4111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4:docId w14:val="1E71F8D8"/>
  <w15:docId w15:val="{D2B6C000-E46B-3F47-BB42-3588C0B37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paragraph" w:styleId="Heading1">
    <w:name w:val="heading 1"/>
    <w:uiPriority w:val="9"/>
    <w:qFormat/>
    <w:pPr>
      <w:spacing w:before="300" w:after="160"/>
      <w:outlineLvl w:val="0"/>
    </w:pPr>
    <w:rPr>
      <w:b/>
      <w:bCs/>
      <w:color w:val="1F3864"/>
      <w:sz w:val="30"/>
      <w:szCs w:val="30"/>
    </w:rPr>
  </w:style>
  <w:style w:type="paragraph" w:styleId="Heading2">
    <w:name w:val="heading 2"/>
    <w:uiPriority w:val="9"/>
    <w:unhideWhenUsed/>
    <w:qFormat/>
    <w:pPr>
      <w:spacing w:before="240" w:after="120"/>
      <w:outlineLvl w:val="1"/>
    </w:pPr>
    <w:rPr>
      <w:b/>
      <w:bCs/>
      <w:color w:val="2E549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4111F"/>
    <w:pPr>
      <w:tabs>
        <w:tab w:val="center" w:pos="4680"/>
        <w:tab w:val="right" w:pos="9360"/>
      </w:tabs>
    </w:pPr>
    <w:rPr>
      <w:szCs w:val="28"/>
    </w:rPr>
  </w:style>
  <w:style w:type="character" w:customStyle="1" w:styleId="HeaderChar">
    <w:name w:val="Header Char"/>
    <w:basedOn w:val="DefaultParagraphFont"/>
    <w:link w:val="Header"/>
    <w:uiPriority w:val="99"/>
    <w:rsid w:val="00A4111F"/>
    <w:rPr>
      <w:rFonts w:cs="Vrinda"/>
      <w:szCs w:val="28"/>
    </w:rPr>
  </w:style>
  <w:style w:type="paragraph" w:styleId="Footer">
    <w:name w:val="footer"/>
    <w:basedOn w:val="Normal"/>
    <w:link w:val="FooterChar"/>
    <w:uiPriority w:val="99"/>
    <w:unhideWhenUsed/>
    <w:rsid w:val="00A4111F"/>
    <w:pPr>
      <w:tabs>
        <w:tab w:val="center" w:pos="4680"/>
        <w:tab w:val="right" w:pos="9360"/>
      </w:tabs>
    </w:pPr>
    <w:rPr>
      <w:szCs w:val="28"/>
    </w:rPr>
  </w:style>
  <w:style w:type="character" w:customStyle="1" w:styleId="FooterChar">
    <w:name w:val="Footer Char"/>
    <w:basedOn w:val="DefaultParagraphFont"/>
    <w:link w:val="Footer"/>
    <w:uiPriority w:val="99"/>
    <w:rsid w:val="00A4111F"/>
    <w:rPr>
      <w:rFonts w:cs="Vrinda"/>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10636</Words>
  <Characters>60630</Characters>
  <Application>Microsoft Office Word</Application>
  <DocSecurity>0</DocSecurity>
  <Lines>505</Lines>
  <Paragraphs>142</Paragraphs>
  <ScaleCrop>false</ScaleCrop>
  <Company/>
  <LinksUpToDate>false</LinksUpToDate>
  <CharactersWithSpaces>71124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NHM Hassan Imam Chowdhury</cp:lastModifiedBy>
  <cp:revision>2</cp:revision>
  <dcterms:created xsi:type="dcterms:W3CDTF">2026-10-01T16:06:00Z</dcterms:created>
  <dcterms:modified xsi:type="dcterms:W3CDTF">2026-10-01T16:06:00Z</dcterms:modified>
</cp:coreProperties>
</file>