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C1E96" w:rsidRPr="00DC1E96" w:rsidRDefault="00000000" w:rsidP="00DC1E96">
      <w:pPr>
        <w:jc w:val="center"/>
        <w:rPr>
          <w:rFonts w:ascii="Times New Roman" w:hAnsi="Times New Roman" w:cs="Times New Roman"/>
          <w:b/>
          <w:color w:val="000000" w:themeColor="text1"/>
          <w:sz w:val="18"/>
          <w:szCs w:val="18"/>
        </w:rPr>
      </w:pPr>
      <w:r w:rsidRPr="00DC1E96">
        <w:rPr>
          <w:rFonts w:ascii="Times New Roman" w:hAnsi="Times New Roman" w:cs="Times New Roman"/>
          <w:b/>
          <w:color w:val="000000" w:themeColor="text1"/>
          <w:sz w:val="18"/>
          <w:szCs w:val="18"/>
        </w:rPr>
        <w:t>Supplementary Appendix A</w:t>
      </w:r>
      <w:r w:rsidR="00DC1E96" w:rsidRPr="00DC1E96">
        <w:rPr>
          <w:rFonts w:ascii="Times New Roman" w:hAnsi="Times New Roman" w:cs="Times New Roman"/>
          <w:b/>
          <w:color w:val="000000" w:themeColor="text1"/>
          <w:sz w:val="18"/>
          <w:szCs w:val="18"/>
        </w:rPr>
        <w:t>:</w:t>
      </w:r>
      <w:r w:rsidRPr="00DC1E96">
        <w:rPr>
          <w:rFonts w:ascii="Times New Roman" w:hAnsi="Times New Roman" w:cs="Times New Roman"/>
          <w:b/>
          <w:color w:val="000000" w:themeColor="text1"/>
          <w:sz w:val="18"/>
          <w:szCs w:val="18"/>
        </w:rPr>
        <w:t xml:space="preserve"> MMAT Quality Appraisal (criterion-level, n = 34)</w:t>
      </w:r>
      <w:r w:rsidR="00DC1E96" w:rsidRPr="00DC1E96">
        <w:rPr>
          <w:rFonts w:ascii="Times New Roman" w:hAnsi="Times New Roman" w:cs="Times New Roman"/>
          <w:b/>
          <w:color w:val="000000" w:themeColor="text1"/>
          <w:sz w:val="18"/>
          <w:szCs w:val="18"/>
        </w:rPr>
        <w:br/>
      </w:r>
    </w:p>
    <w:p w:rsidR="00297D75" w:rsidRPr="00DC1E96" w:rsidRDefault="00000000" w:rsidP="00DC1E96">
      <w:pPr>
        <w:spacing w:after="120"/>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 xml:space="preserve">Methodological quality was appraised with the Mixed Methods Appraisal Tool (MMAT; Hong et al., 2018). Following MMAT guidance, criterion-level judgements are reported rather than a single numerical score. Two screening questions (S1: clear research question; S2: collected data allow the question to be addressed) precede five category-specific criteria. Each criterion is judged Yes (Y), No (N) or </w:t>
      </w:r>
      <w:proofErr w:type="gramStart"/>
      <w:r w:rsidRPr="00DC1E96">
        <w:rPr>
          <w:rFonts w:ascii="Times New Roman" w:hAnsi="Times New Roman" w:cs="Times New Roman"/>
          <w:color w:val="000000" w:themeColor="text1"/>
          <w:sz w:val="18"/>
          <w:szCs w:val="18"/>
        </w:rPr>
        <w:t>Cannot</w:t>
      </w:r>
      <w:proofErr w:type="gramEnd"/>
      <w:r w:rsidRPr="00DC1E96">
        <w:rPr>
          <w:rFonts w:ascii="Times New Roman" w:hAnsi="Times New Roman" w:cs="Times New Roman"/>
          <w:color w:val="000000" w:themeColor="text1"/>
          <w:sz w:val="18"/>
          <w:szCs w:val="18"/>
        </w:rPr>
        <w:t xml:space="preserve"> tell (CT). Appraisal is based on the methods reported in each paper; where a paper did not report enough to establish a criterion it is marked CT rather than assumed. MMAT applies to empirical primary studies; reviews, conceptual and purely technical/computational papers are marked “not appraised” with the reason. Appraisal did not change inclusion; it informs the interpretive weight given to findings and the sensitivity discussion in Section 3.8.</w:t>
      </w:r>
    </w:p>
    <w:p w:rsidR="00297D75" w:rsidRPr="00DC1E96" w:rsidRDefault="00000000" w:rsidP="00DC1E96">
      <w:pPr>
        <w:spacing w:after="120"/>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Category criteria (MMAT 2018). Qualitative: 1.1 approach appropriate; 1.2 data collection adequate; 1.3 findings grounded in data; 1.4 interpretation substantiated; 1.5 coherence across data, analysis and interpretation. Quantitative non-randomised (analytic cross-sectional surveys): 3.1 participants representative; 3.2 measurements appropriate/validated; 3.3 complete outcome data; 3.4 confounders accounted for; 3.5 analysis appropriate. Quantitative descriptive (archival/descriptive studies): 4.1 sampling strategy relevant; 4.2 sample representative of the target population; 4.3 measurements appropriate; 4.4 risk of nonresponse bias low; 4.5 statistical analysis appropriate. Mixed methods: 5.1 rationale for mixing; 5.2 components effectively integrated; 5.3 outputs adequately interpreted; 5.4 divergences addressed; 5.5 components meet their own quality criteria.</w:t>
      </w:r>
    </w:p>
    <w:tbl>
      <w:tblPr>
        <w:tblStyle w:val="TableGrid"/>
        <w:tblW w:w="0" w:type="auto"/>
        <w:jc w:val="center"/>
        <w:tblLook w:val="04A0" w:firstRow="1" w:lastRow="0" w:firstColumn="1" w:lastColumn="0" w:noHBand="0" w:noVBand="1"/>
      </w:tblPr>
      <w:tblGrid>
        <w:gridCol w:w="437"/>
        <w:gridCol w:w="1246"/>
        <w:gridCol w:w="576"/>
        <w:gridCol w:w="1121"/>
        <w:gridCol w:w="407"/>
        <w:gridCol w:w="407"/>
        <w:gridCol w:w="447"/>
        <w:gridCol w:w="447"/>
        <w:gridCol w:w="447"/>
        <w:gridCol w:w="447"/>
        <w:gridCol w:w="447"/>
        <w:gridCol w:w="2201"/>
      </w:tblGrid>
      <w:tr w:rsidR="00DC1E96" w:rsidRPr="00DC1E96" w:rsidTr="00DC1E96">
        <w:trPr>
          <w:trHeight w:val="309"/>
          <w:jc w:val="center"/>
        </w:trPr>
        <w:tc>
          <w:tcPr>
            <w:tcW w:w="428" w:type="dxa"/>
          </w:tcPr>
          <w:p w:rsidR="00297D75" w:rsidRPr="00DC1E96" w:rsidRDefault="00DC1E96"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SL</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Author(s)</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Yr</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MMAT category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S1</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S2</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C1</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C2</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C3</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C4</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C5</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b/>
                <w:color w:val="000000" w:themeColor="text1"/>
                <w:sz w:val="18"/>
                <w:szCs w:val="18"/>
              </w:rPr>
              <w:t>Basis / note</w:t>
            </w:r>
          </w:p>
        </w:tc>
      </w:tr>
      <w:tr w:rsidR="00DC1E96" w:rsidRPr="00DC1E96" w:rsidTr="00DC1E96">
        <w:trPr>
          <w:trHeight w:val="779"/>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Abdurrahman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2024</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01"/>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Al Hammadi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2024</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descriptive</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Archival/descriptive study appraised with the quantitative-descriptive criteria; measurements and analysis reported; sampling strategy and nonresponse not fully described (CT).</w:t>
            </w:r>
          </w:p>
        </w:tc>
      </w:tr>
      <w:tr w:rsidR="00DC1E96" w:rsidRPr="00DC1E96" w:rsidTr="00DC1E96">
        <w:trPr>
          <w:trHeight w:val="779"/>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3</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Al-Afeef</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2024</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630"/>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4</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Alkhamees</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2013</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Qualitative</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Interpretive/doctrinal study; approach and analysis coherent; reflexivity not always reported (C4 = CT).</w:t>
            </w:r>
          </w:p>
        </w:tc>
      </w:tr>
      <w:tr w:rsidR="00DC1E96" w:rsidRPr="00DC1E96" w:rsidTr="00DC1E96">
        <w:trPr>
          <w:trHeight w:val="779"/>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5</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Alnsour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2023</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469"/>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6</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Alsmadi, I.</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2015</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 — design-science/technical build outside MMAT empirical categories.</w:t>
            </w:r>
          </w:p>
        </w:tc>
      </w:tr>
      <w:tr w:rsidR="00DC1E96" w:rsidRPr="00DC1E96" w:rsidTr="00DC1E96">
        <w:trPr>
          <w:trHeight w:val="779"/>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7</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Alsmadi, M. K.</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2025</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 xml:space="preserve">Validated multi-item scales and SEM/regression reported; sampling frame and confounder control </w:t>
            </w:r>
            <w:r w:rsidRPr="00DC1E96">
              <w:rPr>
                <w:rFonts w:ascii="Times New Roman" w:hAnsi="Times New Roman" w:cs="Times New Roman"/>
                <w:color w:val="000000" w:themeColor="text1"/>
                <w:sz w:val="18"/>
                <w:szCs w:val="18"/>
              </w:rPr>
              <w:lastRenderedPageBreak/>
              <w:t>often not fully described (CT).</w:t>
            </w:r>
          </w:p>
        </w:tc>
      </w:tr>
      <w:tr w:rsidR="00DC1E96" w:rsidRPr="00DC1E96" w:rsidTr="00DC1E96">
        <w:trPr>
          <w:trHeight w:val="469"/>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lastRenderedPageBreak/>
              <w:t>8</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Ashraf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2015</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Qualitative</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Interpretive/doctrinal study; approach and analysis coherent; reflexivity not always reported (C4 =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9</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Ashurov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2019</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10</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Aysan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2024</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descriptive</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Archival/descriptive study appraised with the quantitative-descriptive criteria; measurements and analysis reported; sampling strategy and nonresponse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11</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Dawood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2022</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 — review/conceptual paper; MMAT applies to empirical primary studies.</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12</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Haider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2018</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13</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Hamsin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2023</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Qualitative</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Interpretive/doctrinal study; approach and analysis coherent; reflexivity not always reported (C4 =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14</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Idrees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2024</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15</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Irimia-Diéguez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2024</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16</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Jamshidi</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2016</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17</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Jamshidi &amp; Hussin</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2016</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18</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Khan &amp; Alibrahim</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2023</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 xml:space="preserve">Not appraised — technical/computational study (system build or </w:t>
            </w:r>
            <w:r w:rsidRPr="00DC1E96">
              <w:rPr>
                <w:rFonts w:ascii="Times New Roman" w:hAnsi="Times New Roman" w:cs="Times New Roman"/>
                <w:color w:val="000000" w:themeColor="text1"/>
                <w:sz w:val="18"/>
                <w:szCs w:val="18"/>
              </w:rPr>
              <w:lastRenderedPageBreak/>
              <w:t>evaluation) outside MMAT empirical categories.</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lastRenderedPageBreak/>
              <w:t>19</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Mansour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2016</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Mazumder</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2022</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descriptive</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Archival/descriptive study appraised with the quantitative-descriptive criteria; measurements and analysis reported; sampling strategy and nonresponse not fully described (CT).</w:t>
            </w:r>
          </w:p>
        </w:tc>
      </w:tr>
      <w:tr w:rsidR="00DC1E96" w:rsidRPr="00DC1E96" w:rsidTr="00DC1E96">
        <w:trPr>
          <w:trHeight w:val="309"/>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21</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Mbaidin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2024</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22</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Mohd Thas Thaker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2019</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23</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Mulia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2021</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24</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Naeem</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2019</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Qualitative</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Interpretive/doctrinal study; approach and analysis coherent; reflexivity not always reported (C4 =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25</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Naeem</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2021</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Mixed methods</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Qualitative + survey components; integration rationale stated; divergence handling not fully reported.</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26</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Parayil Iqbal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2023</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27</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Ridzuan</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2024</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 — review/conceptual paper; MMAT applies to empirical primary studies.</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28</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Riza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2024</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Mixed methods</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Qualitative + survey components; integration rationale stated; divergence handling not fully reported.</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29</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Shinkafi</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2017</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 — review/conceptual paper; MMAT applies to empirical primary studies.</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30</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Sudarsono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2020</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 xml:space="preserve">Validated multi-item scales and SEM/regression </w:t>
            </w:r>
            <w:r w:rsidRPr="00DC1E96">
              <w:rPr>
                <w:rFonts w:ascii="Times New Roman" w:hAnsi="Times New Roman" w:cs="Times New Roman"/>
                <w:color w:val="000000" w:themeColor="text1"/>
                <w:sz w:val="18"/>
                <w:szCs w:val="18"/>
              </w:rPr>
              <w:lastRenderedPageBreak/>
              <w:t>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31</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Suhartanto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2022</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32</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Sumaedi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2015</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r w:rsidR="00DC1E96" w:rsidRPr="00DC1E96" w:rsidTr="00DC1E96">
        <w:trPr>
          <w:trHeight w:val="115"/>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33</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Unal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2022</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Not appraised — review/conceptual paper; MMAT applies to empirical primary studies.</w:t>
            </w:r>
          </w:p>
        </w:tc>
      </w:tr>
      <w:tr w:rsidR="00DC1E96" w:rsidRPr="00DC1E96" w:rsidTr="00DC1E96">
        <w:trPr>
          <w:trHeight w:val="779"/>
          <w:jc w:val="center"/>
        </w:trPr>
        <w:tc>
          <w:tcPr>
            <w:tcW w:w="42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34</w:t>
            </w:r>
          </w:p>
        </w:tc>
        <w:tc>
          <w:tcPr>
            <w:tcW w:w="1251"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Yaseen et al.</w:t>
            </w:r>
          </w:p>
        </w:tc>
        <w:tc>
          <w:tcPr>
            <w:tcW w:w="564"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2022</w:t>
            </w:r>
          </w:p>
        </w:tc>
        <w:tc>
          <w:tcPr>
            <w:tcW w:w="1132"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Quant. non-randomised</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399"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CT</w:t>
            </w:r>
          </w:p>
        </w:tc>
        <w:tc>
          <w:tcPr>
            <w:tcW w:w="438"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Y</w:t>
            </w:r>
          </w:p>
        </w:tc>
        <w:tc>
          <w:tcPr>
            <w:tcW w:w="2246" w:type="dxa"/>
          </w:tcPr>
          <w:p w:rsidR="00297D75" w:rsidRPr="00DC1E96" w:rsidRDefault="00000000" w:rsidP="00DC1E96">
            <w:pPr>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Validated multi-item scales and SEM/regression reported; sampling frame and confounder control often not fully described (CT).</w:t>
            </w:r>
          </w:p>
        </w:tc>
      </w:tr>
    </w:tbl>
    <w:p w:rsidR="00297D75" w:rsidRPr="00DC1E96" w:rsidRDefault="00297D75" w:rsidP="00DC1E96">
      <w:pPr>
        <w:spacing w:after="120"/>
        <w:jc w:val="both"/>
        <w:rPr>
          <w:rFonts w:ascii="Times New Roman" w:hAnsi="Times New Roman" w:cs="Times New Roman"/>
          <w:color w:val="000000" w:themeColor="text1"/>
          <w:sz w:val="18"/>
          <w:szCs w:val="18"/>
        </w:rPr>
      </w:pPr>
    </w:p>
    <w:p w:rsidR="00297D75" w:rsidRPr="00DC1E96" w:rsidRDefault="00000000" w:rsidP="00DC1E96">
      <w:pPr>
        <w:spacing w:after="120"/>
        <w:jc w:val="both"/>
        <w:rPr>
          <w:rFonts w:ascii="Times New Roman" w:hAnsi="Times New Roman" w:cs="Times New Roman"/>
          <w:color w:val="000000" w:themeColor="text1"/>
          <w:sz w:val="18"/>
          <w:szCs w:val="18"/>
        </w:rPr>
      </w:pPr>
      <w:r w:rsidRPr="00DC1E96">
        <w:rPr>
          <w:rFonts w:ascii="Times New Roman" w:hAnsi="Times New Roman" w:cs="Times New Roman"/>
          <w:color w:val="000000" w:themeColor="text1"/>
          <w:sz w:val="18"/>
          <w:szCs w:val="18"/>
        </w:rPr>
        <w:t>Summary. Of the 34 papers, 28 are empirical primary studies appraised with MMAT (19 analytic cross-sectional surveys, 4 qualitative, 2 mixed-methods, 3 archival/descriptive); 6 are reviews, conceptual or technical/computational papers to which MMAT does not directly apply. No study was excluded on quality grounds; appraisal is used to qualify the weight of evidence in the synthesis. The dominant limitation across the survey studies is incomplete reporting of sampling representativeness and confounder control (frequently CT), consistent with early-stage, single-country convenience samples.</w:t>
      </w:r>
    </w:p>
    <w:sectPr w:rsidR="00297D75" w:rsidRPr="00DC1E9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20B0604020202020204"/>
    <w:charset w:val="00"/>
    <w:family w:val="swiss"/>
    <w:pitch w:val="variable"/>
    <w:sig w:usb0="0001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767944">
    <w:abstractNumId w:val="8"/>
  </w:num>
  <w:num w:numId="2" w16cid:durableId="647056575">
    <w:abstractNumId w:val="6"/>
  </w:num>
  <w:num w:numId="3" w16cid:durableId="699746765">
    <w:abstractNumId w:val="5"/>
  </w:num>
  <w:num w:numId="4" w16cid:durableId="97869544">
    <w:abstractNumId w:val="4"/>
  </w:num>
  <w:num w:numId="5" w16cid:durableId="561216279">
    <w:abstractNumId w:val="7"/>
  </w:num>
  <w:num w:numId="6" w16cid:durableId="376928642">
    <w:abstractNumId w:val="3"/>
  </w:num>
  <w:num w:numId="7" w16cid:durableId="673651436">
    <w:abstractNumId w:val="2"/>
  </w:num>
  <w:num w:numId="8" w16cid:durableId="1268733817">
    <w:abstractNumId w:val="1"/>
  </w:num>
  <w:num w:numId="9" w16cid:durableId="1594627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97D75"/>
    <w:rsid w:val="00326F90"/>
    <w:rsid w:val="00AA1D8D"/>
    <w:rsid w:val="00B47730"/>
    <w:rsid w:val="00CB0664"/>
    <w:rsid w:val="00DC1E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21F77D"/>
  <w14:defaultImageDpi w14:val="300"/>
  <w15:docId w15:val="{D2B6C000-E46B-3F47-BB42-3588C0B37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NHM Hassan Imam Chowdhury</cp:lastModifiedBy>
  <cp:revision>2</cp:revision>
  <dcterms:created xsi:type="dcterms:W3CDTF">2026-10-01T15:54:00Z</dcterms:created>
  <dcterms:modified xsi:type="dcterms:W3CDTF">2026-10-01T15:54:00Z</dcterms:modified>
  <cp:category/>
</cp:coreProperties>
</file>