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75294" w:rsidRPr="00840075" w:rsidRDefault="00000000" w:rsidP="00840075">
      <w:pPr>
        <w:jc w:val="center"/>
        <w:rPr>
          <w:rFonts w:ascii="Times New Roman" w:hAnsi="Times New Roman" w:cs="Times New Roman"/>
          <w:color w:val="000000" w:themeColor="text1"/>
          <w:sz w:val="24"/>
          <w:szCs w:val="24"/>
        </w:rPr>
      </w:pPr>
      <w:r w:rsidRPr="00840075">
        <w:rPr>
          <w:rFonts w:ascii="Times New Roman" w:hAnsi="Times New Roman" w:cs="Times New Roman"/>
          <w:b/>
          <w:color w:val="000000" w:themeColor="text1"/>
          <w:sz w:val="24"/>
          <w:szCs w:val="24"/>
        </w:rPr>
        <w:t>Supplementary Appendix C</w:t>
      </w:r>
      <w:r w:rsidR="00840075" w:rsidRPr="00840075">
        <w:rPr>
          <w:rFonts w:ascii="Times New Roman" w:hAnsi="Times New Roman" w:cs="Times New Roman"/>
          <w:b/>
          <w:color w:val="000000" w:themeColor="text1"/>
          <w:sz w:val="24"/>
          <w:szCs w:val="24"/>
        </w:rPr>
        <w:t>:</w:t>
      </w:r>
      <w:r w:rsidRPr="00840075">
        <w:rPr>
          <w:rFonts w:ascii="Times New Roman" w:hAnsi="Times New Roman" w:cs="Times New Roman"/>
          <w:b/>
          <w:color w:val="000000" w:themeColor="text1"/>
          <w:sz w:val="24"/>
          <w:szCs w:val="24"/>
        </w:rPr>
        <w:t xml:space="preserve"> Theory Coding Audit (final corpus, n = 34)</w:t>
      </w:r>
    </w:p>
    <w:p w:rsidR="00C75294" w:rsidRPr="00840075" w:rsidRDefault="00000000" w:rsidP="00840075">
      <w:pPr>
        <w:spacing w:after="120"/>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Theory coding was produced through independent Theory–Context–Characteristics–Methodology (TCCM) coding of all 34 individually retrieved papers by two of the authors, following pilot calibration on ten papers. The two coders reached consensus on the presence or absence of each focal framework in every paper; a separate reliability coefficient for the theory coding was not computed, and this is stated as a limitation. Coding used the operational definitions below. On re-audit, four records initially listed as eligible were removed: a bibliometric review of AI/ML in human-resource management (outside the review's substantive scope); one record whose bibliographic details could not be independently verified from the available files; and two records (Abakpa &amp; Dvouletý, 2025; Shahimi et al., 2025) that were published in September 2025, after the closed 30 June 2025 search horizon (retained instead as contextual literature). The final corpus is 34.</w:t>
      </w:r>
    </w:p>
    <w:p w:rsidR="00C75294" w:rsidRPr="00840075" w:rsidRDefault="00000000" w:rsidP="00840075">
      <w:pPr>
        <w:spacing w:after="120"/>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Operational definitions. PMT present = the study explicitly invokes Protection Motivation Theory or its core appraisal constructs (perceived threat severity/vulnerability, response efficacy, self-efficacy) as a named framework. Privacy Calculus present = the study explicitly models a privacy risk–benefit trade-off in disclosure/engagement decisions. Integrated Maqasid–security present = the study operationally links Maqasid al-Shariah / Amanah to information-security or privacy constructs (not merely normative mention).</w:t>
      </w:r>
    </w:p>
    <w:tbl>
      <w:tblPr>
        <w:tblStyle w:val="TableGrid"/>
        <w:tblW w:w="0" w:type="auto"/>
        <w:jc w:val="center"/>
        <w:tblLook w:val="04A0" w:firstRow="1" w:lastRow="0" w:firstColumn="1" w:lastColumn="0" w:noHBand="0" w:noVBand="1"/>
      </w:tblPr>
      <w:tblGrid>
        <w:gridCol w:w="420"/>
        <w:gridCol w:w="1141"/>
        <w:gridCol w:w="549"/>
        <w:gridCol w:w="1428"/>
        <w:gridCol w:w="1049"/>
        <w:gridCol w:w="1521"/>
        <w:gridCol w:w="586"/>
        <w:gridCol w:w="438"/>
        <w:gridCol w:w="429"/>
        <w:gridCol w:w="1789"/>
      </w:tblGrid>
      <w:tr w:rsidR="00840075" w:rsidRPr="00840075" w:rsidTr="00840075">
        <w:trPr>
          <w:trHeight w:val="310"/>
          <w:jc w:val="center"/>
        </w:trPr>
        <w:tc>
          <w:tcPr>
            <w:tcW w:w="249" w:type="dxa"/>
          </w:tcPr>
          <w:p w:rsidR="00C75294" w:rsidRPr="00840075" w:rsidRDefault="00840075" w:rsidP="00840075">
            <w:pPr>
              <w:jc w:val="both"/>
              <w:rPr>
                <w:rFonts w:ascii="Times New Roman" w:hAnsi="Times New Roman" w:cs="Times New Roman"/>
                <w:b/>
                <w:bCs/>
                <w:color w:val="000000" w:themeColor="text1"/>
                <w:sz w:val="18"/>
                <w:szCs w:val="18"/>
              </w:rPr>
            </w:pPr>
            <w:r w:rsidRPr="00840075">
              <w:rPr>
                <w:rFonts w:ascii="Times New Roman" w:hAnsi="Times New Roman" w:cs="Times New Roman"/>
                <w:b/>
                <w:bCs/>
                <w:color w:val="000000" w:themeColor="text1"/>
                <w:sz w:val="18"/>
                <w:szCs w:val="18"/>
              </w:rPr>
              <w:t>SL</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b/>
                <w:color w:val="000000" w:themeColor="text1"/>
                <w:sz w:val="18"/>
                <w:szCs w:val="18"/>
              </w:rPr>
              <w:t>Author(s)</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b/>
                <w:color w:val="000000" w:themeColor="text1"/>
                <w:sz w:val="18"/>
                <w:szCs w:val="18"/>
              </w:rPr>
              <w:t>Yr</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b/>
                <w:color w:val="000000" w:themeColor="text1"/>
                <w:sz w:val="18"/>
                <w:szCs w:val="18"/>
              </w:rPr>
              <w:t>Country/Context</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b/>
                <w:color w:val="000000" w:themeColor="text1"/>
                <w:sz w:val="18"/>
                <w:szCs w:val="18"/>
              </w:rPr>
              <w:t>Institution</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b/>
                <w:color w:val="000000" w:themeColor="text1"/>
                <w:sz w:val="18"/>
                <w:szCs w:val="18"/>
              </w:rPr>
              <w:t>Framework identified</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b/>
                <w:color w:val="000000" w:themeColor="text1"/>
                <w:sz w:val="18"/>
                <w:szCs w:val="18"/>
              </w:rPr>
              <w:t>PMT</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b/>
                <w:color w:val="000000" w:themeColor="text1"/>
                <w:sz w:val="18"/>
                <w:szCs w:val="18"/>
              </w:rPr>
              <w:t>PC</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b/>
                <w:color w:val="000000" w:themeColor="text1"/>
                <w:sz w:val="18"/>
                <w:szCs w:val="18"/>
              </w:rPr>
              <w:t>M-sec</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b/>
                <w:color w:val="000000" w:themeColor="text1"/>
                <w:sz w:val="18"/>
                <w:szCs w:val="18"/>
              </w:rPr>
              <w:t>TCCM (C / Char / Method)</w:t>
            </w:r>
          </w:p>
        </w:tc>
      </w:tr>
      <w:tr w:rsidR="00840075" w:rsidRPr="00840075" w:rsidTr="00840075">
        <w:trPr>
          <w:trHeight w:val="310"/>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1</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Abdurrahman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2024</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Indonesia</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TAM/UTAUT (adoption)</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Indonesia; Islamic mobile banking / Cross-sectional survey / PLS-SEM</w:t>
            </w:r>
          </w:p>
        </w:tc>
      </w:tr>
      <w:tr w:rsidR="00840075" w:rsidRPr="00840075" w:rsidTr="00840075">
        <w:trPr>
          <w:trHeight w:val="304"/>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Al Hammadi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2024</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United Arab Emirates</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Shariah governance / risk</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UAE; Islamic banks / Cross-sectional / archival / Regression</w:t>
            </w:r>
          </w:p>
        </w:tc>
      </w:tr>
      <w:tr w:rsidR="00840075" w:rsidRPr="00840075" w:rsidTr="00840075">
        <w:trPr>
          <w:trHeight w:val="310"/>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3</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Al-Afeef</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2024</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Jordan</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Hybrid (emerging)</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Relationship-marketing trust</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Jordan; metaverse banking / Cross-sectional survey / PLS-SEM</w:t>
            </w:r>
          </w:p>
        </w:tc>
      </w:tr>
      <w:tr w:rsidR="00840075" w:rsidRPr="00840075" w:rsidTr="00840075">
        <w:trPr>
          <w:trHeight w:val="385"/>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4</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Alkhamees</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2013</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Conceptual</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N/A</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Shariah governance</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Conceptual; Shariah compliance / Doctrinal legal analysis / Qualitative</w:t>
            </w:r>
          </w:p>
        </w:tc>
      </w:tr>
      <w:tr w:rsidR="00840075" w:rsidRPr="00840075" w:rsidTr="00840075">
        <w:trPr>
          <w:trHeight w:val="310"/>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5</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Alnsour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2023</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Jordan</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Native FinTech</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TAM/UTAUT (acceptance)</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Jordan; Islamic FinTech / Cross-sectional survey / PLS-SEM</w:t>
            </w:r>
          </w:p>
        </w:tc>
      </w:tr>
      <w:tr w:rsidR="00840075" w:rsidRPr="00840075" w:rsidTr="00840075">
        <w:trPr>
          <w:trHeight w:val="385"/>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6</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Alsmadi, I.</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2015</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Conceptual</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N/A</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Other / information-security &amp; risk</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Conceptual; Islamic financial IS / Design-science build / Technical evaluation</w:t>
            </w:r>
          </w:p>
        </w:tc>
      </w:tr>
      <w:tr w:rsidR="00840075" w:rsidRPr="00840075" w:rsidTr="00840075">
        <w:trPr>
          <w:trHeight w:val="310"/>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7</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Alsmadi, M. K.</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2025</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Jordan</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Native FinTech</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Other / adoption + CSR</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Jordan; Islamic FinTech / Cross-sectional survey / PLS-SEM</w:t>
            </w:r>
          </w:p>
        </w:tc>
      </w:tr>
      <w:tr w:rsidR="00840075" w:rsidRPr="00840075" w:rsidTr="00840075">
        <w:trPr>
          <w:trHeight w:val="310"/>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8</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Ashraf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2015</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Pakistan</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Relationship-marketing trust</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Pakistan; Islamic banks / Qualitative interviews (n=15) / Thematic analysis</w:t>
            </w:r>
          </w:p>
        </w:tc>
      </w:tr>
      <w:tr w:rsidR="00840075" w:rsidRPr="00840075" w:rsidTr="00840075">
        <w:trPr>
          <w:trHeight w:val="304"/>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9</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Ashurov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2019</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Tajikistan</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Relationship-marketing trust (mediated)</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Tajikistan; Islamic banking / Cross-sectional survey / SEM</w:t>
            </w:r>
          </w:p>
        </w:tc>
      </w:tr>
      <w:tr w:rsidR="00840075" w:rsidRPr="00840075" w:rsidTr="00840075">
        <w:trPr>
          <w:trHeight w:val="385"/>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10</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Aysan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2024</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Cross-national</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Other / machine-learning risk</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 xml:space="preserve">Cross-national; Islamic banking / Archival / random forests / Predictive </w:t>
            </w:r>
            <w:r w:rsidRPr="00840075">
              <w:rPr>
                <w:rFonts w:ascii="Times New Roman" w:hAnsi="Times New Roman" w:cs="Times New Roman"/>
                <w:color w:val="000000" w:themeColor="text1"/>
                <w:sz w:val="18"/>
                <w:szCs w:val="18"/>
              </w:rPr>
              <w:lastRenderedPageBreak/>
              <w:t>ML</w:t>
            </w:r>
          </w:p>
        </w:tc>
      </w:tr>
      <w:tr w:rsidR="00840075" w:rsidRPr="00840075" w:rsidTr="00840075">
        <w:trPr>
          <w:trHeight w:val="389"/>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lastRenderedPageBreak/>
              <w:t>11</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Dawood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2022</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Cross-national</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N/A (review)</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Systematic review (FinTech trends)</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Cross-national; Islamic FinTech / Narrative SLR / Qualitative synthesis</w:t>
            </w:r>
          </w:p>
        </w:tc>
      </w:tr>
      <w:tr w:rsidR="00840075" w:rsidRPr="00840075" w:rsidTr="00840075">
        <w:trPr>
          <w:trHeight w:val="304"/>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12</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Haider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2018</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Pakistan</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TAM/UTAUT (adoption)</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Pakistan; Islamic mobile banking / Cross-sectional survey / SEM</w:t>
            </w:r>
          </w:p>
        </w:tc>
      </w:tr>
      <w:tr w:rsidR="00840075" w:rsidRPr="00840075" w:rsidTr="00840075">
        <w:trPr>
          <w:trHeight w:val="310"/>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13</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Hamsin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2023</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Indonesia</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Native FinTech</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Shariah governance &amp; data protection</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Indonesia; Sharia e-wallet / Doctrinal / qualitative / Qualitative</w:t>
            </w:r>
          </w:p>
        </w:tc>
      </w:tr>
      <w:tr w:rsidR="00840075" w:rsidRPr="00840075" w:rsidTr="00840075">
        <w:trPr>
          <w:trHeight w:val="310"/>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14</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Idrees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2024</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Cross-national</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Native FinTech</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TAM/UTAUT (adoption)</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Cross-national; FinTech customers / Cross-sectional survey / PLS-SEM</w:t>
            </w:r>
          </w:p>
        </w:tc>
      </w:tr>
      <w:tr w:rsidR="00840075" w:rsidRPr="00840075" w:rsidTr="00840075">
        <w:trPr>
          <w:trHeight w:val="310"/>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15</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Irimia-Diéguez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2024</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Cross-national</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Native FinTech</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TAM/UTAUT (Paytech)</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Islamic banking users / Cross-sectional survey / PLS-SEM</w:t>
            </w:r>
          </w:p>
        </w:tc>
      </w:tr>
      <w:tr w:rsidR="00840075" w:rsidRPr="00840075" w:rsidTr="00840075">
        <w:trPr>
          <w:trHeight w:val="304"/>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16</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Jamshidi</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2016</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Malaysia</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TAM/UTAUT (extended)</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Malaysia; Islamic credit card / Cross-sectional survey / SEM</w:t>
            </w:r>
          </w:p>
        </w:tc>
      </w:tr>
      <w:tr w:rsidR="00840075" w:rsidRPr="00840075" w:rsidTr="00840075">
        <w:trPr>
          <w:trHeight w:val="310"/>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17</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Jamshidi &amp; Hussin</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2016</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Malaysia</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TAM/UTAUT (adoption)</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Malaysia; Islamic banking / Cross-sectional survey / SEM</w:t>
            </w:r>
          </w:p>
        </w:tc>
      </w:tr>
      <w:tr w:rsidR="00840075" w:rsidRPr="00840075" w:rsidTr="00840075">
        <w:trPr>
          <w:trHeight w:val="385"/>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18</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Khan &amp; Alibrahim</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2023</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Conceptual</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N/A</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Other / cybersecurity (biometric)</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Technical; banking security / System evaluation / Technical/experimental</w:t>
            </w:r>
          </w:p>
        </w:tc>
      </w:tr>
      <w:tr w:rsidR="00840075" w:rsidRPr="00840075" w:rsidTr="00840075">
        <w:trPr>
          <w:trHeight w:val="310"/>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19</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Mansour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2016</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Sudan</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TAM/UTAUT (attitudes/adoption)</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Sudan; Islamic banks / Cross-sectional survey / Regression</w:t>
            </w:r>
          </w:p>
        </w:tc>
      </w:tr>
      <w:tr w:rsidR="00840075" w:rsidRPr="00840075" w:rsidTr="00840075">
        <w:trPr>
          <w:trHeight w:val="465"/>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Mazumder</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2022</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Bangladesh</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Other / operational &amp; cyber-risk disclosure</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Bangladesh; post-cyber-heist / Archival / textual analysis / Content/NLP analysis</w:t>
            </w:r>
          </w:p>
        </w:tc>
      </w:tr>
      <w:tr w:rsidR="00840075" w:rsidRPr="00840075" w:rsidTr="00840075">
        <w:trPr>
          <w:trHeight w:val="310"/>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21</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Mbaidin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2024</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Jordan</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Hybrid</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Shariah governance / blockchain</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Jordan; Islamic banks / Cross-sectional survey / PLS-SEM</w:t>
            </w:r>
          </w:p>
        </w:tc>
      </w:tr>
      <w:tr w:rsidR="00840075" w:rsidRPr="00840075" w:rsidTr="00840075">
        <w:trPr>
          <w:trHeight w:val="310"/>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22</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Mohd Thas Thaker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2019</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Malaysia</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TAM/UTAUT (loyalty)</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Malaysia; Islamic mobile banking / Cross-sectional survey / PLS-SEM</w:t>
            </w:r>
          </w:p>
        </w:tc>
      </w:tr>
      <w:tr w:rsidR="00840075" w:rsidRPr="00840075" w:rsidTr="00840075">
        <w:trPr>
          <w:trHeight w:val="304"/>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23</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Mulia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2021</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Indonesia</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Relationship-marketing trust (intimacy)</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Indonesia; mobile banking / Cross-sectional survey / PLS-SEM</w:t>
            </w:r>
          </w:p>
        </w:tc>
      </w:tr>
      <w:tr w:rsidR="00840075" w:rsidRPr="00840075" w:rsidTr="00840075">
        <w:trPr>
          <w:trHeight w:val="385"/>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24</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Naeem</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2019</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Cross-national</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Other / social-media trust building</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Cross-national; Islamic banking / Qualitative interviews / Thematic analysis</w:t>
            </w:r>
          </w:p>
        </w:tc>
      </w:tr>
      <w:tr w:rsidR="00840075" w:rsidRPr="00840075" w:rsidTr="00840075">
        <w:trPr>
          <w:trHeight w:val="310"/>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25</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Naeem</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2021</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Cross-national</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Relationship-marketing trust / social influence</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 xml:space="preserve">Cross-national; internet banking / Mixed methods / </w:t>
            </w:r>
            <w:r w:rsidRPr="00840075">
              <w:rPr>
                <w:rFonts w:ascii="Times New Roman" w:hAnsi="Times New Roman" w:cs="Times New Roman"/>
                <w:color w:val="000000" w:themeColor="text1"/>
                <w:sz w:val="18"/>
                <w:szCs w:val="18"/>
              </w:rPr>
              <w:lastRenderedPageBreak/>
              <w:t>Qual + survey</w:t>
            </w:r>
          </w:p>
        </w:tc>
      </w:tr>
      <w:tr w:rsidR="00840075" w:rsidRPr="00840075" w:rsidTr="00840075">
        <w:trPr>
          <w:trHeight w:val="385"/>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lastRenderedPageBreak/>
              <w:t>26</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Parayil Iqbal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2023</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Maldives</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TAM/UTAUT + institutional trust</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Maldives; Islamic mobile banking / Cross-sectional survey (n=312) / PLS-SEM</w:t>
            </w:r>
          </w:p>
        </w:tc>
      </w:tr>
      <w:tr w:rsidR="00840075" w:rsidRPr="00840075" w:rsidTr="00840075">
        <w:trPr>
          <w:trHeight w:val="310"/>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27</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Ridzuan</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2024</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Conceptual</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N/A (conceptual)</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Other / AI governance &amp; ethics</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Conceptual; financial sector / Conceptual review / Qualitative</w:t>
            </w:r>
          </w:p>
        </w:tc>
      </w:tr>
      <w:tr w:rsidR="00840075" w:rsidRPr="00840075" w:rsidTr="00840075">
        <w:trPr>
          <w:trHeight w:val="310"/>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28</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Riza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2024</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Indonesia</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Other / digital banking sustainability</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Indonesia; Islamic banking / Mixed methods / Qual + survey</w:t>
            </w:r>
          </w:p>
        </w:tc>
      </w:tr>
      <w:tr w:rsidR="00840075" w:rsidRPr="00840075" w:rsidTr="00840075">
        <w:trPr>
          <w:trHeight w:val="385"/>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29</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Shinkafi</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2017</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Conceptual</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N/A (review)</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Maqasid al-Shariah (normative only)</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Conceptual; Islamic economics / Systematic review / Qualitative synthesis</w:t>
            </w:r>
          </w:p>
        </w:tc>
      </w:tr>
      <w:tr w:rsidR="00840075" w:rsidRPr="00840075" w:rsidTr="00840075">
        <w:trPr>
          <w:trHeight w:val="385"/>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30</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Sudarsono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2020</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Indonesia</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TAM/UTAUT (COVID-19 adoption)</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Indonesia; internet banking / Cross-sectional / comparative / Regression</w:t>
            </w:r>
          </w:p>
        </w:tc>
      </w:tr>
      <w:tr w:rsidR="00840075" w:rsidRPr="00840075" w:rsidTr="00840075">
        <w:trPr>
          <w:trHeight w:val="310"/>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31</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Suhartanto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2022</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Indonesia</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Relationship-marketing trust (service quality)</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Indonesia; AI mobile banking / Cross-sectional survey / PLS-SEM</w:t>
            </w:r>
          </w:p>
        </w:tc>
      </w:tr>
      <w:tr w:rsidR="00840075" w:rsidRPr="00840075" w:rsidTr="00840075">
        <w:trPr>
          <w:trHeight w:val="310"/>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32</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Sumaedi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2015</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Indonesia</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Relationship-marketing trust (institutional)</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Indonesia; Islamic banks / Cross-sectional survey / SEM</w:t>
            </w:r>
          </w:p>
        </w:tc>
      </w:tr>
      <w:tr w:rsidR="00840075" w:rsidRPr="00840075" w:rsidTr="00840075">
        <w:trPr>
          <w:trHeight w:val="310"/>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33</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Unal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2022</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Conceptual</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N/A (review)</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Other / technology retrospective</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Conceptual; Islamic finance / Retrospective review / Qualitative</w:t>
            </w:r>
          </w:p>
        </w:tc>
      </w:tr>
      <w:tr w:rsidR="00840075" w:rsidRPr="00840075" w:rsidTr="00840075">
        <w:trPr>
          <w:trHeight w:val="304"/>
          <w:jc w:val="center"/>
        </w:trPr>
        <w:tc>
          <w:tcPr>
            <w:tcW w:w="249"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34</w:t>
            </w:r>
          </w:p>
        </w:tc>
        <w:tc>
          <w:tcPr>
            <w:tcW w:w="117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Yaseen et al.</w:t>
            </w:r>
          </w:p>
        </w:tc>
        <w:tc>
          <w:tcPr>
            <w:tcW w:w="560"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2022</w:t>
            </w:r>
          </w:p>
        </w:tc>
        <w:tc>
          <w:tcPr>
            <w:tcW w:w="1466"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Jordan</w:t>
            </w:r>
          </w:p>
        </w:tc>
        <w:tc>
          <w:tcPr>
            <w:tcW w:w="107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Legacy bank</w:t>
            </w:r>
          </w:p>
        </w:tc>
        <w:tc>
          <w:tcPr>
            <w:tcW w:w="1562"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TAM/UTAUT (adoption)</w:t>
            </w:r>
          </w:p>
        </w:tc>
        <w:tc>
          <w:tcPr>
            <w:tcW w:w="59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4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435"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No</w:t>
            </w:r>
          </w:p>
        </w:tc>
        <w:tc>
          <w:tcPr>
            <w:tcW w:w="1838" w:type="dxa"/>
          </w:tcPr>
          <w:p w:rsidR="00C75294" w:rsidRPr="00840075" w:rsidRDefault="00000000" w:rsidP="00840075">
            <w:pPr>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Jordan; Islamic mobile banking / Cross-sectional survey / PLS-SEM</w:t>
            </w:r>
          </w:p>
        </w:tc>
      </w:tr>
    </w:tbl>
    <w:p w:rsidR="00C75294" w:rsidRPr="00840075" w:rsidRDefault="00C75294" w:rsidP="00840075">
      <w:pPr>
        <w:spacing w:after="120"/>
        <w:jc w:val="both"/>
        <w:rPr>
          <w:rFonts w:ascii="Times New Roman" w:hAnsi="Times New Roman" w:cs="Times New Roman"/>
          <w:color w:val="000000" w:themeColor="text1"/>
          <w:sz w:val="18"/>
          <w:szCs w:val="18"/>
        </w:rPr>
      </w:pPr>
    </w:p>
    <w:p w:rsidR="00C75294" w:rsidRPr="00840075" w:rsidRDefault="00000000" w:rsidP="00840075">
      <w:pPr>
        <w:spacing w:after="120"/>
        <w:jc w:val="both"/>
        <w:rPr>
          <w:rFonts w:ascii="Times New Roman" w:hAnsi="Times New Roman" w:cs="Times New Roman"/>
          <w:color w:val="000000" w:themeColor="text1"/>
          <w:sz w:val="18"/>
          <w:szCs w:val="18"/>
        </w:rPr>
      </w:pPr>
      <w:r w:rsidRPr="00840075">
        <w:rPr>
          <w:rFonts w:ascii="Times New Roman" w:hAnsi="Times New Roman" w:cs="Times New Roman"/>
          <w:color w:val="000000" w:themeColor="text1"/>
          <w:sz w:val="18"/>
          <w:szCs w:val="18"/>
        </w:rPr>
        <w:t>All three focal columns read “No” for every paper, confirming the 0/34 findings reported in Section 6.1 and Table 6. Named-framework distribution: TAM/UTAUT variants 12; relationship-marketing trust 7; Shariah governance 4; Maqasid al-Shariah (normative) 1; the remaining papers use no single named behavioural framework (reviews, conceptual, technical or descriptive studies). Institution type: legacy Islamic bank 20; native Islamic FinTech 5; hybrid 2; not applicable (conceptual/technical/review) 7. PC = Privacy Calculus; M-sec = integrated Maqasid–security.</w:t>
      </w:r>
    </w:p>
    <w:sectPr w:rsidR="00C75294" w:rsidRPr="00840075" w:rsidSect="008400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rinda">
    <w:panose1 w:val="020B0604020202020204"/>
    <w:charset w:val="00"/>
    <w:family w:val="swiss"/>
    <w:pitch w:val="variable"/>
    <w:sig w:usb0="0001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67311811">
    <w:abstractNumId w:val="8"/>
  </w:num>
  <w:num w:numId="2" w16cid:durableId="2035619570">
    <w:abstractNumId w:val="6"/>
  </w:num>
  <w:num w:numId="3" w16cid:durableId="2041205005">
    <w:abstractNumId w:val="5"/>
  </w:num>
  <w:num w:numId="4" w16cid:durableId="855382925">
    <w:abstractNumId w:val="4"/>
  </w:num>
  <w:num w:numId="5" w16cid:durableId="495804974">
    <w:abstractNumId w:val="7"/>
  </w:num>
  <w:num w:numId="6" w16cid:durableId="837962169">
    <w:abstractNumId w:val="3"/>
  </w:num>
  <w:num w:numId="7" w16cid:durableId="1979601875">
    <w:abstractNumId w:val="2"/>
  </w:num>
  <w:num w:numId="8" w16cid:durableId="678779937">
    <w:abstractNumId w:val="1"/>
  </w:num>
  <w:num w:numId="9" w16cid:durableId="1188102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40075"/>
    <w:rsid w:val="00AA1D8D"/>
    <w:rsid w:val="00B47730"/>
    <w:rsid w:val="00C7529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CF93DB"/>
  <w14:defaultImageDpi w14:val="300"/>
  <w15:docId w15:val="{D2B6C000-E46B-3F47-BB42-3588C0B37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1099</Words>
  <Characters>6266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NHM Hassan Imam Chowdhury</cp:lastModifiedBy>
  <cp:revision>2</cp:revision>
  <dcterms:created xsi:type="dcterms:W3CDTF">2026-10-01T16:00:00Z</dcterms:created>
  <dcterms:modified xsi:type="dcterms:W3CDTF">2026-10-01T16:00:00Z</dcterms:modified>
  <cp:category/>
</cp:coreProperties>
</file>