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A748CD" w:rsidRPr="004A087E" w:rsidRDefault="00000000" w:rsidP="004A087E">
      <w:pPr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4A08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Supplementary Appendix B</w:t>
      </w:r>
      <w:r w:rsidR="004A087E" w:rsidRPr="004A08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:</w:t>
      </w:r>
      <w:r w:rsidRPr="004A087E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PRISMA 2020 Checklist</w:t>
      </w:r>
    </w:p>
    <w:p w:rsidR="00A748CD" w:rsidRPr="004A087E" w:rsidRDefault="00000000" w:rsidP="004A087E">
      <w:pPr>
        <w:spacing w:after="120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  <w:r w:rsidRPr="004A087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Reported against PRISMA 2020 (Page et al., 2021). Status is recorded honestly as Reported, Partly, </w:t>
      </w:r>
      <w:proofErr w:type="gramStart"/>
      <w:r w:rsidRPr="004A087E">
        <w:rPr>
          <w:rFonts w:ascii="Times New Roman" w:hAnsi="Times New Roman" w:cs="Times New Roman"/>
          <w:color w:val="000000" w:themeColor="text1"/>
          <w:sz w:val="18"/>
          <w:szCs w:val="18"/>
        </w:rPr>
        <w:t>Not</w:t>
      </w:r>
      <w:proofErr w:type="gramEnd"/>
      <w:r w:rsidRPr="004A087E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applicable, or Not done, with the manuscript location. This is a bibliometric and qualitative systematic review; it does not synthesise quantitative effect estimates, so meta-analytic items are Not applicable. A registered protocol was not lodged; the review followed SPAR-4-SLR and PRISMA 2020, which is stated rather than presented as an available registered protocol.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37"/>
        <w:gridCol w:w="3236"/>
        <w:gridCol w:w="1155"/>
        <w:gridCol w:w="3802"/>
      </w:tblGrid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4A087E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SL</w:t>
            </w:r>
          </w:p>
        </w:tc>
        <w:tc>
          <w:tcPr>
            <w:tcW w:w="3241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PRISMA 2020 item</w:t>
            </w:r>
          </w:p>
        </w:tc>
        <w:tc>
          <w:tcPr>
            <w:tcW w:w="115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Status</w:t>
            </w:r>
          </w:p>
        </w:tc>
        <w:tc>
          <w:tcPr>
            <w:tcW w:w="380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b/>
                <w:color w:val="000000" w:themeColor="text1"/>
                <w:sz w:val="18"/>
                <w:szCs w:val="18"/>
              </w:rPr>
              <w:t>Location / note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Title identifies the report as a review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Title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Abstract: structured summary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Structured abstract with Background, Methods, Results, and Conclusions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3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Rationale for the review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1</w:t>
            </w:r>
          </w:p>
        </w:tc>
      </w:tr>
      <w:tr w:rsidR="004A087E" w:rsidRPr="004A087E" w:rsidTr="004A087E">
        <w:trPr>
          <w:trHeight w:val="211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4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Objectives / questions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1 (RQ1–RQ4)</w:t>
            </w:r>
          </w:p>
        </w:tc>
      </w:tr>
      <w:tr w:rsidR="004A087E" w:rsidRPr="004A087E" w:rsidTr="004A087E">
        <w:trPr>
          <w:trHeight w:val="393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5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Eligibility criteria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3.3; record-level table in Master corpus file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6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Information sources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3.3</w:t>
            </w:r>
            <w:r w:rsid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Scopus (identification); metadata exported via Publish-or-Perish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7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Search strategy (full string)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3.3 (TITLE-ABS-KEY string)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8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Selection process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3.5–3.7; dual independent screening; Cohen's kappa = 0.40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9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 collection process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3.9</w:t>
            </w:r>
            <w:r w:rsid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independent dual TCCM coding, consensus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10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Data items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Sections 3.9–3.10; Appendices A and C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11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Study risk-of-bias assessment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Partly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MMAT criterion-level appraisal, Appendix A (empirical studies)</w:t>
            </w:r>
          </w:p>
        </w:tc>
      </w:tr>
      <w:tr w:rsidR="004A087E" w:rsidRPr="004A087E" w:rsidTr="004A087E">
        <w:trPr>
          <w:trHeight w:val="393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12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Effect measures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applicable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 quantitative effect estimates are synthesised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13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Synthesis methods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Sections 3.9–3.11</w:t>
            </w:r>
            <w:r w:rsid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,</w:t>
            </w: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 xml:space="preserve"> TCCM synthesis + title-term co-word bibliometrics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14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Reporting-bias assessment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done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 formal reporting-bias assessment was conducted; noted as a limitation (Section 8.2)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15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Certainty assessment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done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 GRADE-type certainty assessment; noted as a limitation (Section 8.2)</w:t>
            </w:r>
          </w:p>
        </w:tc>
      </w:tr>
      <w:tr w:rsidR="004A087E" w:rsidRPr="004A087E" w:rsidTr="004A087E">
        <w:trPr>
          <w:trHeight w:val="802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16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Study selection results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3.5 and Figure 2 (PRISMA flow); 200 identified → 56 excluded (both reviewers) → 144 assessed for eligibility → 110 excluded → 34 included</w:t>
            </w:r>
          </w:p>
        </w:tc>
      </w:tr>
      <w:tr w:rsidR="004A087E" w:rsidRPr="004A087E" w:rsidTr="004A087E">
        <w:trPr>
          <w:trHeight w:val="1843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17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Excluded studies with reasons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Partly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Of the 110 eligibility-stage exclusions, 8 are individually identifiable with venue evidence in the Retrieval_Eligibility sheet (six document type, one substantive scope, one unverifiable); the remainder are reconciled by stage and count in Figure 2, because per-record eligibility flags were not archived (stated as a limitation). Two post-horizon reviews are in Post_hoc_Contextual_Records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18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Study characteristics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 4; Appendices A and C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19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Risk-of-bias in studies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Partly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Appendix A (criterion-level)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20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Results of syntheses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Sections 4–6</w:t>
            </w:r>
          </w:p>
        </w:tc>
      </w:tr>
      <w:tr w:rsidR="004A087E" w:rsidRPr="004A087E" w:rsidTr="004A087E">
        <w:trPr>
          <w:trHeight w:val="211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21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Reporting biases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done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See item 14; limitation stated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22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Certainty of evidence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done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See item 15; limitation stated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23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Discussion / limitations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Sections 7–8 (limitations expanded in 8.2)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24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Registration and protocol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Partly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Not registered; SPAR-4-SLR + PRISMA 2020 followed and stated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25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Support / funding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Declarations</w:t>
            </w:r>
          </w:p>
        </w:tc>
      </w:tr>
      <w:tr w:rsidR="004A087E" w:rsidRPr="004A087E" w:rsidTr="004A087E">
        <w:trPr>
          <w:trHeight w:val="19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26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Competing interests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Declarations</w:t>
            </w:r>
          </w:p>
        </w:tc>
      </w:tr>
      <w:tr w:rsidR="004A087E" w:rsidRPr="004A087E" w:rsidTr="004A087E">
        <w:trPr>
          <w:trHeight w:val="407"/>
          <w:jc w:val="center"/>
        </w:trPr>
        <w:tc>
          <w:tcPr>
            <w:tcW w:w="425" w:type="dxa"/>
          </w:tcPr>
          <w:p w:rsidR="00A748CD" w:rsidRPr="004A087E" w:rsidRDefault="00000000">
            <w:pPr>
              <w:jc w:val="center"/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27</w:t>
            </w:r>
          </w:p>
        </w:tc>
        <w:tc>
          <w:tcPr>
            <w:tcW w:w="3241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Availability of data / materials</w:t>
            </w:r>
          </w:p>
        </w:tc>
        <w:tc>
          <w:tcPr>
            <w:tcW w:w="115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Reported</w:t>
            </w:r>
          </w:p>
        </w:tc>
        <w:tc>
          <w:tcPr>
            <w:tcW w:w="3805" w:type="dxa"/>
          </w:tcPr>
          <w:p w:rsidR="00A748CD" w:rsidRPr="004A087E" w:rsidRDefault="00000000">
            <w:pPr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</w:pPr>
            <w:r w:rsidRPr="004A087E">
              <w:rPr>
                <w:rFonts w:ascii="Times New Roman" w:hAnsi="Times New Roman" w:cs="Times New Roman"/>
                <w:color w:val="000000" w:themeColor="text1"/>
                <w:sz w:val="18"/>
                <w:szCs w:val="18"/>
              </w:rPr>
              <w:t>Declarations; derived dataset and screening files provided as supplementary</w:t>
            </w:r>
          </w:p>
        </w:tc>
      </w:tr>
    </w:tbl>
    <w:p w:rsidR="007631AA" w:rsidRPr="004A087E" w:rsidRDefault="007631AA">
      <w:pPr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sectPr w:rsidR="007631AA" w:rsidRPr="004A087E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Vrinda">
    <w:panose1 w:val="020B0604020202020204"/>
    <w:charset w:val="00"/>
    <w:family w:val="swiss"/>
    <w:pitch w:val="variable"/>
    <w:sig w:usb0="0001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01717788">
    <w:abstractNumId w:val="8"/>
  </w:num>
  <w:num w:numId="2" w16cid:durableId="1447698617">
    <w:abstractNumId w:val="6"/>
  </w:num>
  <w:num w:numId="3" w16cid:durableId="152260758">
    <w:abstractNumId w:val="5"/>
  </w:num>
  <w:num w:numId="4" w16cid:durableId="1312447039">
    <w:abstractNumId w:val="4"/>
  </w:num>
  <w:num w:numId="5" w16cid:durableId="599220069">
    <w:abstractNumId w:val="7"/>
  </w:num>
  <w:num w:numId="6" w16cid:durableId="1784302477">
    <w:abstractNumId w:val="3"/>
  </w:num>
  <w:num w:numId="7" w16cid:durableId="132411142">
    <w:abstractNumId w:val="2"/>
  </w:num>
  <w:num w:numId="8" w16cid:durableId="38751349">
    <w:abstractNumId w:val="1"/>
  </w:num>
  <w:num w:numId="9" w16cid:durableId="1747218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5074B"/>
    <w:rsid w:val="0029639D"/>
    <w:rsid w:val="00326F90"/>
    <w:rsid w:val="004A087E"/>
    <w:rsid w:val="007631AA"/>
    <w:rsid w:val="00A748CD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460EF430"/>
  <w14:defaultImageDpi w14:val="300"/>
  <w15:docId w15:val="{D2B6C000-E46B-3F47-BB42-3588C0B371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rPr>
      <w:rFonts w:ascii="Calibri" w:eastAsia="Calibri" w:hAnsi="Calibri"/>
      <w:sz w:val="21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476</Words>
  <Characters>2714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3184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NHM Hassan Imam Chowdhury</cp:lastModifiedBy>
  <cp:revision>2</cp:revision>
  <dcterms:created xsi:type="dcterms:W3CDTF">2026-10-01T15:56:00Z</dcterms:created>
  <dcterms:modified xsi:type="dcterms:W3CDTF">2026-10-01T15:56:00Z</dcterms:modified>
  <cp:category/>
</cp:coreProperties>
</file>