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51FB8" w14:textId="0B0856E2" w:rsidR="000A0C5A" w:rsidRPr="009D3B3C" w:rsidRDefault="008C2946">
      <w:pPr>
        <w:rPr>
          <w:b/>
          <w:bCs/>
          <w:sz w:val="22"/>
          <w:szCs w:val="22"/>
        </w:rPr>
      </w:pPr>
      <w:r w:rsidRPr="009D3B3C">
        <w:rPr>
          <w:b/>
          <w:bCs/>
          <w:sz w:val="22"/>
          <w:szCs w:val="22"/>
        </w:rPr>
        <w:t>Supplementary Figure Legends</w:t>
      </w:r>
    </w:p>
    <w:p w14:paraId="17B22BF8" w14:textId="77777777" w:rsidR="008C2946" w:rsidRPr="009D3B3C" w:rsidRDefault="008C2946" w:rsidP="008C2946">
      <w:pPr>
        <w:spacing w:line="480" w:lineRule="auto"/>
        <w:jc w:val="both"/>
        <w:rPr>
          <w:rFonts w:ascii="Arial" w:hAnsi="Arial" w:cs="Arial"/>
          <w:bCs/>
          <w:sz w:val="22"/>
          <w:szCs w:val="22"/>
        </w:rPr>
      </w:pPr>
      <w:r w:rsidRPr="009D3B3C">
        <w:rPr>
          <w:rFonts w:ascii="Arial" w:hAnsi="Arial" w:cs="Arial"/>
          <w:b/>
          <w:sz w:val="22"/>
          <w:szCs w:val="22"/>
        </w:rPr>
        <w:t>Supplemental Figure S1. Tumor burden after treatment of the left flank with WT-MYXV and armed MYXVs.</w:t>
      </w:r>
      <w:r w:rsidRPr="009D3B3C">
        <w:rPr>
          <w:rFonts w:ascii="Arial" w:hAnsi="Arial" w:cs="Arial"/>
          <w:bCs/>
          <w:sz w:val="22"/>
          <w:szCs w:val="22"/>
        </w:rPr>
        <w:t xml:space="preserve"> Tumor volumes on the left (A-E) and the right (F-J) flanks were measured every 2-3 days using a digital caliper after the start of treatments until tumors reached endpoint size (~1200 mm</w:t>
      </w:r>
      <w:r w:rsidRPr="009D3B3C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9D3B3C">
        <w:rPr>
          <w:rFonts w:ascii="Arial" w:hAnsi="Arial" w:cs="Arial"/>
          <w:bCs/>
          <w:sz w:val="22"/>
          <w:szCs w:val="22"/>
        </w:rPr>
        <w:t xml:space="preserve">).  </w:t>
      </w:r>
    </w:p>
    <w:p w14:paraId="294D765A" w14:textId="77777777" w:rsidR="008C2946" w:rsidRPr="009D3B3C" w:rsidRDefault="008C2946" w:rsidP="008C294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D3B3C">
        <w:rPr>
          <w:rFonts w:ascii="Arial" w:hAnsi="Arial" w:cs="Arial"/>
          <w:b/>
          <w:sz w:val="22"/>
          <w:szCs w:val="22"/>
        </w:rPr>
        <w:t>Supplemental Figure S2. Treatment with vMyx-IL15 and vMyx-mIL15Rα increases CD8</w:t>
      </w:r>
      <w:r w:rsidRPr="009D3B3C">
        <w:rPr>
          <w:rFonts w:ascii="Arial" w:hAnsi="Arial" w:cs="Arial"/>
          <w:b/>
          <w:sz w:val="22"/>
          <w:szCs w:val="22"/>
          <w:vertAlign w:val="superscript"/>
        </w:rPr>
        <w:t>+</w:t>
      </w:r>
      <w:r w:rsidRPr="009D3B3C">
        <w:rPr>
          <w:rFonts w:ascii="Arial" w:hAnsi="Arial" w:cs="Arial"/>
          <w:b/>
          <w:sz w:val="22"/>
          <w:szCs w:val="22"/>
        </w:rPr>
        <w:t xml:space="preserve"> T cell infiltration into the tumor bed.</w:t>
      </w:r>
      <w:r w:rsidRPr="009D3B3C">
        <w:rPr>
          <w:rFonts w:ascii="Arial" w:hAnsi="Arial" w:cs="Arial"/>
          <w:bCs/>
          <w:sz w:val="22"/>
          <w:szCs w:val="22"/>
        </w:rPr>
        <w:t xml:space="preserve"> BALB/c mice were inoculated with CT26 cells at day 0 via SQ injection on both flanks. Animals </w:t>
      </w:r>
      <w:proofErr w:type="gramStart"/>
      <w:r w:rsidRPr="009D3B3C">
        <w:rPr>
          <w:rFonts w:ascii="Arial" w:hAnsi="Arial" w:cs="Arial"/>
          <w:bCs/>
          <w:sz w:val="22"/>
          <w:szCs w:val="22"/>
        </w:rPr>
        <w:t>received</w:t>
      </w:r>
      <w:proofErr w:type="gramEnd"/>
      <w:r w:rsidRPr="009D3B3C">
        <w:rPr>
          <w:rFonts w:ascii="Arial" w:hAnsi="Arial" w:cs="Arial"/>
          <w:bCs/>
          <w:sz w:val="22"/>
          <w:szCs w:val="22"/>
        </w:rPr>
        <w:t xml:space="preserve"> two doses of intratumoral delivery of different MYXVs on the left hind flank. Mice were euthanized 3 days after the second virus inoculation, and tumor sections were analyzed for the presence of CD8</w:t>
      </w:r>
      <w:r w:rsidRPr="009D3B3C">
        <w:rPr>
          <w:rFonts w:ascii="Arial" w:hAnsi="Arial"/>
          <w:sz w:val="22"/>
          <w:szCs w:val="22"/>
          <w:vertAlign w:val="superscript"/>
        </w:rPr>
        <w:t>+</w:t>
      </w:r>
      <w:r w:rsidRPr="009D3B3C">
        <w:rPr>
          <w:rFonts w:ascii="Arial" w:hAnsi="Arial" w:cs="Arial"/>
          <w:bCs/>
          <w:sz w:val="22"/>
          <w:szCs w:val="22"/>
        </w:rPr>
        <w:t xml:space="preserve"> T cells by immunostaining. Results are presented as mean ± SEM. Statistically significant differences are indicated. </w:t>
      </w:r>
      <w:r w:rsidRPr="009D3B3C">
        <w:rPr>
          <w:rFonts w:ascii="Arial" w:hAnsi="Arial" w:cs="Arial"/>
          <w:bCs/>
          <w:sz w:val="22"/>
          <w:szCs w:val="22"/>
          <w:vertAlign w:val="superscript"/>
        </w:rPr>
        <w:t>ns</w:t>
      </w:r>
      <w:r w:rsidRPr="009D3B3C">
        <w:rPr>
          <w:rFonts w:ascii="Arial" w:hAnsi="Arial" w:cs="Arial"/>
          <w:bCs/>
          <w:sz w:val="22"/>
          <w:szCs w:val="22"/>
        </w:rPr>
        <w:t xml:space="preserve">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&gt; 0.05, 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0.05, 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0.01, ***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0.001, ****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0.0001. </w:t>
      </w:r>
    </w:p>
    <w:p w14:paraId="1BC22973" w14:textId="77777777" w:rsidR="008C2946" w:rsidRPr="009D3B3C" w:rsidRDefault="008C2946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9D3B3C">
        <w:rPr>
          <w:rFonts w:ascii="Arial" w:hAnsi="Arial" w:cs="Arial"/>
          <w:b/>
          <w:sz w:val="22"/>
          <w:szCs w:val="22"/>
        </w:rPr>
        <w:t>Supplemental Figure S3. Comparison of the frequencies of tumor-infiltrating lymphocytes isolated from untreated and treated tumors.</w:t>
      </w:r>
      <w:r w:rsidRPr="009D3B3C">
        <w:rPr>
          <w:rFonts w:ascii="Arial" w:hAnsi="Arial" w:cs="Arial"/>
          <w:bCs/>
          <w:sz w:val="22"/>
          <w:szCs w:val="22"/>
        </w:rPr>
        <w:t xml:space="preserve"> Tumors were processed to obtain single-cell suspensions for flow cytometric staining and analysis. Cells were stained to phenotype: A-B) CD3</w:t>
      </w:r>
      <w:r w:rsidRPr="009D3B3C">
        <w:rPr>
          <w:rFonts w:ascii="Arial" w:hAnsi="Arial" w:cs="Arial"/>
          <w:bCs/>
          <w:sz w:val="22"/>
          <w:szCs w:val="22"/>
          <w:vertAlign w:val="superscript"/>
        </w:rPr>
        <w:t>+</w:t>
      </w:r>
      <w:r w:rsidRPr="009D3B3C">
        <w:rPr>
          <w:rFonts w:ascii="Arial" w:hAnsi="Arial" w:cs="Arial"/>
          <w:bCs/>
          <w:sz w:val="22"/>
          <w:szCs w:val="22"/>
        </w:rPr>
        <w:t xml:space="preserve"> T cell lymphocytes, C-D) CD4</w:t>
      </w:r>
      <w:r w:rsidRPr="009D3B3C">
        <w:rPr>
          <w:rFonts w:ascii="Arial" w:hAnsi="Arial" w:cs="Arial"/>
          <w:bCs/>
          <w:sz w:val="22"/>
          <w:szCs w:val="22"/>
          <w:vertAlign w:val="superscript"/>
        </w:rPr>
        <w:t>+</w:t>
      </w:r>
      <w:r w:rsidRPr="009D3B3C">
        <w:rPr>
          <w:rFonts w:ascii="Arial" w:hAnsi="Arial" w:cs="Arial"/>
          <w:bCs/>
          <w:sz w:val="22"/>
          <w:szCs w:val="22"/>
        </w:rPr>
        <w:t xml:space="preserve"> T cells, E-F) CD8</w:t>
      </w:r>
      <w:r w:rsidRPr="009D3B3C">
        <w:rPr>
          <w:rFonts w:ascii="Arial" w:hAnsi="Arial" w:cs="Arial"/>
          <w:bCs/>
          <w:sz w:val="22"/>
          <w:szCs w:val="22"/>
          <w:vertAlign w:val="superscript"/>
        </w:rPr>
        <w:t>+</w:t>
      </w:r>
      <w:r w:rsidRPr="009D3B3C">
        <w:rPr>
          <w:rFonts w:ascii="Arial" w:hAnsi="Arial" w:cs="Arial"/>
          <w:bCs/>
          <w:sz w:val="22"/>
          <w:szCs w:val="22"/>
        </w:rPr>
        <w:t xml:space="preserve"> T cells. The percentage number of cells per tumor is presented in a scatter dot plot with group average. PBS: white circle; WT-MYXV: orange; mIL15: pink; </w:t>
      </w:r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t xml:space="preserve">mIL15Ra-IL15: green; </w:t>
      </w:r>
      <w:proofErr w:type="spellStart"/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t>mLIGHT</w:t>
      </w:r>
      <w:proofErr w:type="spellEnd"/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t xml:space="preserve">: blue. </w:t>
      </w:r>
      <w:r w:rsidRPr="009D3B3C">
        <w:rPr>
          <w:rFonts w:ascii="Arial" w:hAnsi="Arial" w:cs="Arial"/>
          <w:bCs/>
          <w:sz w:val="22"/>
          <w:szCs w:val="22"/>
        </w:rPr>
        <w:t xml:space="preserve"> Statistically significant differences were calculated by Brown-Forsythe and Welsh ANOVA, followed by Dunnett’s T3 multiple comparison test. 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0.03, 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0.004, ****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0.0001.</w:t>
      </w:r>
    </w:p>
    <w:p w14:paraId="02BCD096" w14:textId="77777777" w:rsidR="008C2946" w:rsidRPr="009D3B3C" w:rsidRDefault="008C2946" w:rsidP="008C2946">
      <w:pPr>
        <w:spacing w:line="480" w:lineRule="auto"/>
        <w:jc w:val="both"/>
        <w:rPr>
          <w:rFonts w:ascii="Arial" w:hAnsi="Arial" w:cs="Arial"/>
          <w:bCs/>
          <w:sz w:val="22"/>
          <w:szCs w:val="22"/>
        </w:rPr>
      </w:pPr>
      <w:r w:rsidRPr="009D3B3C">
        <w:rPr>
          <w:rFonts w:ascii="Arial" w:hAnsi="Arial" w:cs="Arial"/>
          <w:b/>
          <w:sz w:val="22"/>
          <w:szCs w:val="22"/>
        </w:rPr>
        <w:t>Supplemental Figure S4. Comparison of the frequencies of tumor-infiltrating DC and NKT cells isolated from untreated and treated tumors.</w:t>
      </w:r>
      <w:r w:rsidRPr="009D3B3C">
        <w:rPr>
          <w:rFonts w:ascii="Arial" w:hAnsi="Arial" w:cs="Arial"/>
          <w:bCs/>
          <w:sz w:val="22"/>
          <w:szCs w:val="22"/>
        </w:rPr>
        <w:t xml:space="preserve"> Tumors were processed to obtain single-cell suspensions for flow cytometric staining and analysis. Cells were stained to phenotype: A-B) NKT and C-D) DC cells. The percentage number of cells per tumor is presented in a scatter dot plot with group average. PBS: white circle; WT-MYXV: orange; mIL15: pink; </w:t>
      </w:r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t xml:space="preserve">mIL15Ra-IL15: green; </w:t>
      </w:r>
      <w:proofErr w:type="spellStart"/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lastRenderedPageBreak/>
        <w:t>mLIGHT</w:t>
      </w:r>
      <w:proofErr w:type="spellEnd"/>
      <w:r w:rsidRPr="009D3B3C">
        <w:rPr>
          <w:rFonts w:ascii="Arial" w:eastAsia="Times New Roman" w:hAnsi="Arial" w:cs="Arial"/>
          <w:color w:val="0E101A"/>
          <w:kern w:val="0"/>
          <w:sz w:val="22"/>
          <w:szCs w:val="22"/>
          <w14:ligatures w14:val="none"/>
        </w:rPr>
        <w:t xml:space="preserve">: blue. </w:t>
      </w:r>
      <w:r w:rsidRPr="009D3B3C">
        <w:rPr>
          <w:rFonts w:ascii="Arial" w:hAnsi="Arial" w:cs="Arial"/>
          <w:bCs/>
          <w:sz w:val="22"/>
          <w:szCs w:val="22"/>
        </w:rPr>
        <w:t xml:space="preserve"> Statistically significant differences were calculated by Brown-Forsythe and Welsh ANOVA, followed by Dunnett’s T3 multiple comparison test. 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0.03, 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0.004, **** </w:t>
      </w:r>
      <w:r w:rsidRPr="009D3B3C">
        <w:rPr>
          <w:rFonts w:ascii="Arial" w:hAnsi="Arial" w:cs="Arial"/>
          <w:bCs/>
          <w:i/>
          <w:iCs/>
          <w:sz w:val="22"/>
          <w:szCs w:val="22"/>
        </w:rPr>
        <w:t>P</w:t>
      </w:r>
      <w:r w:rsidRPr="009D3B3C">
        <w:rPr>
          <w:rFonts w:ascii="Arial" w:hAnsi="Arial" w:cs="Arial"/>
          <w:bCs/>
          <w:sz w:val="22"/>
          <w:szCs w:val="22"/>
        </w:rPr>
        <w:t xml:space="preserve"> &lt; 0.0001.</w:t>
      </w:r>
    </w:p>
    <w:p w14:paraId="209AB9A0" w14:textId="77777777" w:rsidR="008C2946" w:rsidRPr="009D3B3C" w:rsidRDefault="008C2946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9D3B3C">
        <w:rPr>
          <w:rFonts w:ascii="Arial" w:hAnsi="Arial" w:cs="Arial"/>
          <w:b/>
          <w:bCs/>
          <w:sz w:val="22"/>
          <w:szCs w:val="22"/>
        </w:rPr>
        <w:t xml:space="preserve">Supplemental Figure S5. A Venn diagram presenting the differential cytokine and chemokine expression in the serum after treatment with different armed MYXVs. </w:t>
      </w:r>
      <w:r w:rsidRPr="009D3B3C">
        <w:rPr>
          <w:rFonts w:ascii="Arial" w:hAnsi="Arial" w:cs="Arial"/>
          <w:sz w:val="22"/>
          <w:szCs w:val="22"/>
        </w:rPr>
        <w:t xml:space="preserve">Proteins in red and blue font were upregulated over 2-fold and under 0.8-fold, respectively. Proteins outside the Venn diagram did not have a significant change over the PBS control. </w:t>
      </w:r>
      <w:r w:rsidRPr="009D3B3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8809A15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408FF0E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1E71B71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33EF58F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1A30619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0EDEEAE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46B20F4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408DA23" w14:textId="77777777" w:rsidR="009D3B3C" w:rsidRPr="009D3B3C" w:rsidRDefault="009D3B3C" w:rsidP="008C2946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7C2D6F0" w14:textId="5EE5ABFC" w:rsidR="009D3B3C" w:rsidRPr="009D3B3C" w:rsidRDefault="009D3B3C" w:rsidP="008C294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D3B3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C03BDF6" wp14:editId="3E3DA840">
            <wp:extent cx="5943600" cy="7924800"/>
            <wp:effectExtent l="0" t="0" r="0" b="0"/>
            <wp:docPr id="980154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54570" name="Picture 9801545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6BC6" w14:textId="77777777" w:rsidR="009D3B3C" w:rsidRDefault="009D3B3C">
      <w:pPr>
        <w:rPr>
          <w:sz w:val="22"/>
          <w:szCs w:val="22"/>
        </w:rPr>
      </w:pPr>
    </w:p>
    <w:p w14:paraId="28B2B4BD" w14:textId="788E1326" w:rsidR="009D3B3C" w:rsidRDefault="009D3B3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2E95D4D" wp14:editId="0E67C6AE">
            <wp:simplePos x="0" y="0"/>
            <wp:positionH relativeFrom="column">
              <wp:posOffset>-12700</wp:posOffset>
            </wp:positionH>
            <wp:positionV relativeFrom="paragraph">
              <wp:posOffset>20955</wp:posOffset>
            </wp:positionV>
            <wp:extent cx="5943600" cy="5866130"/>
            <wp:effectExtent l="0" t="0" r="0" b="1270"/>
            <wp:wrapTight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ight>
            <wp:docPr id="772183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83233" name="Picture 7721832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74AE3" w14:textId="77777777" w:rsidR="009D3B3C" w:rsidRDefault="009D3B3C">
      <w:pPr>
        <w:rPr>
          <w:sz w:val="22"/>
          <w:szCs w:val="22"/>
        </w:rPr>
      </w:pPr>
    </w:p>
    <w:p w14:paraId="7D39D20A" w14:textId="357CCD0B" w:rsidR="009D3B3C" w:rsidRDefault="009D3B3C">
      <w:pPr>
        <w:rPr>
          <w:sz w:val="22"/>
          <w:szCs w:val="22"/>
        </w:rPr>
      </w:pPr>
    </w:p>
    <w:p w14:paraId="60BF8560" w14:textId="4DE580E1" w:rsidR="008C2946" w:rsidRDefault="008C2946">
      <w:pPr>
        <w:rPr>
          <w:sz w:val="22"/>
          <w:szCs w:val="22"/>
        </w:rPr>
      </w:pPr>
    </w:p>
    <w:p w14:paraId="6D8D4DDA" w14:textId="77777777" w:rsidR="009D3B3C" w:rsidRDefault="009D3B3C">
      <w:pPr>
        <w:rPr>
          <w:sz w:val="22"/>
          <w:szCs w:val="22"/>
        </w:rPr>
      </w:pPr>
    </w:p>
    <w:p w14:paraId="68D139E6" w14:textId="77777777" w:rsidR="009D3B3C" w:rsidRDefault="009D3B3C">
      <w:pPr>
        <w:rPr>
          <w:sz w:val="22"/>
          <w:szCs w:val="22"/>
        </w:rPr>
      </w:pPr>
    </w:p>
    <w:p w14:paraId="51B79CC9" w14:textId="3C7A23BB" w:rsidR="009D3B3C" w:rsidRDefault="005B11C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4B99FFD" wp14:editId="61F012C1">
            <wp:extent cx="5943600" cy="7924800"/>
            <wp:effectExtent l="0" t="0" r="0" b="0"/>
            <wp:docPr id="164310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0806" name="Picture 1643108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D0A8" w14:textId="77777777" w:rsidR="009D3B3C" w:rsidRDefault="009D3B3C">
      <w:pPr>
        <w:rPr>
          <w:sz w:val="22"/>
          <w:szCs w:val="22"/>
        </w:rPr>
      </w:pPr>
    </w:p>
    <w:p w14:paraId="4A7D5918" w14:textId="51DB6832" w:rsidR="005B11C7" w:rsidRDefault="005B11C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4E0ABBF3" wp14:editId="50A19579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5943600" cy="596265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136800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00596" name="Picture 11368005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1CC8" w14:textId="7D8DC2A1" w:rsidR="005B11C7" w:rsidRDefault="005B11C7">
      <w:pPr>
        <w:rPr>
          <w:sz w:val="22"/>
          <w:szCs w:val="22"/>
        </w:rPr>
      </w:pPr>
    </w:p>
    <w:p w14:paraId="16E65F18" w14:textId="7FF3455B" w:rsidR="005B11C7" w:rsidRDefault="005B11C7">
      <w:pPr>
        <w:rPr>
          <w:sz w:val="22"/>
          <w:szCs w:val="22"/>
        </w:rPr>
      </w:pPr>
    </w:p>
    <w:p w14:paraId="019C17F5" w14:textId="298441C2" w:rsidR="005B11C7" w:rsidRDefault="005B11C7">
      <w:pPr>
        <w:rPr>
          <w:sz w:val="22"/>
          <w:szCs w:val="22"/>
        </w:rPr>
      </w:pPr>
    </w:p>
    <w:p w14:paraId="3ABEB88F" w14:textId="77777777" w:rsidR="005B11C7" w:rsidRDefault="005B11C7">
      <w:pPr>
        <w:rPr>
          <w:sz w:val="22"/>
          <w:szCs w:val="22"/>
        </w:rPr>
      </w:pPr>
    </w:p>
    <w:p w14:paraId="15A3D3FA" w14:textId="77777777" w:rsidR="005B11C7" w:rsidRDefault="005B11C7">
      <w:pPr>
        <w:rPr>
          <w:sz w:val="22"/>
          <w:szCs w:val="22"/>
        </w:rPr>
      </w:pPr>
    </w:p>
    <w:p w14:paraId="4B6568BF" w14:textId="77777777" w:rsidR="005B11C7" w:rsidRDefault="005B11C7">
      <w:pPr>
        <w:rPr>
          <w:sz w:val="22"/>
          <w:szCs w:val="22"/>
        </w:rPr>
      </w:pPr>
    </w:p>
    <w:p w14:paraId="4B9407F2" w14:textId="20FB770B" w:rsidR="005B11C7" w:rsidRPr="009D3B3C" w:rsidRDefault="005B11C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A12B0F1" wp14:editId="2D9BE4B4">
            <wp:extent cx="5943600" cy="7924800"/>
            <wp:effectExtent l="0" t="0" r="0" b="0"/>
            <wp:docPr id="11608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0106" name="Picture 116080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1C7" w:rsidRPr="009D3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46"/>
    <w:rsid w:val="000A0C5A"/>
    <w:rsid w:val="005B11C7"/>
    <w:rsid w:val="008C2946"/>
    <w:rsid w:val="009D3B3C"/>
    <w:rsid w:val="00AD67FF"/>
    <w:rsid w:val="00C36035"/>
    <w:rsid w:val="00DB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DB625"/>
  <w15:chartTrackingRefBased/>
  <w15:docId w15:val="{550F9A30-3C5C-4738-BA35-59CA42DD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bn-BD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2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94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294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94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9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9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9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9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9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9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2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C294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C294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C2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29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29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9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9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29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Masmudur Rahman</dc:creator>
  <cp:keywords/>
  <dc:description/>
  <cp:lastModifiedBy>Masmudur Rahman</cp:lastModifiedBy>
  <cp:revision>2</cp:revision>
  <dcterms:created xsi:type="dcterms:W3CDTF">2026-06-18T22:22:00Z</dcterms:created>
  <dcterms:modified xsi:type="dcterms:W3CDTF">2026-06-18T22:56:00Z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ecd754dc-a003-41e4-a30f-224e39232083</vt:lpwstr>
  </property>
</Properties>
</file>