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28C985" w14:textId="77777777" w:rsidR="00FC198D" w:rsidRDefault="00000000">
      <w:pPr>
        <w:pStyle w:val="Heading1"/>
        <w:rPr>
          <w:rFonts w:ascii="Times New Roman" w:hAnsi="Times New Roman" w:cs="Times New Roman"/>
          <w:color w:val="000000" w:themeColor="text1"/>
        </w:rPr>
      </w:pPr>
      <w:r w:rsidRPr="00875478">
        <w:rPr>
          <w:rFonts w:ascii="Times New Roman" w:hAnsi="Times New Roman" w:cs="Times New Roman"/>
          <w:color w:val="000000" w:themeColor="text1"/>
        </w:rPr>
        <w:t>Extended Data</w:t>
      </w:r>
    </w:p>
    <w:p w14:paraId="169AA860" w14:textId="77777777" w:rsidR="00875478" w:rsidRPr="00875478" w:rsidRDefault="00875478" w:rsidP="00875478"/>
    <w:p w14:paraId="6CBBBE2A" w14:textId="78BEEF94" w:rsidR="00875478" w:rsidRPr="00875478" w:rsidRDefault="00875478" w:rsidP="00875478">
      <w:r w:rsidRPr="00875478">
        <w:drawing>
          <wp:inline distT="0" distB="0" distL="0" distR="0" wp14:anchorId="254BEC7A" wp14:editId="6DD74552">
            <wp:extent cx="5943600" cy="3228975"/>
            <wp:effectExtent l="0" t="0" r="0" b="9525"/>
            <wp:docPr id="306462248" name="Picture 4" descr="The image displays a graph illustrating the relationship between packing density (cells/mmￂﾲ) and oracle accuracy for different levels of transaction density (tx/cell) across a range of displacements (sigma, ￂﾵ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462248" name="Picture 4" descr="The image displays a graph illustrating the relationship between packing density (cells/mmￂﾲ) and oracle accuracy for different levels of transaction density (tx/cell) across a range of displacements (sigma, ￂﾵm).&#10;&#10;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228975"/>
                    </a:xfrm>
                    <a:prstGeom prst="rect">
                      <a:avLst/>
                    </a:prstGeom>
                    <a:noFill/>
                    <a:ln>
                      <a:noFill/>
                    </a:ln>
                  </pic:spPr>
                </pic:pic>
              </a:graphicData>
            </a:graphic>
          </wp:inline>
        </w:drawing>
      </w:r>
    </w:p>
    <w:p w14:paraId="162C88FB" w14:textId="23586A1F" w:rsidR="00875478" w:rsidRPr="00875478" w:rsidRDefault="00875478" w:rsidP="00875478"/>
    <w:p w14:paraId="1928D4FE" w14:textId="77777777" w:rsidR="00875478" w:rsidRPr="00875478" w:rsidRDefault="00875478" w:rsidP="00875478"/>
    <w:p w14:paraId="46A990A6" w14:textId="77777777" w:rsidR="00FC198D" w:rsidRDefault="00000000">
      <w:pPr>
        <w:spacing w:after="120"/>
        <w:rPr>
          <w:rFonts w:ascii="Times New Roman" w:hAnsi="Times New Roman" w:cs="Times New Roman"/>
          <w:color w:val="000000" w:themeColor="text1"/>
        </w:rPr>
      </w:pPr>
      <w:r w:rsidRPr="00875478">
        <w:rPr>
          <w:rFonts w:ascii="Times New Roman" w:hAnsi="Times New Roman" w:cs="Times New Roman"/>
          <w:color w:val="000000" w:themeColor="text1"/>
        </w:rPr>
        <w:t>Extended Data Fig. 1 | Full answerability frontier. Oracle accuracy across the complete generative grid of transcript density, cell packing, and displacement, with one-dimensional slices along each axis. Across all 125 grid points oracle accuracy ranges from 0.234 to 0.957, falling with tighter packing and larger displacement and rising with transcript abundance.</w:t>
      </w:r>
    </w:p>
    <w:p w14:paraId="31105908" w14:textId="623E9A25" w:rsidR="00875478" w:rsidRPr="00875478" w:rsidRDefault="00875478" w:rsidP="00875478">
      <w:pPr>
        <w:spacing w:after="120"/>
        <w:rPr>
          <w:rFonts w:ascii="Times New Roman" w:hAnsi="Times New Roman" w:cs="Times New Roman"/>
          <w:color w:val="000000" w:themeColor="text1"/>
        </w:rPr>
      </w:pPr>
      <w:r w:rsidRPr="00875478">
        <w:rPr>
          <w:rFonts w:ascii="Times New Roman" w:hAnsi="Times New Roman" w:cs="Times New Roman"/>
          <w:color w:val="000000" w:themeColor="text1"/>
        </w:rPr>
        <w:lastRenderedPageBreak/>
        <w:drawing>
          <wp:inline distT="0" distB="0" distL="0" distR="0" wp14:anchorId="38019DD2" wp14:editId="226DEAD9">
            <wp:extent cx="5943600" cy="2939415"/>
            <wp:effectExtent l="0" t="0" r="0" b="0"/>
            <wp:docPr id="1069853948" name="Picture 6" descr="The image shows a comparison of gene expression levels (transcripts/cell) and packing density (cells/mmￂﾲ) between two cell types, Xenium breast and MERFISH hypothalamus, with a calibration curve for data normaliz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853948" name="Picture 6" descr="The image shows a comparison of gene expression levels (transcripts/cell) and packing density (cells/mmￂﾲ) between two cell types, Xenium breast and MERFISH hypothalamus, with a calibration curve for data normalization.&#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2939415"/>
                    </a:xfrm>
                    <a:prstGeom prst="rect">
                      <a:avLst/>
                    </a:prstGeom>
                    <a:noFill/>
                    <a:ln>
                      <a:noFill/>
                    </a:ln>
                  </pic:spPr>
                </pic:pic>
              </a:graphicData>
            </a:graphic>
          </wp:inline>
        </w:drawing>
      </w:r>
    </w:p>
    <w:p w14:paraId="17BE27E7" w14:textId="77777777" w:rsidR="00875478" w:rsidRPr="00875478" w:rsidRDefault="00875478">
      <w:pPr>
        <w:spacing w:after="120"/>
        <w:rPr>
          <w:rFonts w:ascii="Times New Roman" w:hAnsi="Times New Roman" w:cs="Times New Roman"/>
          <w:color w:val="000000" w:themeColor="text1"/>
        </w:rPr>
      </w:pPr>
    </w:p>
    <w:p w14:paraId="721F00A0" w14:textId="77777777" w:rsidR="00FC198D" w:rsidRDefault="00000000">
      <w:pPr>
        <w:spacing w:after="120"/>
        <w:rPr>
          <w:rFonts w:ascii="Times New Roman" w:hAnsi="Times New Roman" w:cs="Times New Roman"/>
          <w:color w:val="000000" w:themeColor="text1"/>
        </w:rPr>
      </w:pPr>
      <w:r w:rsidRPr="00875478">
        <w:rPr>
          <w:rFonts w:ascii="Times New Roman" w:hAnsi="Times New Roman" w:cs="Times New Roman"/>
          <w:color w:val="000000" w:themeColor="text1"/>
        </w:rPr>
        <w:t>Extended Data Fig. 2 | Generator calibration to real tissue. Per-statistic comparison of the synthetic generator with public Xenium and MERFISH fields: median transcripts per cell match within 1.52% and cell packing matches exactly (difference 1.4e-16). The oracle equals or exceeds the naive nearest-center baseline at all 125 grid points, with a minimum margin of +0.006.</w:t>
      </w:r>
    </w:p>
    <w:p w14:paraId="6E922610" w14:textId="77777777" w:rsidR="00875478" w:rsidRDefault="00875478">
      <w:pPr>
        <w:spacing w:after="120"/>
        <w:rPr>
          <w:rFonts w:ascii="Times New Roman" w:hAnsi="Times New Roman" w:cs="Times New Roman"/>
          <w:color w:val="000000" w:themeColor="text1"/>
        </w:rPr>
      </w:pPr>
    </w:p>
    <w:p w14:paraId="317EF864" w14:textId="12EDAAD7" w:rsidR="00875478" w:rsidRPr="00875478" w:rsidRDefault="00875478">
      <w:pPr>
        <w:spacing w:after="120"/>
        <w:rPr>
          <w:rFonts w:ascii="Times New Roman" w:hAnsi="Times New Roman" w:cs="Times New Roman"/>
          <w:color w:val="000000" w:themeColor="text1"/>
        </w:rPr>
      </w:pPr>
      <w:r w:rsidRPr="00875478">
        <w:rPr>
          <w:rFonts w:ascii="Times New Roman" w:hAnsi="Times New Roman" w:cs="Times New Roman"/>
          <w:color w:val="000000" w:themeColor="text1"/>
        </w:rPr>
        <w:drawing>
          <wp:inline distT="0" distB="0" distL="0" distR="0" wp14:anchorId="1A2753B7" wp14:editId="4A6511EF">
            <wp:extent cx="5943600" cy="2936240"/>
            <wp:effectExtent l="0" t="0" r="0" b="0"/>
            <wp:docPr id="2058976177" name="Picture 8" descr="The diagram illustrates a comparison of gene expression levels between an oracle (true) and a naive (false) prediction, with a focus on the robustness of an extended data set to overlapping gene express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976177" name="Picture 8" descr="The diagram illustrates a comparison of gene expression levels between an oracle (true) and a naive (false) prediction, with a focus on the robustness of an extended data set to overlapping gene expressions.&#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2936240"/>
                    </a:xfrm>
                    <a:prstGeom prst="rect">
                      <a:avLst/>
                    </a:prstGeom>
                    <a:noFill/>
                    <a:ln>
                      <a:noFill/>
                    </a:ln>
                  </pic:spPr>
                </pic:pic>
              </a:graphicData>
            </a:graphic>
          </wp:inline>
        </w:drawing>
      </w:r>
    </w:p>
    <w:p w14:paraId="2A67EF8A" w14:textId="77777777" w:rsidR="00FC198D" w:rsidRPr="00875478" w:rsidRDefault="00000000">
      <w:pPr>
        <w:spacing w:after="120"/>
        <w:rPr>
          <w:rFonts w:ascii="Times New Roman" w:hAnsi="Times New Roman" w:cs="Times New Roman"/>
          <w:color w:val="000000" w:themeColor="text1"/>
        </w:rPr>
      </w:pPr>
      <w:r w:rsidRPr="00875478">
        <w:rPr>
          <w:rFonts w:ascii="Times New Roman" w:hAnsi="Times New Roman" w:cs="Times New Roman"/>
          <w:color w:val="000000" w:themeColor="text1"/>
        </w:rPr>
        <w:t xml:space="preserve">Extended Data Fig. 3 | Robustness to realistic overlapping expression. Answerability frontier under idealized versus realistic overlapping per-type expression. The frontier is essentially unchanged, with an assignment-frontier </w:t>
      </w:r>
      <w:proofErr w:type="gramStart"/>
      <w:r w:rsidRPr="00875478">
        <w:rPr>
          <w:rFonts w:ascii="Times New Roman" w:hAnsi="Times New Roman" w:cs="Times New Roman"/>
          <w:color w:val="000000" w:themeColor="text1"/>
        </w:rPr>
        <w:t>mean</w:t>
      </w:r>
      <w:proofErr w:type="gramEnd"/>
      <w:r w:rsidRPr="00875478">
        <w:rPr>
          <w:rFonts w:ascii="Times New Roman" w:hAnsi="Times New Roman" w:cs="Times New Roman"/>
          <w:color w:val="000000" w:themeColor="text1"/>
        </w:rPr>
        <w:t xml:space="preserve"> absolute difference of 0.006, and the oracle-minus-naive gap is preserved at 0.071 against 0.066.</w:t>
      </w:r>
    </w:p>
    <w:p w14:paraId="7F16806B" w14:textId="3356FFD9" w:rsidR="00875478" w:rsidRPr="00875478" w:rsidRDefault="00875478" w:rsidP="00875478">
      <w:pPr>
        <w:spacing w:after="120"/>
        <w:rPr>
          <w:rFonts w:ascii="Times New Roman" w:hAnsi="Times New Roman" w:cs="Times New Roman"/>
          <w:color w:val="000000" w:themeColor="text1"/>
        </w:rPr>
      </w:pPr>
      <w:r w:rsidRPr="00875478">
        <w:rPr>
          <w:rFonts w:ascii="Times New Roman" w:hAnsi="Times New Roman" w:cs="Times New Roman"/>
          <w:color w:val="000000" w:themeColor="text1"/>
        </w:rPr>
        <w:lastRenderedPageBreak/>
        <w:drawing>
          <wp:inline distT="0" distB="0" distL="0" distR="0" wp14:anchorId="0D9DF040" wp14:editId="2FBEEBB3">
            <wp:extent cx="5943600" cy="2769235"/>
            <wp:effectExtent l="0" t="0" r="0" b="0"/>
            <wp:docPr id="1087229593" name="Picture 10" descr="The diagram illustrates a comparison of model robustness to various configurations, showing a consistent performance of the oracle model across different cell densities and signaling a slight improvement over the naive mod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229593" name="Picture 10" descr="The diagram illustrates a comparison of model robustness to various configurations, showing a consistent performance of the oracle model across different cell densities and signaling a slight improvement over the naive model.&#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769235"/>
                    </a:xfrm>
                    <a:prstGeom prst="rect">
                      <a:avLst/>
                    </a:prstGeom>
                    <a:noFill/>
                    <a:ln>
                      <a:noFill/>
                    </a:ln>
                  </pic:spPr>
                </pic:pic>
              </a:graphicData>
            </a:graphic>
          </wp:inline>
        </w:drawing>
      </w:r>
    </w:p>
    <w:p w14:paraId="4B987E15" w14:textId="77777777" w:rsidR="00875478" w:rsidRDefault="00875478">
      <w:pPr>
        <w:spacing w:after="120"/>
        <w:rPr>
          <w:rFonts w:ascii="Times New Roman" w:hAnsi="Times New Roman" w:cs="Times New Roman"/>
          <w:color w:val="000000" w:themeColor="text1"/>
        </w:rPr>
      </w:pPr>
    </w:p>
    <w:p w14:paraId="705D4CE2" w14:textId="3A14D0BC" w:rsidR="00FC198D" w:rsidRDefault="00000000">
      <w:pPr>
        <w:spacing w:after="120"/>
        <w:rPr>
          <w:rFonts w:ascii="Times New Roman" w:hAnsi="Times New Roman" w:cs="Times New Roman"/>
          <w:color w:val="000000" w:themeColor="text1"/>
        </w:rPr>
      </w:pPr>
      <w:r w:rsidRPr="00875478">
        <w:rPr>
          <w:rFonts w:ascii="Times New Roman" w:hAnsi="Times New Roman" w:cs="Times New Roman"/>
          <w:color w:val="000000" w:themeColor="text1"/>
        </w:rPr>
        <w:t>Extended Data Fig. 4 | Robustness to model shape. The dense-tissue bound under negative-binomial within-type expression variance (dispersion near 4.19; dense-accuracy shift -0.016), non-Voronoi cell geometry, and non-Gaussian displacement. The bound holds under each departure from the idealized model.</w:t>
      </w:r>
    </w:p>
    <w:p w14:paraId="145B68C5" w14:textId="2DBC0F55" w:rsidR="00875478" w:rsidRPr="00875478" w:rsidRDefault="00875478" w:rsidP="00875478">
      <w:pPr>
        <w:spacing w:after="120"/>
        <w:rPr>
          <w:rFonts w:ascii="Times New Roman" w:hAnsi="Times New Roman" w:cs="Times New Roman"/>
          <w:color w:val="000000" w:themeColor="text1"/>
        </w:rPr>
      </w:pPr>
      <w:r w:rsidRPr="00875478">
        <w:rPr>
          <w:rFonts w:ascii="Times New Roman" w:hAnsi="Times New Roman" w:cs="Times New Roman"/>
          <w:color w:val="000000" w:themeColor="text1"/>
        </w:rPr>
        <w:lastRenderedPageBreak/>
        <w:drawing>
          <wp:inline distT="0" distB="0" distL="0" distR="0" wp14:anchorId="69B65EB0" wp14:editId="2752D4EA">
            <wp:extent cx="5943600" cy="7988935"/>
            <wp:effectExtent l="0" t="0" r="0" b="0"/>
            <wp:docPr id="760311032" name="Picture 12" descr="The image displays a table with gene names, their associated signal values, p-values, and a binary indicator of their admissibility (rejected or admissible) in a marker-validity test for adjacent-minus-distant signal permutat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311032" name="Picture 12" descr="The image displays a table with gene names, their associated signal values, p-values, and a binary indicator of their admissibility (rejected or admissible) in a marker-validity test for adjacent-minus-distant signal permutations.&#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988935"/>
                    </a:xfrm>
                    <a:prstGeom prst="rect">
                      <a:avLst/>
                    </a:prstGeom>
                    <a:noFill/>
                    <a:ln>
                      <a:noFill/>
                    </a:ln>
                  </pic:spPr>
                </pic:pic>
              </a:graphicData>
            </a:graphic>
          </wp:inline>
        </w:drawing>
      </w:r>
    </w:p>
    <w:p w14:paraId="101DEBAA" w14:textId="77777777" w:rsidR="00875478" w:rsidRPr="00875478" w:rsidRDefault="00875478">
      <w:pPr>
        <w:spacing w:after="120"/>
        <w:rPr>
          <w:rFonts w:ascii="Times New Roman" w:hAnsi="Times New Roman" w:cs="Times New Roman"/>
          <w:color w:val="000000" w:themeColor="text1"/>
        </w:rPr>
      </w:pPr>
    </w:p>
    <w:p w14:paraId="465B6C71" w14:textId="77777777" w:rsidR="00FC198D" w:rsidRDefault="00000000">
      <w:pPr>
        <w:spacing w:after="120"/>
        <w:rPr>
          <w:rFonts w:ascii="Times New Roman" w:hAnsi="Times New Roman" w:cs="Times New Roman"/>
          <w:color w:val="000000" w:themeColor="text1"/>
        </w:rPr>
      </w:pPr>
      <w:r w:rsidRPr="00875478">
        <w:rPr>
          <w:rFonts w:ascii="Times New Roman" w:hAnsi="Times New Roman" w:cs="Times New Roman"/>
          <w:color w:val="000000" w:themeColor="text1"/>
        </w:rPr>
        <w:t>Extended Data Fig. 5 | Marker-validity test, per-marker detail (table). For each candidate marker, the adjacent-minus-distant expression signal and its position-permutation P value over 1,000 permutations, for breast (28 of 38 markers admissible) and lung (31 of 32 admissible). Markers that fail the test are listed explicitly; admissibility is determined without reference to the displacement a marker implies, which is what makes the estimate non-circular.</w:t>
      </w:r>
    </w:p>
    <w:p w14:paraId="42C58547" w14:textId="77777777" w:rsidR="00875478" w:rsidRDefault="00875478">
      <w:pPr>
        <w:spacing w:after="120"/>
        <w:rPr>
          <w:rFonts w:ascii="Times New Roman" w:hAnsi="Times New Roman" w:cs="Times New Roman"/>
          <w:color w:val="000000" w:themeColor="text1"/>
        </w:rPr>
      </w:pPr>
    </w:p>
    <w:p w14:paraId="0A0E85C9" w14:textId="38EA0D4E" w:rsidR="00875478" w:rsidRPr="00875478" w:rsidRDefault="00875478" w:rsidP="00875478">
      <w:pPr>
        <w:spacing w:after="120"/>
        <w:rPr>
          <w:rFonts w:ascii="Times New Roman" w:hAnsi="Times New Roman" w:cs="Times New Roman"/>
          <w:color w:val="000000" w:themeColor="text1"/>
        </w:rPr>
      </w:pPr>
      <w:r w:rsidRPr="00875478">
        <w:rPr>
          <w:rFonts w:ascii="Times New Roman" w:hAnsi="Times New Roman" w:cs="Times New Roman"/>
          <w:color w:val="000000" w:themeColor="text1"/>
        </w:rPr>
        <w:drawing>
          <wp:inline distT="0" distB="0" distL="0" distR="0" wp14:anchorId="3360223E" wp14:editId="3165BEBB">
            <wp:extent cx="5943600" cy="2643505"/>
            <wp:effectExtent l="0" t="0" r="0" b="4445"/>
            <wp:docPr id="249732315" name="Picture 14" descr="The image displays a table comparing the accuracy of cell-typing across different cell counts (K=10, 14, 20) and seed types, showing the range of displacement (um) and the 95% confidence interval for the dense oracle accurac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732315" name="Picture 14" descr="The image displays a table comparing the accuracy of cell-typing across different cell counts (K=10, 14, 20) and seed types, showing the range of displacement (um) and the 95% confidence interval for the dense oracle accuracy.&#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643505"/>
                    </a:xfrm>
                    <a:prstGeom prst="rect">
                      <a:avLst/>
                    </a:prstGeom>
                    <a:noFill/>
                    <a:ln>
                      <a:noFill/>
                    </a:ln>
                  </pic:spPr>
                </pic:pic>
              </a:graphicData>
            </a:graphic>
          </wp:inline>
        </w:drawing>
      </w:r>
    </w:p>
    <w:p w14:paraId="51EABA00" w14:textId="77777777" w:rsidR="00875478" w:rsidRPr="00875478" w:rsidRDefault="00875478">
      <w:pPr>
        <w:spacing w:after="120"/>
        <w:rPr>
          <w:rFonts w:ascii="Times New Roman" w:hAnsi="Times New Roman" w:cs="Times New Roman"/>
          <w:color w:val="000000" w:themeColor="text1"/>
        </w:rPr>
      </w:pPr>
    </w:p>
    <w:p w14:paraId="3C5C0C15" w14:textId="77777777" w:rsidR="00FC198D" w:rsidRDefault="00000000">
      <w:pPr>
        <w:spacing w:after="120"/>
        <w:rPr>
          <w:rFonts w:ascii="Times New Roman" w:hAnsi="Times New Roman" w:cs="Times New Roman"/>
          <w:color w:val="000000" w:themeColor="text1"/>
        </w:rPr>
      </w:pPr>
      <w:r w:rsidRPr="00875478">
        <w:rPr>
          <w:rFonts w:ascii="Times New Roman" w:hAnsi="Times New Roman" w:cs="Times New Roman"/>
          <w:color w:val="000000" w:themeColor="text1"/>
        </w:rPr>
        <w:t xml:space="preserve">Extended Data Fig. 6 | Cell-typing stability. Pinned displacement and dense-tissue oracle accuracy across alternative cell-typing choices. Pinned displacement ranges over 1.99 to 2.65 </w:t>
      </w:r>
      <w:proofErr w:type="spellStart"/>
      <w:r w:rsidRPr="00875478">
        <w:rPr>
          <w:rFonts w:ascii="Times New Roman" w:hAnsi="Times New Roman" w:cs="Times New Roman"/>
          <w:color w:val="000000" w:themeColor="text1"/>
        </w:rPr>
        <w:t>micrometres</w:t>
      </w:r>
      <w:proofErr w:type="spellEnd"/>
      <w:r w:rsidRPr="00875478">
        <w:rPr>
          <w:rFonts w:ascii="Times New Roman" w:hAnsi="Times New Roman" w:cs="Times New Roman"/>
          <w:color w:val="000000" w:themeColor="text1"/>
        </w:rPr>
        <w:t xml:space="preserve"> and dense accuracy never exceeds 0.803, so the bound is stable to how cell types are defined.</w:t>
      </w:r>
    </w:p>
    <w:p w14:paraId="3AA51D08" w14:textId="77777777" w:rsidR="00875478" w:rsidRDefault="00875478">
      <w:pPr>
        <w:spacing w:after="120"/>
        <w:rPr>
          <w:rFonts w:ascii="Times New Roman" w:hAnsi="Times New Roman" w:cs="Times New Roman"/>
          <w:color w:val="000000" w:themeColor="text1"/>
        </w:rPr>
      </w:pPr>
    </w:p>
    <w:p w14:paraId="2B3A32FD" w14:textId="3E4ECE67" w:rsidR="00875478" w:rsidRPr="00875478" w:rsidRDefault="00875478" w:rsidP="00875478">
      <w:pPr>
        <w:spacing w:after="120"/>
        <w:rPr>
          <w:rFonts w:ascii="Times New Roman" w:hAnsi="Times New Roman" w:cs="Times New Roman"/>
          <w:color w:val="000000" w:themeColor="text1"/>
        </w:rPr>
      </w:pPr>
      <w:r w:rsidRPr="00875478">
        <w:rPr>
          <w:rFonts w:ascii="Times New Roman" w:hAnsi="Times New Roman" w:cs="Times New Roman"/>
          <w:color w:val="000000" w:themeColor="text1"/>
        </w:rPr>
        <w:lastRenderedPageBreak/>
        <w:drawing>
          <wp:inline distT="0" distB="0" distL="0" distR="0" wp14:anchorId="3A6AB8A4" wp14:editId="4A0EB5EA">
            <wp:extent cx="5943600" cy="3756660"/>
            <wp:effectExtent l="0" t="0" r="0" b="0"/>
            <wp:docPr id="595092982" name="Picture 16" descr="The diagram illustrates a graph showing the relationship between data point displacement and selection accuracy, indicating a threshold where the accuracy significantly drops as the displacement increases, particularly for dense data poi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092982" name="Picture 16" descr="The diagram illustrates a graph showing the relationship between data point displacement and selection accuracy, indicating a threshold where the accuracy significantly drops as the displacement increases, particularly for dense data points.&#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756660"/>
                    </a:xfrm>
                    <a:prstGeom prst="rect">
                      <a:avLst/>
                    </a:prstGeom>
                    <a:noFill/>
                    <a:ln>
                      <a:noFill/>
                    </a:ln>
                  </pic:spPr>
                </pic:pic>
              </a:graphicData>
            </a:graphic>
          </wp:inline>
        </w:drawing>
      </w:r>
    </w:p>
    <w:p w14:paraId="19BC9633" w14:textId="77777777" w:rsidR="00875478" w:rsidRPr="00875478" w:rsidRDefault="00875478">
      <w:pPr>
        <w:spacing w:after="120"/>
        <w:rPr>
          <w:rFonts w:ascii="Times New Roman" w:hAnsi="Times New Roman" w:cs="Times New Roman"/>
          <w:color w:val="000000" w:themeColor="text1"/>
        </w:rPr>
      </w:pPr>
    </w:p>
    <w:p w14:paraId="32486416" w14:textId="77777777" w:rsidR="00FC198D" w:rsidRDefault="00000000">
      <w:pPr>
        <w:spacing w:after="120"/>
        <w:rPr>
          <w:rFonts w:ascii="Times New Roman" w:hAnsi="Times New Roman" w:cs="Times New Roman"/>
          <w:color w:val="000000" w:themeColor="text1"/>
        </w:rPr>
      </w:pPr>
      <w:r w:rsidRPr="00875478">
        <w:rPr>
          <w:rFonts w:ascii="Times New Roman" w:hAnsi="Times New Roman" w:cs="Times New Roman"/>
          <w:color w:val="000000" w:themeColor="text1"/>
        </w:rPr>
        <w:t xml:space="preserve">Extended Data Fig. 7 | Selection-on-significance sensitivity. Dense-tissue oracle accuracy as a function of assumed displacement, showing that displacement would have to fall roughly fivefold below the pinned value to lift dense accuracy out of the constrained regime. The lung dataset, in which only 1 of 32 markers was rejected, serves as a near-zero-selection control and yields </w:t>
      </w:r>
      <w:proofErr w:type="gramStart"/>
      <w:r w:rsidRPr="00875478">
        <w:rPr>
          <w:rFonts w:ascii="Times New Roman" w:hAnsi="Times New Roman" w:cs="Times New Roman"/>
          <w:color w:val="000000" w:themeColor="text1"/>
        </w:rPr>
        <w:t>a consistent</w:t>
      </w:r>
      <w:proofErr w:type="gramEnd"/>
      <w:r w:rsidRPr="00875478">
        <w:rPr>
          <w:rFonts w:ascii="Times New Roman" w:hAnsi="Times New Roman" w:cs="Times New Roman"/>
          <w:color w:val="000000" w:themeColor="text1"/>
        </w:rPr>
        <w:t xml:space="preserve"> displacement.</w:t>
      </w:r>
    </w:p>
    <w:p w14:paraId="323CC6CB" w14:textId="5DB520DA" w:rsidR="00875478" w:rsidRPr="00875478" w:rsidRDefault="00875478">
      <w:pPr>
        <w:spacing w:after="120"/>
        <w:rPr>
          <w:rFonts w:ascii="Times New Roman" w:hAnsi="Times New Roman" w:cs="Times New Roman"/>
          <w:color w:val="000000" w:themeColor="text1"/>
        </w:rPr>
      </w:pPr>
      <w:r w:rsidRPr="00875478">
        <w:rPr>
          <w:rFonts w:ascii="Times New Roman" w:hAnsi="Times New Roman" w:cs="Times New Roman"/>
          <w:color w:val="000000" w:themeColor="text1"/>
        </w:rPr>
        <w:lastRenderedPageBreak/>
        <w:drawing>
          <wp:inline distT="0" distB="0" distL="0" distR="0" wp14:anchorId="4AB87EA8" wp14:editId="439BC62E">
            <wp:extent cx="5943600" cy="6587490"/>
            <wp:effectExtent l="0" t="0" r="0" b="3810"/>
            <wp:docPr id="1515809800" name="Picture 18" descr="The image displays a table comparing various segmentation methods (Baysor, Proseg, ComSeg) against the oracle and nearest-nucleus, with metrics such as one-to-one, many-to-one homogeneity, and co-assignment (ARI) for different densiti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809800" name="Picture 18" descr="The image displays a table comparing various segmentation methods (Baysor, Proseg, ComSeg) against the oracle and nearest-nucleus, with metrics such as one-to-one, many-to-one homogeneity, and co-assignment (ARI) for different densities.&#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6587490"/>
                    </a:xfrm>
                    <a:prstGeom prst="rect">
                      <a:avLst/>
                    </a:prstGeom>
                    <a:noFill/>
                    <a:ln>
                      <a:noFill/>
                    </a:ln>
                  </pic:spPr>
                </pic:pic>
              </a:graphicData>
            </a:graphic>
          </wp:inline>
        </w:drawing>
      </w:r>
    </w:p>
    <w:p w14:paraId="1E346D65" w14:textId="77777777" w:rsidR="00FC198D" w:rsidRPr="00875478" w:rsidRDefault="00000000">
      <w:pPr>
        <w:spacing w:after="120"/>
        <w:rPr>
          <w:rFonts w:ascii="Times New Roman" w:hAnsi="Times New Roman" w:cs="Times New Roman"/>
          <w:color w:val="000000" w:themeColor="text1"/>
        </w:rPr>
      </w:pPr>
      <w:r w:rsidRPr="00875478">
        <w:rPr>
          <w:rFonts w:ascii="Times New Roman" w:hAnsi="Times New Roman" w:cs="Times New Roman"/>
          <w:color w:val="000000" w:themeColor="text1"/>
        </w:rPr>
        <w:t xml:space="preserve">Extended Data Fig. 8 | Method-headroom metrics (table). One-to-one matched accuracy, many-to-one homogeneity, and co-assignment metrics for </w:t>
      </w:r>
      <w:proofErr w:type="spellStart"/>
      <w:r w:rsidRPr="00875478">
        <w:rPr>
          <w:rFonts w:ascii="Times New Roman" w:hAnsi="Times New Roman" w:cs="Times New Roman"/>
          <w:color w:val="000000" w:themeColor="text1"/>
        </w:rPr>
        <w:t>Baysor</w:t>
      </w:r>
      <w:proofErr w:type="spellEnd"/>
      <w:r w:rsidRPr="00875478">
        <w:rPr>
          <w:rFonts w:ascii="Times New Roman" w:hAnsi="Times New Roman" w:cs="Times New Roman"/>
          <w:color w:val="000000" w:themeColor="text1"/>
        </w:rPr>
        <w:t xml:space="preserve"> (0.7.1), </w:t>
      </w:r>
      <w:proofErr w:type="spellStart"/>
      <w:r w:rsidRPr="00875478">
        <w:rPr>
          <w:rFonts w:ascii="Times New Roman" w:hAnsi="Times New Roman" w:cs="Times New Roman"/>
          <w:color w:val="000000" w:themeColor="text1"/>
        </w:rPr>
        <w:t>Proseg</w:t>
      </w:r>
      <w:proofErr w:type="spellEnd"/>
      <w:r w:rsidRPr="00875478">
        <w:rPr>
          <w:rFonts w:ascii="Times New Roman" w:hAnsi="Times New Roman" w:cs="Times New Roman"/>
          <w:color w:val="000000" w:themeColor="text1"/>
        </w:rPr>
        <w:t xml:space="preserve"> (3.1.1), and </w:t>
      </w:r>
      <w:proofErr w:type="spellStart"/>
      <w:r w:rsidRPr="00875478">
        <w:rPr>
          <w:rFonts w:ascii="Times New Roman" w:hAnsi="Times New Roman" w:cs="Times New Roman"/>
          <w:color w:val="000000" w:themeColor="text1"/>
        </w:rPr>
        <w:t>ComSeg</w:t>
      </w:r>
      <w:proofErr w:type="spellEnd"/>
      <w:r w:rsidRPr="00875478">
        <w:rPr>
          <w:rFonts w:ascii="Times New Roman" w:hAnsi="Times New Roman" w:cs="Times New Roman"/>
          <w:color w:val="000000" w:themeColor="text1"/>
        </w:rPr>
        <w:t xml:space="preserve"> (1.8.5), against the oracle and the nearest-nucleus baseline in dense tissue, given true nuclei. The best </w:t>
      </w:r>
      <w:proofErr w:type="gramStart"/>
      <w:r w:rsidRPr="00875478">
        <w:rPr>
          <w:rFonts w:ascii="Times New Roman" w:hAnsi="Times New Roman" w:cs="Times New Roman"/>
          <w:color w:val="000000" w:themeColor="text1"/>
        </w:rPr>
        <w:t>fairly configured</w:t>
      </w:r>
      <w:proofErr w:type="gramEnd"/>
      <w:r w:rsidRPr="00875478">
        <w:rPr>
          <w:rFonts w:ascii="Times New Roman" w:hAnsi="Times New Roman" w:cs="Times New Roman"/>
          <w:color w:val="000000" w:themeColor="text1"/>
        </w:rPr>
        <w:t xml:space="preserve"> method remains 0.066 to 0.110 below the oracle. Against nearest-nucleus the comparison is metric-dependent and within run-to-run noise (about 0.012): one-to-one -0.009 to -0.004, many-to-one up to +0.009, co-assignment up to +0.019. Without a </w:t>
      </w:r>
      <w:proofErr w:type="gramStart"/>
      <w:r w:rsidRPr="00875478">
        <w:rPr>
          <w:rFonts w:ascii="Times New Roman" w:hAnsi="Times New Roman" w:cs="Times New Roman"/>
          <w:color w:val="000000" w:themeColor="text1"/>
        </w:rPr>
        <w:t>nuclei</w:t>
      </w:r>
      <w:proofErr w:type="gramEnd"/>
      <w:r w:rsidRPr="00875478">
        <w:rPr>
          <w:rFonts w:ascii="Times New Roman" w:hAnsi="Times New Roman" w:cs="Times New Roman"/>
          <w:color w:val="000000" w:themeColor="text1"/>
        </w:rPr>
        <w:t xml:space="preserve"> prior, only </w:t>
      </w:r>
      <w:proofErr w:type="spellStart"/>
      <w:r w:rsidRPr="00875478">
        <w:rPr>
          <w:rFonts w:ascii="Times New Roman" w:hAnsi="Times New Roman" w:cs="Times New Roman"/>
          <w:color w:val="000000" w:themeColor="text1"/>
        </w:rPr>
        <w:t>Baysor</w:t>
      </w:r>
      <w:proofErr w:type="spellEnd"/>
      <w:r w:rsidRPr="00875478">
        <w:rPr>
          <w:rFonts w:ascii="Times New Roman" w:hAnsi="Times New Roman" w:cs="Times New Roman"/>
          <w:color w:val="000000" w:themeColor="text1"/>
        </w:rPr>
        <w:t xml:space="preserve"> runs de novo, at 0.521 against nearest-nucleus 0.639.</w:t>
      </w:r>
    </w:p>
    <w:p w14:paraId="7B88FEAA" w14:textId="14D1C14A" w:rsidR="00875478" w:rsidRPr="00875478" w:rsidRDefault="00875478" w:rsidP="00875478">
      <w:pPr>
        <w:spacing w:after="120"/>
        <w:rPr>
          <w:rFonts w:ascii="Times New Roman" w:hAnsi="Times New Roman" w:cs="Times New Roman"/>
          <w:color w:val="000000" w:themeColor="text1"/>
        </w:rPr>
      </w:pPr>
      <w:r w:rsidRPr="00875478">
        <w:rPr>
          <w:rFonts w:ascii="Times New Roman" w:hAnsi="Times New Roman" w:cs="Times New Roman"/>
          <w:color w:val="000000" w:themeColor="text1"/>
        </w:rPr>
        <w:lastRenderedPageBreak/>
        <w:drawing>
          <wp:inline distT="0" distB="0" distL="0" distR="0" wp14:anchorId="34FA25CD" wp14:editId="449C84B4">
            <wp:extent cx="5943600" cy="2764155"/>
            <wp:effectExtent l="0" t="0" r="0" b="0"/>
            <wp:docPr id="562357986" name="Picture 20" descr="The image displays a table summarizing data statistics for various datasets, including cell counts, median nanoparticle packing, and median nanoparticle transmission per cell, for different tissues like Xenium breast, lung, and colorectal, with some values being unavailable or not committed to CSV fi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357986" name="Picture 20" descr="The image displays a table summarizing data statistics for various datasets, including cell counts, median nanoparticle packing, and median nanoparticle transmission per cell, for different tissues like Xenium breast, lung, and colorectal, with some values being unavailable or not committed to CSV files.&#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764155"/>
                    </a:xfrm>
                    <a:prstGeom prst="rect">
                      <a:avLst/>
                    </a:prstGeom>
                    <a:noFill/>
                    <a:ln>
                      <a:noFill/>
                    </a:ln>
                  </pic:spPr>
                </pic:pic>
              </a:graphicData>
            </a:graphic>
          </wp:inline>
        </w:drawing>
      </w:r>
    </w:p>
    <w:p w14:paraId="6BFCEFF8" w14:textId="77777777" w:rsidR="00875478" w:rsidRDefault="00875478">
      <w:pPr>
        <w:spacing w:after="120"/>
        <w:rPr>
          <w:rFonts w:ascii="Times New Roman" w:hAnsi="Times New Roman" w:cs="Times New Roman"/>
          <w:color w:val="000000" w:themeColor="text1"/>
        </w:rPr>
      </w:pPr>
    </w:p>
    <w:p w14:paraId="5C558784" w14:textId="08BA3E83" w:rsidR="00FC198D" w:rsidRDefault="00000000">
      <w:pPr>
        <w:spacing w:after="120"/>
        <w:rPr>
          <w:rFonts w:ascii="Times New Roman" w:hAnsi="Times New Roman" w:cs="Times New Roman"/>
          <w:color w:val="000000" w:themeColor="text1"/>
        </w:rPr>
      </w:pPr>
      <w:r w:rsidRPr="00875478">
        <w:rPr>
          <w:rFonts w:ascii="Times New Roman" w:hAnsi="Times New Roman" w:cs="Times New Roman"/>
          <w:color w:val="000000" w:themeColor="text1"/>
        </w:rPr>
        <w:t>Extended Data Fig. 9 | Per-dataset summary statistics (table). Cell counts, cell packing, and nearest-neighbor distances for the four datasets: Xenium breast (167,780 cells; section median packing 6,534 cells/mm2), Xenium lung (150,365 cells), Xenium colorectal (388,175 cells; median packing 17,424 cells/mm2), and MERFISH hypothalamus. The colorectal and hypothalamus cell counts are the published dataset sizes, cited via their accessions.</w:t>
      </w:r>
    </w:p>
    <w:p w14:paraId="67B8BA0F" w14:textId="2B2CA28E" w:rsidR="00875478" w:rsidRPr="00875478" w:rsidRDefault="00875478" w:rsidP="00875478">
      <w:pPr>
        <w:spacing w:after="120"/>
        <w:rPr>
          <w:rFonts w:ascii="Times New Roman" w:hAnsi="Times New Roman" w:cs="Times New Roman"/>
          <w:color w:val="000000" w:themeColor="text1"/>
        </w:rPr>
      </w:pPr>
      <w:r w:rsidRPr="00875478">
        <w:rPr>
          <w:rFonts w:ascii="Times New Roman" w:hAnsi="Times New Roman" w:cs="Times New Roman"/>
          <w:color w:val="000000" w:themeColor="text1"/>
        </w:rPr>
        <w:drawing>
          <wp:inline distT="0" distB="0" distL="0" distR="0" wp14:anchorId="4E107080" wp14:editId="2CCCB730">
            <wp:extent cx="5943600" cy="3474720"/>
            <wp:effectExtent l="0" t="0" r="0" b="0"/>
            <wp:docPr id="1688884146" name="Picture 22" descr="The image displays a graph comparing the oracle accuracy of ROI localization in different tissue sections, showing the number of true triples and synthetic triples, and indicating the percentage of adjacent trip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884146" name="Picture 22" descr="The image displays a graph comparing the oracle accuracy of ROI localization in different tissue sections, showing the number of true triples and synthetic triples, and indicating the percentage of adjacent triples.&#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474720"/>
                    </a:xfrm>
                    <a:prstGeom prst="rect">
                      <a:avLst/>
                    </a:prstGeom>
                    <a:noFill/>
                    <a:ln>
                      <a:noFill/>
                    </a:ln>
                  </pic:spPr>
                </pic:pic>
              </a:graphicData>
            </a:graphic>
          </wp:inline>
        </w:drawing>
      </w:r>
    </w:p>
    <w:p w14:paraId="6A9BB2F9" w14:textId="77777777" w:rsidR="00875478" w:rsidRPr="00875478" w:rsidRDefault="00875478">
      <w:pPr>
        <w:spacing w:after="120"/>
        <w:rPr>
          <w:rFonts w:ascii="Times New Roman" w:hAnsi="Times New Roman" w:cs="Times New Roman"/>
          <w:color w:val="000000" w:themeColor="text1"/>
        </w:rPr>
      </w:pPr>
    </w:p>
    <w:p w14:paraId="583CCC43" w14:textId="77777777" w:rsidR="00FC198D" w:rsidRPr="00875478" w:rsidRDefault="00000000">
      <w:pPr>
        <w:spacing w:after="120"/>
        <w:rPr>
          <w:rFonts w:ascii="Times New Roman" w:hAnsi="Times New Roman" w:cs="Times New Roman"/>
          <w:color w:val="000000" w:themeColor="text1"/>
        </w:rPr>
      </w:pPr>
      <w:r w:rsidRPr="00875478">
        <w:rPr>
          <w:rFonts w:ascii="Times New Roman" w:hAnsi="Times New Roman" w:cs="Times New Roman"/>
          <w:color w:val="000000" w:themeColor="text1"/>
        </w:rPr>
        <w:t xml:space="preserve">Extended Data Fig. 10 | Worked-example detail. Region-of-interest localization (local packing 7,985 against a section median of 6,534 cells/mm2; densest tumor nest 9,329 cells/mm2) and the full Leg 2 </w:t>
      </w:r>
      <w:r w:rsidRPr="00875478">
        <w:rPr>
          <w:rFonts w:ascii="Times New Roman" w:hAnsi="Times New Roman" w:cs="Times New Roman"/>
          <w:color w:val="000000" w:themeColor="text1"/>
        </w:rPr>
        <w:lastRenderedPageBreak/>
        <w:t xml:space="preserve">mechanism table: apparent triple-positive rate under a displacement sweep, with field-average, adjacency-conditioned, and local rates, and the zero-displacement control. Pure displacement produces 0% spurious apparent triple-positives at zero displacement and 1.26%, rising to 1.96% at the upper displacement interval, among cells adjacent to a progesterone-receptor source, against 24.2% observed in the same adjacency condition, a roughly </w:t>
      </w:r>
      <w:proofErr w:type="spellStart"/>
      <w:r w:rsidRPr="00875478">
        <w:rPr>
          <w:rFonts w:ascii="Times New Roman" w:hAnsi="Times New Roman" w:cs="Times New Roman"/>
          <w:color w:val="000000" w:themeColor="text1"/>
        </w:rPr>
        <w:t>nineteenfold</w:t>
      </w:r>
      <w:proofErr w:type="spellEnd"/>
      <w:r w:rsidRPr="00875478">
        <w:rPr>
          <w:rFonts w:ascii="Times New Roman" w:hAnsi="Times New Roman" w:cs="Times New Roman"/>
          <w:color w:val="000000" w:themeColor="text1"/>
        </w:rPr>
        <w:t xml:space="preserve"> under-production. Oracle accuracy in the region is 0.799 (optimistic interval end 0.86) and 0.783 at the densest nest; PGR is detected in 2.9% of cells; the 165 apparent triple-positives represent 0.098% of the section.</w:t>
      </w:r>
    </w:p>
    <w:sectPr w:rsidR="00FC198D" w:rsidRPr="00875478">
      <w:pgSz w:w="12240" w:h="15840"/>
      <w:pgMar w:top="1440" w:right="1440" w:bottom="1440" w:left="1440"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62387E"/>
    <w:multiLevelType w:val="hybridMultilevel"/>
    <w:tmpl w:val="0C9E7424"/>
    <w:lvl w:ilvl="0" w:tplc="17045AEC">
      <w:start w:val="1"/>
      <w:numFmt w:val="bullet"/>
      <w:lvlText w:val="●"/>
      <w:lvlJc w:val="left"/>
      <w:pPr>
        <w:ind w:left="720" w:hanging="360"/>
      </w:pPr>
    </w:lvl>
    <w:lvl w:ilvl="1" w:tplc="6ED6684E">
      <w:start w:val="1"/>
      <w:numFmt w:val="bullet"/>
      <w:lvlText w:val="○"/>
      <w:lvlJc w:val="left"/>
      <w:pPr>
        <w:ind w:left="1440" w:hanging="360"/>
      </w:pPr>
    </w:lvl>
    <w:lvl w:ilvl="2" w:tplc="E8ACCC3C">
      <w:start w:val="1"/>
      <w:numFmt w:val="bullet"/>
      <w:lvlText w:val="■"/>
      <w:lvlJc w:val="left"/>
      <w:pPr>
        <w:ind w:left="2160" w:hanging="360"/>
      </w:pPr>
    </w:lvl>
    <w:lvl w:ilvl="3" w:tplc="926EEEAC">
      <w:start w:val="1"/>
      <w:numFmt w:val="bullet"/>
      <w:lvlText w:val="●"/>
      <w:lvlJc w:val="left"/>
      <w:pPr>
        <w:ind w:left="2880" w:hanging="360"/>
      </w:pPr>
    </w:lvl>
    <w:lvl w:ilvl="4" w:tplc="DDD84366">
      <w:start w:val="1"/>
      <w:numFmt w:val="bullet"/>
      <w:lvlText w:val="○"/>
      <w:lvlJc w:val="left"/>
      <w:pPr>
        <w:ind w:left="3600" w:hanging="360"/>
      </w:pPr>
    </w:lvl>
    <w:lvl w:ilvl="5" w:tplc="F38497E2">
      <w:start w:val="1"/>
      <w:numFmt w:val="bullet"/>
      <w:lvlText w:val="■"/>
      <w:lvlJc w:val="left"/>
      <w:pPr>
        <w:ind w:left="4320" w:hanging="360"/>
      </w:pPr>
    </w:lvl>
    <w:lvl w:ilvl="6" w:tplc="259C1BD8">
      <w:start w:val="1"/>
      <w:numFmt w:val="bullet"/>
      <w:lvlText w:val="●"/>
      <w:lvlJc w:val="left"/>
      <w:pPr>
        <w:ind w:left="5040" w:hanging="360"/>
      </w:pPr>
    </w:lvl>
    <w:lvl w:ilvl="7" w:tplc="7CE24D30">
      <w:start w:val="1"/>
      <w:numFmt w:val="bullet"/>
      <w:lvlText w:val="●"/>
      <w:lvlJc w:val="left"/>
      <w:pPr>
        <w:ind w:left="5760" w:hanging="360"/>
      </w:pPr>
    </w:lvl>
    <w:lvl w:ilvl="8" w:tplc="B6ECEC68">
      <w:start w:val="1"/>
      <w:numFmt w:val="bullet"/>
      <w:lvlText w:val="●"/>
      <w:lvlJc w:val="left"/>
      <w:pPr>
        <w:ind w:left="6480" w:hanging="360"/>
      </w:pPr>
    </w:lvl>
  </w:abstractNum>
  <w:abstractNum w:abstractNumId="1" w15:restartNumberingAfterBreak="0">
    <w:nsid w:val="37E46037"/>
    <w:multiLevelType w:val="hybridMultilevel"/>
    <w:tmpl w:val="CDC8107C"/>
    <w:lvl w:ilvl="0" w:tplc="BD6EC47E">
      <w:start w:val="1"/>
      <w:numFmt w:val="bullet"/>
      <w:lvlText w:val="•"/>
      <w:lvlJc w:val="left"/>
      <w:pPr>
        <w:ind w:left="720" w:hanging="360"/>
      </w:pPr>
    </w:lvl>
    <w:lvl w:ilvl="1" w:tplc="CE2E6D74">
      <w:numFmt w:val="decimal"/>
      <w:lvlText w:val=""/>
      <w:lvlJc w:val="left"/>
    </w:lvl>
    <w:lvl w:ilvl="2" w:tplc="6F3CBBC0">
      <w:numFmt w:val="decimal"/>
      <w:lvlText w:val=""/>
      <w:lvlJc w:val="left"/>
    </w:lvl>
    <w:lvl w:ilvl="3" w:tplc="4CBE88AE">
      <w:numFmt w:val="decimal"/>
      <w:lvlText w:val=""/>
      <w:lvlJc w:val="left"/>
    </w:lvl>
    <w:lvl w:ilvl="4" w:tplc="F4F4DBD2">
      <w:numFmt w:val="decimal"/>
      <w:lvlText w:val=""/>
      <w:lvlJc w:val="left"/>
    </w:lvl>
    <w:lvl w:ilvl="5" w:tplc="B280688C">
      <w:numFmt w:val="decimal"/>
      <w:lvlText w:val=""/>
      <w:lvlJc w:val="left"/>
    </w:lvl>
    <w:lvl w:ilvl="6" w:tplc="2C5C1444">
      <w:numFmt w:val="decimal"/>
      <w:lvlText w:val=""/>
      <w:lvlJc w:val="left"/>
    </w:lvl>
    <w:lvl w:ilvl="7" w:tplc="D972870A">
      <w:numFmt w:val="decimal"/>
      <w:lvlText w:val=""/>
      <w:lvlJc w:val="left"/>
    </w:lvl>
    <w:lvl w:ilvl="8" w:tplc="F9749B36">
      <w:numFmt w:val="decimal"/>
      <w:lvlText w:val=""/>
      <w:lvlJc w:val="left"/>
    </w:lvl>
  </w:abstractNum>
  <w:num w:numId="1" w16cid:durableId="2021856723">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7"/>
  <w:displayBackgroundShape/>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198D"/>
    <w:rsid w:val="006E7757"/>
    <w:rsid w:val="00875478"/>
    <w:rsid w:val="00FC198D"/>
    <w:rsid w:val="00FE78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246467"/>
  <w15:docId w15:val="{88DC770E-640E-4E77-A0D3-EFF6D7F14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7838"/>
  </w:style>
  <w:style w:type="paragraph" w:styleId="Heading1">
    <w:name w:val="heading 1"/>
    <w:basedOn w:val="Normal"/>
    <w:next w:val="Normal"/>
    <w:link w:val="Heading1Char"/>
    <w:uiPriority w:val="9"/>
    <w:qFormat/>
    <w:rsid w:val="00FE7838"/>
    <w:pPr>
      <w:keepNext/>
      <w:keepLines/>
      <w:spacing w:before="400" w:after="40" w:line="240" w:lineRule="auto"/>
      <w:outlineLvl w:val="0"/>
    </w:pPr>
    <w:rPr>
      <w:rFonts w:asciiTheme="majorHAnsi" w:eastAsiaTheme="majorEastAsia" w:hAnsiTheme="majorHAnsi" w:cstheme="majorBidi"/>
      <w:color w:val="0A2F41" w:themeColor="accent1" w:themeShade="80"/>
      <w:sz w:val="36"/>
      <w:szCs w:val="36"/>
    </w:rPr>
  </w:style>
  <w:style w:type="paragraph" w:styleId="Heading2">
    <w:name w:val="heading 2"/>
    <w:basedOn w:val="Normal"/>
    <w:next w:val="Normal"/>
    <w:link w:val="Heading2Char"/>
    <w:uiPriority w:val="9"/>
    <w:semiHidden/>
    <w:unhideWhenUsed/>
    <w:qFormat/>
    <w:rsid w:val="00FE7838"/>
    <w:pPr>
      <w:keepNext/>
      <w:keepLines/>
      <w:spacing w:before="40" w:after="0" w:line="240"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E7838"/>
    <w:pPr>
      <w:keepNext/>
      <w:keepLines/>
      <w:spacing w:before="40" w:after="0" w:line="240" w:lineRule="auto"/>
      <w:outlineLvl w:val="2"/>
    </w:pPr>
    <w:rPr>
      <w:rFonts w:asciiTheme="majorHAnsi" w:eastAsiaTheme="majorEastAsia" w:hAnsiTheme="maj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E7838"/>
    <w:pPr>
      <w:keepNext/>
      <w:keepLines/>
      <w:spacing w:before="40" w:after="0"/>
      <w:outlineLvl w:val="3"/>
    </w:pPr>
    <w:rPr>
      <w:rFonts w:asciiTheme="majorHAnsi" w:eastAsiaTheme="majorEastAsia" w:hAnsiTheme="majorHAnsi" w:cstheme="majorBidi"/>
      <w:color w:val="0F4761" w:themeColor="accent1" w:themeShade="BF"/>
      <w:sz w:val="24"/>
      <w:szCs w:val="24"/>
    </w:rPr>
  </w:style>
  <w:style w:type="paragraph" w:styleId="Heading5">
    <w:name w:val="heading 5"/>
    <w:basedOn w:val="Normal"/>
    <w:next w:val="Normal"/>
    <w:link w:val="Heading5Char"/>
    <w:uiPriority w:val="9"/>
    <w:semiHidden/>
    <w:unhideWhenUsed/>
    <w:qFormat/>
    <w:rsid w:val="00FE7838"/>
    <w:pPr>
      <w:keepNext/>
      <w:keepLines/>
      <w:spacing w:before="40" w:after="0"/>
      <w:outlineLvl w:val="4"/>
    </w:pPr>
    <w:rPr>
      <w:rFonts w:asciiTheme="majorHAnsi" w:eastAsiaTheme="majorEastAsia" w:hAnsiTheme="majorHAnsi" w:cstheme="majorBidi"/>
      <w:caps/>
      <w:color w:val="0F4761" w:themeColor="accent1" w:themeShade="BF"/>
    </w:rPr>
  </w:style>
  <w:style w:type="paragraph" w:styleId="Heading6">
    <w:name w:val="heading 6"/>
    <w:basedOn w:val="Normal"/>
    <w:next w:val="Normal"/>
    <w:link w:val="Heading6Char"/>
    <w:uiPriority w:val="9"/>
    <w:semiHidden/>
    <w:unhideWhenUsed/>
    <w:qFormat/>
    <w:rsid w:val="00FE7838"/>
    <w:pPr>
      <w:keepNext/>
      <w:keepLines/>
      <w:spacing w:before="40" w:after="0"/>
      <w:outlineLvl w:val="5"/>
    </w:pPr>
    <w:rPr>
      <w:rFonts w:asciiTheme="majorHAnsi" w:eastAsiaTheme="majorEastAsia" w:hAnsiTheme="majorHAnsi" w:cstheme="majorBidi"/>
      <w:i/>
      <w:iCs/>
      <w:caps/>
      <w:color w:val="0A2F41" w:themeColor="accent1" w:themeShade="80"/>
    </w:rPr>
  </w:style>
  <w:style w:type="paragraph" w:styleId="Heading7">
    <w:name w:val="heading 7"/>
    <w:basedOn w:val="Normal"/>
    <w:next w:val="Normal"/>
    <w:link w:val="Heading7Char"/>
    <w:uiPriority w:val="9"/>
    <w:semiHidden/>
    <w:unhideWhenUsed/>
    <w:qFormat/>
    <w:rsid w:val="00FE7838"/>
    <w:pPr>
      <w:keepNext/>
      <w:keepLines/>
      <w:spacing w:before="40" w:after="0"/>
      <w:outlineLvl w:val="6"/>
    </w:pPr>
    <w:rPr>
      <w:rFonts w:asciiTheme="majorHAnsi" w:eastAsiaTheme="majorEastAsia" w:hAnsiTheme="majorHAnsi" w:cstheme="majorBidi"/>
      <w:b/>
      <w:bCs/>
      <w:color w:val="0A2F41" w:themeColor="accent1" w:themeShade="80"/>
    </w:rPr>
  </w:style>
  <w:style w:type="paragraph" w:styleId="Heading8">
    <w:name w:val="heading 8"/>
    <w:basedOn w:val="Normal"/>
    <w:next w:val="Normal"/>
    <w:link w:val="Heading8Char"/>
    <w:uiPriority w:val="9"/>
    <w:semiHidden/>
    <w:unhideWhenUsed/>
    <w:qFormat/>
    <w:rsid w:val="00FE7838"/>
    <w:pPr>
      <w:keepNext/>
      <w:keepLines/>
      <w:spacing w:before="40" w:after="0"/>
      <w:outlineLvl w:val="7"/>
    </w:pPr>
    <w:rPr>
      <w:rFonts w:asciiTheme="majorHAnsi" w:eastAsiaTheme="majorEastAsia" w:hAnsiTheme="majorHAnsi" w:cstheme="majorBidi"/>
      <w:b/>
      <w:bCs/>
      <w:i/>
      <w:iCs/>
      <w:color w:val="0A2F41" w:themeColor="accent1" w:themeShade="80"/>
    </w:rPr>
  </w:style>
  <w:style w:type="paragraph" w:styleId="Heading9">
    <w:name w:val="heading 9"/>
    <w:basedOn w:val="Normal"/>
    <w:next w:val="Normal"/>
    <w:link w:val="Heading9Char"/>
    <w:uiPriority w:val="9"/>
    <w:semiHidden/>
    <w:unhideWhenUsed/>
    <w:qFormat/>
    <w:rsid w:val="00FE7838"/>
    <w:pPr>
      <w:keepNext/>
      <w:keepLines/>
      <w:spacing w:before="40" w:after="0"/>
      <w:outlineLvl w:val="8"/>
    </w:pPr>
    <w:rPr>
      <w:rFonts w:asciiTheme="majorHAnsi" w:eastAsiaTheme="majorEastAsia" w:hAnsiTheme="majorHAnsi" w:cstheme="majorBidi"/>
      <w:i/>
      <w:iCs/>
      <w:color w:val="0A2F41" w:themeColor="accent1" w:themeShade="8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E7838"/>
    <w:pPr>
      <w:spacing w:after="0" w:line="204" w:lineRule="auto"/>
      <w:contextualSpacing/>
    </w:pPr>
    <w:rPr>
      <w:rFonts w:asciiTheme="majorHAnsi" w:eastAsiaTheme="majorEastAsia" w:hAnsiTheme="majorHAnsi" w:cstheme="majorBidi"/>
      <w:caps/>
      <w:color w:val="0E2841" w:themeColor="text2"/>
      <w:spacing w:val="-15"/>
      <w:sz w:val="72"/>
      <w:szCs w:val="72"/>
    </w:rPr>
  </w:style>
  <w:style w:type="paragraph" w:customStyle="1" w:styleId="Strong1">
    <w:name w:val="Strong1"/>
    <w:rPr>
      <w:b/>
      <w:bCs/>
    </w:rPr>
  </w:style>
  <w:style w:type="paragraph" w:styleId="ListParagraph">
    <w:name w:val="List Paragraph"/>
    <w:uiPriority w:val="34"/>
    <w:qFormat/>
    <w:pPr>
      <w:ind w:left="720"/>
      <w:contextualSpacing/>
    </w:pPr>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pPr>
      <w:spacing w:after="0" w:line="240" w:lineRule="auto"/>
    </w:pPr>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pPr>
      <w:spacing w:after="0" w:line="240" w:lineRule="auto"/>
    </w:pPr>
    <w:rPr>
      <w:sz w:val="20"/>
      <w:szCs w:val="20"/>
    </w:rPr>
  </w:style>
  <w:style w:type="character" w:customStyle="1" w:styleId="EndnoteTextChar">
    <w:name w:val="Endnote Text Char"/>
    <w:link w:val="EndnoteText"/>
    <w:uiPriority w:val="99"/>
    <w:semiHidden/>
    <w:unhideWhenUsed/>
    <w:rPr>
      <w:sz w:val="20"/>
      <w:szCs w:val="20"/>
    </w:rPr>
  </w:style>
  <w:style w:type="character" w:customStyle="1" w:styleId="Heading1Char">
    <w:name w:val="Heading 1 Char"/>
    <w:basedOn w:val="DefaultParagraphFont"/>
    <w:link w:val="Heading1"/>
    <w:uiPriority w:val="9"/>
    <w:rsid w:val="00FE7838"/>
    <w:rPr>
      <w:rFonts w:asciiTheme="majorHAnsi" w:eastAsiaTheme="majorEastAsia" w:hAnsiTheme="majorHAnsi" w:cstheme="majorBidi"/>
      <w:color w:val="0A2F41" w:themeColor="accent1" w:themeShade="80"/>
      <w:sz w:val="36"/>
      <w:szCs w:val="36"/>
    </w:rPr>
  </w:style>
  <w:style w:type="character" w:customStyle="1" w:styleId="Heading2Char">
    <w:name w:val="Heading 2 Char"/>
    <w:basedOn w:val="DefaultParagraphFont"/>
    <w:link w:val="Heading2"/>
    <w:uiPriority w:val="9"/>
    <w:semiHidden/>
    <w:rsid w:val="00FE783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E7838"/>
    <w:rPr>
      <w:rFonts w:asciiTheme="majorHAnsi" w:eastAsiaTheme="majorEastAsia" w:hAnsiTheme="maj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E7838"/>
    <w:rPr>
      <w:rFonts w:asciiTheme="majorHAnsi" w:eastAsiaTheme="majorEastAsia" w:hAnsiTheme="majorHAnsi" w:cstheme="majorBidi"/>
      <w:color w:val="0F4761" w:themeColor="accent1" w:themeShade="BF"/>
      <w:sz w:val="24"/>
      <w:szCs w:val="24"/>
    </w:rPr>
  </w:style>
  <w:style w:type="character" w:customStyle="1" w:styleId="Heading5Char">
    <w:name w:val="Heading 5 Char"/>
    <w:basedOn w:val="DefaultParagraphFont"/>
    <w:link w:val="Heading5"/>
    <w:uiPriority w:val="9"/>
    <w:semiHidden/>
    <w:rsid w:val="00FE7838"/>
    <w:rPr>
      <w:rFonts w:asciiTheme="majorHAnsi" w:eastAsiaTheme="majorEastAsia" w:hAnsiTheme="majorHAnsi" w:cstheme="majorBidi"/>
      <w:caps/>
      <w:color w:val="0F4761" w:themeColor="accent1" w:themeShade="BF"/>
    </w:rPr>
  </w:style>
  <w:style w:type="character" w:customStyle="1" w:styleId="Heading6Char">
    <w:name w:val="Heading 6 Char"/>
    <w:basedOn w:val="DefaultParagraphFont"/>
    <w:link w:val="Heading6"/>
    <w:uiPriority w:val="9"/>
    <w:semiHidden/>
    <w:rsid w:val="00FE7838"/>
    <w:rPr>
      <w:rFonts w:asciiTheme="majorHAnsi" w:eastAsiaTheme="majorEastAsia" w:hAnsiTheme="majorHAnsi" w:cstheme="majorBidi"/>
      <w:i/>
      <w:iCs/>
      <w:caps/>
      <w:color w:val="0A2F41" w:themeColor="accent1" w:themeShade="80"/>
    </w:rPr>
  </w:style>
  <w:style w:type="character" w:customStyle="1" w:styleId="Heading7Char">
    <w:name w:val="Heading 7 Char"/>
    <w:basedOn w:val="DefaultParagraphFont"/>
    <w:link w:val="Heading7"/>
    <w:uiPriority w:val="9"/>
    <w:semiHidden/>
    <w:rsid w:val="00FE7838"/>
    <w:rPr>
      <w:rFonts w:asciiTheme="majorHAnsi" w:eastAsiaTheme="majorEastAsia" w:hAnsiTheme="majorHAnsi" w:cstheme="majorBidi"/>
      <w:b/>
      <w:bCs/>
      <w:color w:val="0A2F41" w:themeColor="accent1" w:themeShade="80"/>
    </w:rPr>
  </w:style>
  <w:style w:type="character" w:customStyle="1" w:styleId="Heading8Char">
    <w:name w:val="Heading 8 Char"/>
    <w:basedOn w:val="DefaultParagraphFont"/>
    <w:link w:val="Heading8"/>
    <w:uiPriority w:val="9"/>
    <w:semiHidden/>
    <w:rsid w:val="00FE7838"/>
    <w:rPr>
      <w:rFonts w:asciiTheme="majorHAnsi" w:eastAsiaTheme="majorEastAsia" w:hAnsiTheme="majorHAnsi" w:cstheme="majorBidi"/>
      <w:b/>
      <w:bCs/>
      <w:i/>
      <w:iCs/>
      <w:color w:val="0A2F41" w:themeColor="accent1" w:themeShade="80"/>
    </w:rPr>
  </w:style>
  <w:style w:type="character" w:customStyle="1" w:styleId="Heading9Char">
    <w:name w:val="Heading 9 Char"/>
    <w:basedOn w:val="DefaultParagraphFont"/>
    <w:link w:val="Heading9"/>
    <w:uiPriority w:val="9"/>
    <w:semiHidden/>
    <w:rsid w:val="00FE7838"/>
    <w:rPr>
      <w:rFonts w:asciiTheme="majorHAnsi" w:eastAsiaTheme="majorEastAsia" w:hAnsiTheme="majorHAnsi" w:cstheme="majorBidi"/>
      <w:i/>
      <w:iCs/>
      <w:color w:val="0A2F41" w:themeColor="accent1" w:themeShade="80"/>
    </w:rPr>
  </w:style>
  <w:style w:type="paragraph" w:styleId="Caption">
    <w:name w:val="caption"/>
    <w:basedOn w:val="Normal"/>
    <w:next w:val="Normal"/>
    <w:uiPriority w:val="35"/>
    <w:semiHidden/>
    <w:unhideWhenUsed/>
    <w:qFormat/>
    <w:rsid w:val="00FE7838"/>
    <w:pPr>
      <w:spacing w:line="240" w:lineRule="auto"/>
    </w:pPr>
    <w:rPr>
      <w:b/>
      <w:bCs/>
      <w:smallCaps/>
      <w:color w:val="0E2841" w:themeColor="text2"/>
    </w:rPr>
  </w:style>
  <w:style w:type="character" w:customStyle="1" w:styleId="TitleChar">
    <w:name w:val="Title Char"/>
    <w:basedOn w:val="DefaultParagraphFont"/>
    <w:link w:val="Title"/>
    <w:uiPriority w:val="10"/>
    <w:rsid w:val="00FE7838"/>
    <w:rPr>
      <w:rFonts w:asciiTheme="majorHAnsi" w:eastAsiaTheme="majorEastAsia" w:hAnsiTheme="majorHAnsi" w:cstheme="majorBidi"/>
      <w:caps/>
      <w:color w:val="0E2841" w:themeColor="text2"/>
      <w:spacing w:val="-15"/>
      <w:sz w:val="72"/>
      <w:szCs w:val="72"/>
    </w:rPr>
  </w:style>
  <w:style w:type="paragraph" w:styleId="Subtitle">
    <w:name w:val="Subtitle"/>
    <w:basedOn w:val="Normal"/>
    <w:next w:val="Normal"/>
    <w:link w:val="SubtitleChar"/>
    <w:uiPriority w:val="11"/>
    <w:qFormat/>
    <w:rsid w:val="00FE7838"/>
    <w:pPr>
      <w:numPr>
        <w:ilvl w:val="1"/>
      </w:numPr>
      <w:spacing w:after="240" w:line="240" w:lineRule="auto"/>
    </w:pPr>
    <w:rPr>
      <w:rFonts w:asciiTheme="majorHAnsi" w:eastAsiaTheme="majorEastAsia" w:hAnsiTheme="majorHAnsi" w:cstheme="majorBidi"/>
      <w:color w:val="156082" w:themeColor="accent1"/>
      <w:sz w:val="28"/>
      <w:szCs w:val="28"/>
    </w:rPr>
  </w:style>
  <w:style w:type="character" w:customStyle="1" w:styleId="SubtitleChar">
    <w:name w:val="Subtitle Char"/>
    <w:basedOn w:val="DefaultParagraphFont"/>
    <w:link w:val="Subtitle"/>
    <w:uiPriority w:val="11"/>
    <w:rsid w:val="00FE7838"/>
    <w:rPr>
      <w:rFonts w:asciiTheme="majorHAnsi" w:eastAsiaTheme="majorEastAsia" w:hAnsiTheme="majorHAnsi" w:cstheme="majorBidi"/>
      <w:color w:val="156082" w:themeColor="accent1"/>
      <w:sz w:val="28"/>
      <w:szCs w:val="28"/>
    </w:rPr>
  </w:style>
  <w:style w:type="character" w:styleId="Strong">
    <w:name w:val="Strong"/>
    <w:basedOn w:val="DefaultParagraphFont"/>
    <w:uiPriority w:val="22"/>
    <w:qFormat/>
    <w:rsid w:val="00FE7838"/>
    <w:rPr>
      <w:b/>
      <w:bCs/>
    </w:rPr>
  </w:style>
  <w:style w:type="character" w:styleId="Emphasis">
    <w:name w:val="Emphasis"/>
    <w:basedOn w:val="DefaultParagraphFont"/>
    <w:uiPriority w:val="20"/>
    <w:qFormat/>
    <w:rsid w:val="00FE7838"/>
    <w:rPr>
      <w:i/>
      <w:iCs/>
    </w:rPr>
  </w:style>
  <w:style w:type="paragraph" w:styleId="NoSpacing">
    <w:name w:val="No Spacing"/>
    <w:uiPriority w:val="1"/>
    <w:qFormat/>
    <w:rsid w:val="00FE7838"/>
    <w:pPr>
      <w:spacing w:after="0" w:line="240" w:lineRule="auto"/>
    </w:pPr>
  </w:style>
  <w:style w:type="paragraph" w:styleId="Quote">
    <w:name w:val="Quote"/>
    <w:basedOn w:val="Normal"/>
    <w:next w:val="Normal"/>
    <w:link w:val="QuoteChar"/>
    <w:uiPriority w:val="29"/>
    <w:qFormat/>
    <w:rsid w:val="00FE7838"/>
    <w:pPr>
      <w:spacing w:before="120" w:after="120"/>
      <w:ind w:left="720"/>
    </w:pPr>
    <w:rPr>
      <w:color w:val="0E2841" w:themeColor="text2"/>
      <w:sz w:val="24"/>
      <w:szCs w:val="24"/>
    </w:rPr>
  </w:style>
  <w:style w:type="character" w:customStyle="1" w:styleId="QuoteChar">
    <w:name w:val="Quote Char"/>
    <w:basedOn w:val="DefaultParagraphFont"/>
    <w:link w:val="Quote"/>
    <w:uiPriority w:val="29"/>
    <w:rsid w:val="00FE7838"/>
    <w:rPr>
      <w:color w:val="0E2841" w:themeColor="text2"/>
      <w:sz w:val="24"/>
      <w:szCs w:val="24"/>
    </w:rPr>
  </w:style>
  <w:style w:type="paragraph" w:styleId="IntenseQuote">
    <w:name w:val="Intense Quote"/>
    <w:basedOn w:val="Normal"/>
    <w:next w:val="Normal"/>
    <w:link w:val="IntenseQuoteChar"/>
    <w:uiPriority w:val="30"/>
    <w:qFormat/>
    <w:rsid w:val="00FE7838"/>
    <w:pPr>
      <w:spacing w:before="100" w:beforeAutospacing="1" w:after="240" w:line="240" w:lineRule="auto"/>
      <w:ind w:left="720"/>
      <w:jc w:val="center"/>
    </w:pPr>
    <w:rPr>
      <w:rFonts w:asciiTheme="majorHAnsi" w:eastAsiaTheme="majorEastAsia" w:hAnsiTheme="majorHAnsi" w:cstheme="majorBidi"/>
      <w:color w:val="0E2841" w:themeColor="text2"/>
      <w:spacing w:val="-6"/>
      <w:sz w:val="32"/>
      <w:szCs w:val="32"/>
    </w:rPr>
  </w:style>
  <w:style w:type="character" w:customStyle="1" w:styleId="IntenseQuoteChar">
    <w:name w:val="Intense Quote Char"/>
    <w:basedOn w:val="DefaultParagraphFont"/>
    <w:link w:val="IntenseQuote"/>
    <w:uiPriority w:val="30"/>
    <w:rsid w:val="00FE7838"/>
    <w:rPr>
      <w:rFonts w:asciiTheme="majorHAnsi" w:eastAsiaTheme="majorEastAsia" w:hAnsiTheme="majorHAnsi" w:cstheme="majorBidi"/>
      <w:color w:val="0E2841" w:themeColor="text2"/>
      <w:spacing w:val="-6"/>
      <w:sz w:val="32"/>
      <w:szCs w:val="32"/>
    </w:rPr>
  </w:style>
  <w:style w:type="character" w:styleId="SubtleEmphasis">
    <w:name w:val="Subtle Emphasis"/>
    <w:basedOn w:val="DefaultParagraphFont"/>
    <w:uiPriority w:val="19"/>
    <w:qFormat/>
    <w:rsid w:val="00FE7838"/>
    <w:rPr>
      <w:i/>
      <w:iCs/>
      <w:color w:val="595959" w:themeColor="text1" w:themeTint="A6"/>
    </w:rPr>
  </w:style>
  <w:style w:type="character" w:styleId="IntenseEmphasis">
    <w:name w:val="Intense Emphasis"/>
    <w:basedOn w:val="DefaultParagraphFont"/>
    <w:uiPriority w:val="21"/>
    <w:qFormat/>
    <w:rsid w:val="00FE7838"/>
    <w:rPr>
      <w:b/>
      <w:bCs/>
      <w:i/>
      <w:iCs/>
    </w:rPr>
  </w:style>
  <w:style w:type="character" w:styleId="SubtleReference">
    <w:name w:val="Subtle Reference"/>
    <w:basedOn w:val="DefaultParagraphFont"/>
    <w:uiPriority w:val="31"/>
    <w:qFormat/>
    <w:rsid w:val="00FE7838"/>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FE7838"/>
    <w:rPr>
      <w:b/>
      <w:bCs/>
      <w:smallCaps/>
      <w:color w:val="0E2841" w:themeColor="text2"/>
      <w:u w:val="single"/>
    </w:rPr>
  </w:style>
  <w:style w:type="character" w:styleId="BookTitle">
    <w:name w:val="Book Title"/>
    <w:basedOn w:val="DefaultParagraphFont"/>
    <w:uiPriority w:val="33"/>
    <w:qFormat/>
    <w:rsid w:val="00FE7838"/>
    <w:rPr>
      <w:b/>
      <w:bCs/>
      <w:smallCaps/>
      <w:spacing w:val="10"/>
    </w:rPr>
  </w:style>
  <w:style w:type="paragraph" w:styleId="TOCHeading">
    <w:name w:val="TOC Heading"/>
    <w:basedOn w:val="Heading1"/>
    <w:next w:val="Normal"/>
    <w:uiPriority w:val="39"/>
    <w:semiHidden/>
    <w:unhideWhenUsed/>
    <w:qFormat/>
    <w:rsid w:val="00FE7838"/>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TotalTime>
  <Pages>9</Pages>
  <Words>675</Words>
  <Characters>3851</Characters>
  <Application>Microsoft Office Word</Application>
  <DocSecurity>0</DocSecurity>
  <Lines>32</Lines>
  <Paragraphs>9</Paragraphs>
  <ScaleCrop>false</ScaleCrop>
  <Company/>
  <LinksUpToDate>false</LinksUpToDate>
  <CharactersWithSpaces>4517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Rui Yamasaki</cp:lastModifiedBy>
  <cp:revision>3</cp:revision>
  <dcterms:created xsi:type="dcterms:W3CDTF">2026-06-19T11:30:00Z</dcterms:created>
  <dcterms:modified xsi:type="dcterms:W3CDTF">2026-06-19T11:46:00Z</dcterms:modified>
</cp:coreProperties>
</file>