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CCC6A" w14:textId="7C40B774" w:rsidR="008A35BA" w:rsidRPr="00B90600" w:rsidRDefault="005A6A69">
      <w:pPr>
        <w:rPr>
          <w:rFonts w:asciiTheme="majorBidi" w:hAnsiTheme="majorBidi" w:cstheme="majorBidi"/>
        </w:rPr>
      </w:pPr>
      <w:r>
        <w:rPr>
          <w:rFonts w:asciiTheme="majorBidi" w:hAnsiTheme="majorBidi" w:cstheme="majorBidi"/>
          <w:b/>
          <w:bCs/>
          <w:sz w:val="32"/>
          <w:szCs w:val="32"/>
        </w:rPr>
        <w:t>S</w:t>
      </w:r>
      <w:r w:rsidR="00B02D6D" w:rsidRPr="00B90600">
        <w:rPr>
          <w:rFonts w:asciiTheme="majorBidi" w:hAnsiTheme="majorBidi" w:cstheme="majorBidi"/>
          <w:b/>
          <w:bCs/>
          <w:sz w:val="32"/>
          <w:szCs w:val="32"/>
        </w:rPr>
        <w:t xml:space="preserve">upplemental </w:t>
      </w:r>
      <w:r>
        <w:rPr>
          <w:rFonts w:asciiTheme="majorBidi" w:hAnsiTheme="majorBidi" w:cstheme="majorBidi"/>
          <w:b/>
          <w:bCs/>
          <w:sz w:val="32"/>
          <w:szCs w:val="32"/>
        </w:rPr>
        <w:t>M</w:t>
      </w:r>
      <w:r w:rsidR="00B02D6D" w:rsidRPr="00B90600">
        <w:rPr>
          <w:rFonts w:asciiTheme="majorBidi" w:hAnsiTheme="majorBidi" w:cstheme="majorBidi"/>
          <w:b/>
          <w:bCs/>
          <w:sz w:val="32"/>
          <w:szCs w:val="32"/>
        </w:rPr>
        <w:t>aterials</w:t>
      </w:r>
    </w:p>
    <w:p w14:paraId="338C55E1" w14:textId="2B30675D" w:rsidR="00F96783" w:rsidRDefault="00F96783" w:rsidP="00AA33A9">
      <w:pPr>
        <w:pStyle w:val="ListParagraph"/>
        <w:numPr>
          <w:ilvl w:val="0"/>
          <w:numId w:val="1"/>
        </w:numPr>
        <w:rPr>
          <w:rFonts w:asciiTheme="majorBidi" w:hAnsiTheme="majorBidi" w:cstheme="majorBidi"/>
          <w:b/>
          <w:bCs/>
          <w:sz w:val="28"/>
          <w:szCs w:val="28"/>
        </w:rPr>
      </w:pPr>
      <w:r>
        <w:rPr>
          <w:rFonts w:asciiTheme="majorBidi" w:hAnsiTheme="majorBidi" w:cstheme="majorBidi"/>
          <w:b/>
          <w:bCs/>
          <w:sz w:val="28"/>
          <w:szCs w:val="28"/>
        </w:rPr>
        <w:t>Supplemental Methods</w:t>
      </w:r>
    </w:p>
    <w:p w14:paraId="0BD4E215" w14:textId="34C6392D" w:rsidR="00FD03B3" w:rsidRPr="005A6A69" w:rsidRDefault="00FD03B3" w:rsidP="00AA33A9">
      <w:pPr>
        <w:pStyle w:val="ListParagraph"/>
        <w:numPr>
          <w:ilvl w:val="0"/>
          <w:numId w:val="1"/>
        </w:numPr>
        <w:rPr>
          <w:rFonts w:asciiTheme="majorBidi" w:hAnsiTheme="majorBidi" w:cstheme="majorBidi"/>
          <w:b/>
          <w:bCs/>
          <w:sz w:val="28"/>
          <w:szCs w:val="28"/>
        </w:rPr>
      </w:pPr>
      <w:r w:rsidRPr="005A6A69">
        <w:rPr>
          <w:rFonts w:asciiTheme="majorBidi" w:hAnsiTheme="majorBidi" w:cstheme="majorBidi"/>
          <w:b/>
          <w:bCs/>
          <w:sz w:val="28"/>
          <w:szCs w:val="28"/>
        </w:rPr>
        <w:t>Supplemental Clinical Case preparations</w:t>
      </w:r>
    </w:p>
    <w:p w14:paraId="719A9A23" w14:textId="55A20AAE" w:rsidR="00AA33A9" w:rsidRDefault="00AA33A9" w:rsidP="00AA33A9">
      <w:pPr>
        <w:pStyle w:val="ListParagraph"/>
        <w:numPr>
          <w:ilvl w:val="0"/>
          <w:numId w:val="1"/>
        </w:numPr>
        <w:rPr>
          <w:rFonts w:asciiTheme="majorBidi" w:hAnsiTheme="majorBidi" w:cstheme="majorBidi"/>
          <w:b/>
          <w:bCs/>
          <w:sz w:val="28"/>
          <w:szCs w:val="28"/>
        </w:rPr>
      </w:pPr>
      <w:r w:rsidRPr="005A6A69">
        <w:rPr>
          <w:rFonts w:asciiTheme="majorBidi" w:hAnsiTheme="majorBidi" w:cstheme="majorBidi"/>
          <w:b/>
          <w:bCs/>
          <w:sz w:val="28"/>
          <w:szCs w:val="28"/>
        </w:rPr>
        <w:t xml:space="preserve">Supplemental Tables </w:t>
      </w:r>
    </w:p>
    <w:p w14:paraId="4480A5E7" w14:textId="750E2DC9" w:rsidR="005A6A69" w:rsidRDefault="005A6A69" w:rsidP="005A6A69">
      <w:pPr>
        <w:pStyle w:val="ListParagraph"/>
        <w:numPr>
          <w:ilvl w:val="0"/>
          <w:numId w:val="1"/>
        </w:numPr>
        <w:rPr>
          <w:rFonts w:asciiTheme="majorBidi" w:hAnsiTheme="majorBidi" w:cstheme="majorBidi"/>
          <w:b/>
          <w:bCs/>
          <w:sz w:val="28"/>
          <w:szCs w:val="28"/>
        </w:rPr>
      </w:pPr>
      <w:r w:rsidRPr="005A6A69">
        <w:rPr>
          <w:rFonts w:asciiTheme="majorBidi" w:hAnsiTheme="majorBidi" w:cstheme="majorBidi"/>
          <w:b/>
          <w:bCs/>
          <w:sz w:val="28"/>
          <w:szCs w:val="28"/>
        </w:rPr>
        <w:t xml:space="preserve">Supplemental </w:t>
      </w:r>
      <w:r>
        <w:rPr>
          <w:rFonts w:asciiTheme="majorBidi" w:hAnsiTheme="majorBidi" w:cstheme="majorBidi"/>
          <w:b/>
          <w:bCs/>
          <w:sz w:val="28"/>
          <w:szCs w:val="28"/>
        </w:rPr>
        <w:t>Figure</w:t>
      </w:r>
    </w:p>
    <w:p w14:paraId="3BFF6E1B" w14:textId="2693B5CD" w:rsidR="0087440A" w:rsidRDefault="0087440A" w:rsidP="005A6A69">
      <w:pPr>
        <w:pStyle w:val="ListParagraph"/>
        <w:numPr>
          <w:ilvl w:val="0"/>
          <w:numId w:val="1"/>
        </w:numPr>
        <w:rPr>
          <w:rFonts w:asciiTheme="majorBidi" w:hAnsiTheme="majorBidi" w:cstheme="majorBidi"/>
          <w:b/>
          <w:bCs/>
          <w:sz w:val="28"/>
          <w:szCs w:val="28"/>
        </w:rPr>
      </w:pPr>
      <w:r>
        <w:rPr>
          <w:rFonts w:asciiTheme="majorBidi" w:hAnsiTheme="majorBidi" w:cstheme="majorBidi"/>
          <w:b/>
          <w:bCs/>
          <w:sz w:val="28"/>
          <w:szCs w:val="28"/>
        </w:rPr>
        <w:t>Supplementa</w:t>
      </w:r>
      <w:r w:rsidR="00F96783">
        <w:rPr>
          <w:rFonts w:asciiTheme="majorBidi" w:hAnsiTheme="majorBidi" w:cstheme="majorBidi"/>
          <w:b/>
          <w:bCs/>
          <w:sz w:val="28"/>
          <w:szCs w:val="28"/>
        </w:rPr>
        <w:t>l</w:t>
      </w:r>
      <w:r>
        <w:rPr>
          <w:rFonts w:asciiTheme="majorBidi" w:hAnsiTheme="majorBidi" w:cstheme="majorBidi"/>
          <w:b/>
          <w:bCs/>
          <w:sz w:val="28"/>
          <w:szCs w:val="28"/>
        </w:rPr>
        <w:t xml:space="preserve"> Videos</w:t>
      </w:r>
    </w:p>
    <w:p w14:paraId="0BB244EE" w14:textId="68B7644E" w:rsidR="00C22290" w:rsidRDefault="00C22290" w:rsidP="005A6A69">
      <w:pPr>
        <w:pStyle w:val="ListParagraph"/>
        <w:numPr>
          <w:ilvl w:val="0"/>
          <w:numId w:val="1"/>
        </w:numPr>
        <w:rPr>
          <w:rFonts w:asciiTheme="majorBidi" w:hAnsiTheme="majorBidi" w:cstheme="majorBidi"/>
          <w:b/>
          <w:bCs/>
          <w:sz w:val="28"/>
          <w:szCs w:val="28"/>
        </w:rPr>
      </w:pPr>
      <w:r>
        <w:rPr>
          <w:rFonts w:asciiTheme="majorBidi" w:hAnsiTheme="majorBidi" w:cstheme="majorBidi"/>
          <w:b/>
          <w:bCs/>
          <w:sz w:val="28"/>
          <w:szCs w:val="28"/>
        </w:rPr>
        <w:t>Supplemental References</w:t>
      </w:r>
    </w:p>
    <w:p w14:paraId="61FB0825" w14:textId="77777777" w:rsidR="005A6A69" w:rsidRPr="005A6A69" w:rsidRDefault="005A6A69" w:rsidP="005A6A69">
      <w:pPr>
        <w:ind w:left="360"/>
        <w:rPr>
          <w:rFonts w:asciiTheme="majorBidi" w:hAnsiTheme="majorBidi" w:cstheme="majorBidi"/>
          <w:b/>
          <w:bCs/>
          <w:sz w:val="28"/>
          <w:szCs w:val="28"/>
        </w:rPr>
      </w:pPr>
    </w:p>
    <w:p w14:paraId="4829E88A" w14:textId="77777777" w:rsidR="00FD03B3" w:rsidRPr="00B90600" w:rsidRDefault="00FD03B3" w:rsidP="00FD03B3">
      <w:pPr>
        <w:rPr>
          <w:rFonts w:asciiTheme="majorBidi" w:hAnsiTheme="majorBidi" w:cstheme="majorBidi"/>
        </w:rPr>
      </w:pPr>
    </w:p>
    <w:p w14:paraId="7A69295D" w14:textId="77777777" w:rsidR="00FD03B3" w:rsidRPr="00B90600" w:rsidRDefault="00FD03B3" w:rsidP="00FD03B3">
      <w:pPr>
        <w:rPr>
          <w:rFonts w:asciiTheme="majorBidi" w:hAnsiTheme="majorBidi" w:cstheme="majorBidi"/>
        </w:rPr>
      </w:pPr>
    </w:p>
    <w:p w14:paraId="49154DA0" w14:textId="77777777" w:rsidR="00FD03B3" w:rsidRPr="00B90600" w:rsidRDefault="00FD03B3" w:rsidP="00FD03B3">
      <w:pPr>
        <w:rPr>
          <w:rFonts w:asciiTheme="majorBidi" w:hAnsiTheme="majorBidi" w:cstheme="majorBidi"/>
        </w:rPr>
      </w:pPr>
    </w:p>
    <w:p w14:paraId="7C26A088" w14:textId="77777777" w:rsidR="00FD03B3" w:rsidRPr="00B90600" w:rsidRDefault="00FD03B3" w:rsidP="00FD03B3">
      <w:pPr>
        <w:rPr>
          <w:rFonts w:asciiTheme="majorBidi" w:hAnsiTheme="majorBidi" w:cstheme="majorBidi"/>
        </w:rPr>
      </w:pPr>
    </w:p>
    <w:p w14:paraId="46918CB3" w14:textId="77777777" w:rsidR="00FD03B3" w:rsidRPr="00B90600" w:rsidRDefault="00FD03B3" w:rsidP="00FD03B3">
      <w:pPr>
        <w:rPr>
          <w:rFonts w:asciiTheme="majorBidi" w:hAnsiTheme="majorBidi" w:cstheme="majorBidi"/>
        </w:rPr>
      </w:pPr>
    </w:p>
    <w:p w14:paraId="2EEA657E" w14:textId="77777777" w:rsidR="00FD03B3" w:rsidRPr="00B90600" w:rsidRDefault="00FD03B3" w:rsidP="00FD03B3">
      <w:pPr>
        <w:rPr>
          <w:rFonts w:asciiTheme="majorBidi" w:hAnsiTheme="majorBidi" w:cstheme="majorBidi"/>
        </w:rPr>
      </w:pPr>
    </w:p>
    <w:p w14:paraId="655E7EDE" w14:textId="77777777" w:rsidR="00FD03B3" w:rsidRPr="00B90600" w:rsidRDefault="00FD03B3" w:rsidP="00FD03B3">
      <w:pPr>
        <w:rPr>
          <w:rFonts w:asciiTheme="majorBidi" w:hAnsiTheme="majorBidi" w:cstheme="majorBidi"/>
        </w:rPr>
      </w:pPr>
    </w:p>
    <w:p w14:paraId="2F96E091" w14:textId="77777777" w:rsidR="00FD03B3" w:rsidRPr="00B90600" w:rsidRDefault="00FD03B3" w:rsidP="00FD03B3">
      <w:pPr>
        <w:rPr>
          <w:rFonts w:asciiTheme="majorBidi" w:hAnsiTheme="majorBidi" w:cstheme="majorBidi"/>
        </w:rPr>
      </w:pPr>
    </w:p>
    <w:p w14:paraId="76FA5A97" w14:textId="77777777" w:rsidR="00FD03B3" w:rsidRPr="00B90600" w:rsidRDefault="00FD03B3" w:rsidP="00FD03B3">
      <w:pPr>
        <w:rPr>
          <w:rFonts w:asciiTheme="majorBidi" w:hAnsiTheme="majorBidi" w:cstheme="majorBidi"/>
        </w:rPr>
      </w:pPr>
    </w:p>
    <w:p w14:paraId="2633F4D6" w14:textId="77777777" w:rsidR="00FD03B3" w:rsidRPr="00B90600" w:rsidRDefault="00FD03B3" w:rsidP="00FD03B3">
      <w:pPr>
        <w:rPr>
          <w:rFonts w:asciiTheme="majorBidi" w:hAnsiTheme="majorBidi" w:cstheme="majorBidi"/>
        </w:rPr>
      </w:pPr>
    </w:p>
    <w:p w14:paraId="07B301EE" w14:textId="77777777" w:rsidR="00FD03B3" w:rsidRPr="00B90600" w:rsidRDefault="00FD03B3" w:rsidP="00FD03B3">
      <w:pPr>
        <w:rPr>
          <w:rFonts w:asciiTheme="majorBidi" w:hAnsiTheme="majorBidi" w:cstheme="majorBidi"/>
        </w:rPr>
      </w:pPr>
    </w:p>
    <w:p w14:paraId="1CB3D108" w14:textId="77777777" w:rsidR="00FD03B3" w:rsidRPr="00B90600" w:rsidRDefault="00FD03B3" w:rsidP="00FD03B3">
      <w:pPr>
        <w:rPr>
          <w:rFonts w:asciiTheme="majorBidi" w:hAnsiTheme="majorBidi" w:cstheme="majorBidi"/>
        </w:rPr>
      </w:pPr>
    </w:p>
    <w:p w14:paraId="3D8AF171" w14:textId="77777777" w:rsidR="00FD03B3" w:rsidRPr="00B90600" w:rsidRDefault="00FD03B3" w:rsidP="00FD03B3">
      <w:pPr>
        <w:rPr>
          <w:rFonts w:asciiTheme="majorBidi" w:hAnsiTheme="majorBidi" w:cstheme="majorBidi"/>
        </w:rPr>
      </w:pPr>
    </w:p>
    <w:p w14:paraId="127EC27E" w14:textId="77777777" w:rsidR="00FD03B3" w:rsidRPr="00B90600" w:rsidRDefault="00FD03B3" w:rsidP="00FD03B3">
      <w:pPr>
        <w:rPr>
          <w:rFonts w:asciiTheme="majorBidi" w:hAnsiTheme="majorBidi" w:cstheme="majorBidi"/>
        </w:rPr>
      </w:pPr>
    </w:p>
    <w:p w14:paraId="7CC46F0F" w14:textId="77777777" w:rsidR="00FD03B3" w:rsidRPr="00B90600" w:rsidRDefault="00FD03B3" w:rsidP="00FD03B3">
      <w:pPr>
        <w:rPr>
          <w:rFonts w:asciiTheme="majorBidi" w:hAnsiTheme="majorBidi" w:cstheme="majorBidi"/>
        </w:rPr>
      </w:pPr>
    </w:p>
    <w:p w14:paraId="7F9129E9" w14:textId="77777777" w:rsidR="00FD03B3" w:rsidRPr="00B90600" w:rsidRDefault="00FD03B3" w:rsidP="00FD03B3">
      <w:pPr>
        <w:rPr>
          <w:rFonts w:asciiTheme="majorBidi" w:hAnsiTheme="majorBidi" w:cstheme="majorBidi"/>
        </w:rPr>
      </w:pPr>
    </w:p>
    <w:p w14:paraId="05DCCEFF" w14:textId="77777777" w:rsidR="00FD03B3" w:rsidRPr="00B90600" w:rsidRDefault="00FD03B3" w:rsidP="00FD03B3">
      <w:pPr>
        <w:rPr>
          <w:rFonts w:asciiTheme="majorBidi" w:hAnsiTheme="majorBidi" w:cstheme="majorBidi"/>
        </w:rPr>
      </w:pPr>
    </w:p>
    <w:p w14:paraId="5B91EC46" w14:textId="77777777" w:rsidR="00FD03B3" w:rsidRPr="00B90600" w:rsidRDefault="00FD03B3" w:rsidP="00FD03B3">
      <w:pPr>
        <w:rPr>
          <w:rFonts w:asciiTheme="majorBidi" w:hAnsiTheme="majorBidi" w:cstheme="majorBidi"/>
        </w:rPr>
      </w:pPr>
    </w:p>
    <w:p w14:paraId="225AB7ED" w14:textId="77777777" w:rsidR="00FD03B3" w:rsidRPr="00B90600" w:rsidRDefault="00FD03B3" w:rsidP="00FD03B3">
      <w:pPr>
        <w:rPr>
          <w:rFonts w:asciiTheme="majorBidi" w:hAnsiTheme="majorBidi" w:cstheme="majorBidi"/>
        </w:rPr>
      </w:pPr>
    </w:p>
    <w:p w14:paraId="763B02A5" w14:textId="2857C7D8" w:rsidR="00FD03B3" w:rsidRDefault="00FD03B3" w:rsidP="00FD03B3">
      <w:pPr>
        <w:rPr>
          <w:rFonts w:asciiTheme="majorBidi" w:hAnsiTheme="majorBidi" w:cstheme="majorBidi"/>
        </w:rPr>
      </w:pPr>
    </w:p>
    <w:p w14:paraId="245D7112" w14:textId="10F1B767" w:rsidR="00F96783" w:rsidRPr="00C22290" w:rsidRDefault="00F96783" w:rsidP="00F96783">
      <w:pPr>
        <w:pStyle w:val="ListParagraph"/>
        <w:numPr>
          <w:ilvl w:val="0"/>
          <w:numId w:val="3"/>
        </w:numPr>
        <w:rPr>
          <w:rFonts w:asciiTheme="majorBidi" w:hAnsiTheme="majorBidi" w:cstheme="majorBidi"/>
          <w:b/>
          <w:bCs/>
          <w:sz w:val="28"/>
          <w:szCs w:val="28"/>
        </w:rPr>
      </w:pPr>
      <w:r w:rsidRPr="00C22290">
        <w:rPr>
          <w:rFonts w:asciiTheme="majorBidi" w:hAnsiTheme="majorBidi" w:cstheme="majorBidi"/>
          <w:b/>
          <w:bCs/>
          <w:sz w:val="28"/>
          <w:szCs w:val="28"/>
        </w:rPr>
        <w:lastRenderedPageBreak/>
        <w:t>Supplemental Methods</w:t>
      </w:r>
    </w:p>
    <w:p w14:paraId="4B9E2592" w14:textId="06EA75BE" w:rsidR="00F96783" w:rsidRPr="00CE7C7E" w:rsidRDefault="00F96783" w:rsidP="00F96783">
      <w:pPr>
        <w:rPr>
          <w:rFonts w:asciiTheme="majorBidi" w:hAnsiTheme="majorBidi" w:cstheme="majorBidi"/>
          <w:b/>
          <w:bCs/>
        </w:rPr>
      </w:pPr>
      <w:r w:rsidRPr="00CE7C7E">
        <w:rPr>
          <w:rFonts w:asciiTheme="majorBidi" w:hAnsiTheme="majorBidi" w:cstheme="majorBidi"/>
          <w:b/>
          <w:bCs/>
        </w:rPr>
        <w:t>1.1 Exome and genome sequencing analysis</w:t>
      </w:r>
    </w:p>
    <w:p w14:paraId="0D143D57" w14:textId="76C2E26D" w:rsidR="00F96783" w:rsidRPr="00F96783" w:rsidRDefault="00F96783" w:rsidP="00F96783">
      <w:pPr>
        <w:rPr>
          <w:rFonts w:asciiTheme="majorBidi" w:hAnsiTheme="majorBidi" w:cstheme="majorBidi"/>
        </w:rPr>
      </w:pPr>
      <w:r w:rsidRPr="00F96783">
        <w:rPr>
          <w:rFonts w:asciiTheme="majorBidi" w:hAnsiTheme="majorBidi" w:cstheme="majorBidi"/>
        </w:rPr>
        <w:t xml:space="preserve">For exome (ES) and genome sequencing (GS), genomic DNA was extracted from peripheral blood lymphocytes or buccal swab samples of the probands and parents (when available). After standard DNA extraction, trio-exome or genome sequencing was performed in all subjects as previously described (Aspromonte et al., 2019; Bowling et al., 2017; Harripaul et al., 2017; Murdock et al., 2021; </w:t>
      </w:r>
      <w:proofErr w:type="spellStart"/>
      <w:r w:rsidRPr="00F96783">
        <w:rPr>
          <w:rFonts w:asciiTheme="majorBidi" w:hAnsiTheme="majorBidi" w:cstheme="majorBidi"/>
        </w:rPr>
        <w:t>Tarailo</w:t>
      </w:r>
      <w:proofErr w:type="spellEnd"/>
      <w:r w:rsidRPr="00F96783">
        <w:rPr>
          <w:rFonts w:asciiTheme="majorBidi" w:hAnsiTheme="majorBidi" w:cstheme="majorBidi"/>
        </w:rPr>
        <w:t>-Graovac et al., 2016; Guillen Sacoto et al., 2020</w:t>
      </w:r>
      <w:r w:rsidR="004129D9">
        <w:rPr>
          <w:rFonts w:asciiTheme="majorBidi" w:hAnsiTheme="majorBidi" w:cstheme="majorBidi"/>
        </w:rPr>
        <w:t xml:space="preserve">, </w:t>
      </w:r>
      <w:r w:rsidR="004129D9" w:rsidRPr="001C40A7">
        <w:rPr>
          <w:rFonts w:asciiTheme="majorBidi" w:hAnsiTheme="majorBidi" w:cstheme="majorBidi"/>
        </w:rPr>
        <w:t>Retterer K</w:t>
      </w:r>
      <w:r w:rsidR="004129D9">
        <w:rPr>
          <w:rFonts w:asciiTheme="majorBidi" w:hAnsiTheme="majorBidi" w:cstheme="majorBidi"/>
        </w:rPr>
        <w:t xml:space="preserve"> et al., 2016</w:t>
      </w:r>
      <w:r w:rsidRPr="00F96783">
        <w:rPr>
          <w:rFonts w:asciiTheme="majorBidi" w:hAnsiTheme="majorBidi" w:cstheme="majorBidi"/>
        </w:rPr>
        <w:t xml:space="preserve">). </w:t>
      </w:r>
    </w:p>
    <w:p w14:paraId="5C81EA47" w14:textId="66A0DE58" w:rsidR="00F96783" w:rsidRPr="00F96783" w:rsidRDefault="00F96783" w:rsidP="00F96783">
      <w:pPr>
        <w:rPr>
          <w:rFonts w:asciiTheme="majorBidi" w:hAnsiTheme="majorBidi" w:cstheme="majorBidi"/>
        </w:rPr>
      </w:pPr>
      <w:r w:rsidRPr="00F96783">
        <w:rPr>
          <w:rFonts w:asciiTheme="majorBidi" w:hAnsiTheme="majorBidi" w:cstheme="majorBidi"/>
        </w:rPr>
        <w:t xml:space="preserve">QC statistics with FastQC (http://www.bioinformatics.bbsrc.ac.uk/projects/fastqc) was used to assess the quality of the sequence reads. BWA with default parameters was used for reads alignment to the reference human genome (GRCh38 - hg38, UCSC genome assembly). Recalibration of the quality score and for indel realignment and variant calling was performed through the </w:t>
      </w:r>
      <w:proofErr w:type="spellStart"/>
      <w:r w:rsidRPr="00F96783">
        <w:rPr>
          <w:rFonts w:asciiTheme="majorBidi" w:hAnsiTheme="majorBidi" w:cstheme="majorBidi"/>
        </w:rPr>
        <w:t>HaplotypeCaller</w:t>
      </w:r>
      <w:proofErr w:type="spellEnd"/>
      <w:r w:rsidRPr="00F96783">
        <w:rPr>
          <w:rFonts w:asciiTheme="majorBidi" w:hAnsiTheme="majorBidi" w:cstheme="majorBidi"/>
        </w:rPr>
        <w:t xml:space="preserve"> algorithm within the GATK package (</w:t>
      </w:r>
      <w:proofErr w:type="spellStart"/>
      <w:r w:rsidRPr="00F96783">
        <w:rPr>
          <w:rFonts w:asciiTheme="majorBidi" w:hAnsiTheme="majorBidi" w:cstheme="majorBidi"/>
        </w:rPr>
        <w:t>DePristo</w:t>
      </w:r>
      <w:proofErr w:type="spellEnd"/>
      <w:r w:rsidRPr="00F96783">
        <w:rPr>
          <w:rFonts w:asciiTheme="majorBidi" w:hAnsiTheme="majorBidi" w:cstheme="majorBidi"/>
        </w:rPr>
        <w:t xml:space="preserve"> et al., 2011; McKenna et al., 2010). Variants were then annotated with ANNOVAR (Wang et al., 2010) and filtered out for minor allele frequency (MAF) ≤ 0.01 in genomic databases (</w:t>
      </w:r>
      <w:proofErr w:type="spellStart"/>
      <w:r w:rsidRPr="00F96783">
        <w:rPr>
          <w:rFonts w:asciiTheme="majorBidi" w:hAnsiTheme="majorBidi" w:cstheme="majorBidi"/>
        </w:rPr>
        <w:t>GnomAD</w:t>
      </w:r>
      <w:proofErr w:type="spellEnd"/>
      <w:r w:rsidRPr="00F96783">
        <w:rPr>
          <w:rFonts w:asciiTheme="majorBidi" w:hAnsiTheme="majorBidi" w:cstheme="majorBidi"/>
        </w:rPr>
        <w:t xml:space="preserve"> v4.1.0, https://gnomad.broadinstitute.org). </w:t>
      </w:r>
    </w:p>
    <w:p w14:paraId="10C1DE3E" w14:textId="4CD4D6BB" w:rsidR="00F96783" w:rsidRDefault="00F96783" w:rsidP="00F96783">
      <w:pPr>
        <w:rPr>
          <w:rFonts w:asciiTheme="majorBidi" w:hAnsiTheme="majorBidi" w:cstheme="majorBidi"/>
        </w:rPr>
      </w:pPr>
      <w:r w:rsidRPr="00F96783">
        <w:rPr>
          <w:rFonts w:asciiTheme="majorBidi" w:hAnsiTheme="majorBidi" w:cstheme="majorBidi"/>
        </w:rPr>
        <w:t>Afterwards, in silico tools were employed to predict the impact of candidate variants on protein structure and function, including: Combined Annotation Dependent Depletion (CADD, https://cadd.gs.washington.edu), Mutation Taster (http://www.mutationtaster.org), Mutation Assessor (http://mutationassessor.org/r3/), Polyphen-2 (http://genetics.bwh.harvard.edu/pph2/), and Splice AI (https://spliceailookup.broadinstitute.org). Sanger sequencing was performed according to standard procedures (</w:t>
      </w:r>
      <w:proofErr w:type="spellStart"/>
      <w:r w:rsidRPr="00F96783">
        <w:rPr>
          <w:rFonts w:asciiTheme="majorBidi" w:hAnsiTheme="majorBidi" w:cstheme="majorBidi"/>
        </w:rPr>
        <w:t>Tarailo</w:t>
      </w:r>
      <w:proofErr w:type="spellEnd"/>
      <w:r w:rsidRPr="00F96783">
        <w:rPr>
          <w:rFonts w:asciiTheme="majorBidi" w:hAnsiTheme="majorBidi" w:cstheme="majorBidi"/>
        </w:rPr>
        <w:t xml:space="preserve">-Graovac et al., 2016) to confirm the most plausible candidate variants and for parental segregation analysis. </w:t>
      </w:r>
    </w:p>
    <w:p w14:paraId="1C3EA139" w14:textId="77777777" w:rsidR="00CE7C7E" w:rsidRPr="00F96783" w:rsidRDefault="00CE7C7E" w:rsidP="00F96783">
      <w:pPr>
        <w:rPr>
          <w:rFonts w:asciiTheme="majorBidi" w:hAnsiTheme="majorBidi" w:cstheme="majorBidi"/>
        </w:rPr>
      </w:pPr>
    </w:p>
    <w:p w14:paraId="7877AD70" w14:textId="22DAA24F" w:rsidR="00F96783" w:rsidRPr="00CE7C7E" w:rsidRDefault="00F96783" w:rsidP="00F96783">
      <w:pPr>
        <w:rPr>
          <w:rFonts w:asciiTheme="majorBidi" w:hAnsiTheme="majorBidi" w:cstheme="majorBidi"/>
          <w:b/>
          <w:bCs/>
        </w:rPr>
      </w:pPr>
      <w:r w:rsidRPr="00CE7C7E">
        <w:rPr>
          <w:rFonts w:asciiTheme="majorBidi" w:hAnsiTheme="majorBidi" w:cstheme="majorBidi"/>
          <w:b/>
          <w:bCs/>
        </w:rPr>
        <w:t>1.</w:t>
      </w:r>
      <w:r w:rsidR="00CE7C7E">
        <w:rPr>
          <w:rFonts w:asciiTheme="majorBidi" w:hAnsiTheme="majorBidi" w:cstheme="majorBidi"/>
          <w:b/>
          <w:bCs/>
        </w:rPr>
        <w:t>2</w:t>
      </w:r>
      <w:r w:rsidRPr="00CE7C7E">
        <w:rPr>
          <w:rFonts w:asciiTheme="majorBidi" w:hAnsiTheme="majorBidi" w:cstheme="majorBidi"/>
          <w:b/>
          <w:bCs/>
        </w:rPr>
        <w:t xml:space="preserve"> Copy Number Variations analysis</w:t>
      </w:r>
    </w:p>
    <w:p w14:paraId="4A388DE5" w14:textId="33211CEA" w:rsidR="00F96783" w:rsidRDefault="00F96783" w:rsidP="00F96783">
      <w:pPr>
        <w:rPr>
          <w:rFonts w:asciiTheme="majorBidi" w:hAnsiTheme="majorBidi" w:cstheme="majorBidi"/>
        </w:rPr>
      </w:pPr>
      <w:r w:rsidRPr="00F96783">
        <w:rPr>
          <w:rFonts w:asciiTheme="majorBidi" w:hAnsiTheme="majorBidi" w:cstheme="majorBidi"/>
        </w:rPr>
        <w:t>For the detection of copy number variations (CNVs), array comparative genomic hybridization (Array-CGH), SNP-array, or exome-based CNVs calling were performed. Array-CGH (Agilent 60K) was performed as previously described (Redon et al., 2009). For SNP-array, DNA was extracted from uncultured cells and the array platform Infinium CytoSNP-850K v1.2 (Illumina) was employed, using genome build was GRCH37/hg19. Exome-based CNVs calling was performed using a custom-developed analysis tool (</w:t>
      </w:r>
      <w:proofErr w:type="spellStart"/>
      <w:r w:rsidRPr="00F96783">
        <w:rPr>
          <w:rFonts w:asciiTheme="majorBidi" w:hAnsiTheme="majorBidi" w:cstheme="majorBidi"/>
        </w:rPr>
        <w:t>XomeAnalyzer</w:t>
      </w:r>
      <w:proofErr w:type="spellEnd"/>
      <w:r w:rsidRPr="00F96783">
        <w:rPr>
          <w:rFonts w:asciiTheme="majorBidi" w:hAnsiTheme="majorBidi" w:cstheme="majorBidi"/>
        </w:rPr>
        <w:t>). Data were filtered and analyzed to identify sequence variants and most deletions and duplications involving three or more coding exons, as previously described (Retterer et al., 2015). Potential rearrangements were interpreted according to the Decipher database (</w:t>
      </w:r>
      <w:hyperlink r:id="rId5" w:history="1">
        <w:r w:rsidRPr="00ED7B17">
          <w:rPr>
            <w:rStyle w:val="Hyperlink"/>
            <w:rFonts w:asciiTheme="majorBidi" w:hAnsiTheme="majorBidi" w:cstheme="majorBidi"/>
          </w:rPr>
          <w:t>https://decipher.sanger.ac.uk</w:t>
        </w:r>
      </w:hyperlink>
      <w:r w:rsidRPr="00F96783">
        <w:rPr>
          <w:rFonts w:asciiTheme="majorBidi" w:hAnsiTheme="majorBidi" w:cstheme="majorBidi"/>
        </w:rPr>
        <w:t>).</w:t>
      </w:r>
    </w:p>
    <w:p w14:paraId="7432E925" w14:textId="5E8FFF11" w:rsidR="00F96783" w:rsidRDefault="00F96783" w:rsidP="00F96783">
      <w:pPr>
        <w:rPr>
          <w:rFonts w:asciiTheme="majorBidi" w:hAnsiTheme="majorBidi" w:cstheme="majorBidi"/>
        </w:rPr>
      </w:pPr>
    </w:p>
    <w:p w14:paraId="55391D3F" w14:textId="77777777" w:rsidR="00C22290" w:rsidRPr="00B90600" w:rsidRDefault="00C22290" w:rsidP="00F96783">
      <w:pPr>
        <w:rPr>
          <w:rFonts w:asciiTheme="majorBidi" w:hAnsiTheme="majorBidi" w:cstheme="majorBidi"/>
        </w:rPr>
      </w:pPr>
    </w:p>
    <w:p w14:paraId="50F03A7E" w14:textId="5D9D2921" w:rsidR="005A6A69" w:rsidRPr="005A6A69" w:rsidRDefault="005A6A69" w:rsidP="005A6A69">
      <w:pPr>
        <w:pStyle w:val="ListParagraph"/>
        <w:numPr>
          <w:ilvl w:val="0"/>
          <w:numId w:val="3"/>
        </w:numPr>
        <w:rPr>
          <w:rFonts w:asciiTheme="majorBidi" w:hAnsiTheme="majorBidi" w:cstheme="majorBidi"/>
          <w:b/>
          <w:bCs/>
          <w:sz w:val="28"/>
          <w:szCs w:val="28"/>
        </w:rPr>
      </w:pPr>
      <w:r w:rsidRPr="005A6A69">
        <w:rPr>
          <w:rFonts w:asciiTheme="majorBidi" w:hAnsiTheme="majorBidi" w:cstheme="majorBidi"/>
          <w:b/>
          <w:bCs/>
          <w:sz w:val="28"/>
          <w:szCs w:val="28"/>
        </w:rPr>
        <w:lastRenderedPageBreak/>
        <w:t>Supplemental Clinical Case preparations</w:t>
      </w:r>
    </w:p>
    <w:p w14:paraId="3C7EEC43" w14:textId="77777777" w:rsidR="00F54CCD" w:rsidRPr="00F54CCD" w:rsidRDefault="00F54CCD" w:rsidP="00F54CCD">
      <w:pPr>
        <w:pStyle w:val="Heading3"/>
        <w:rPr>
          <w:rFonts w:ascii="Times New Roman" w:hAnsi="Times New Roman" w:cs="Times New Roman"/>
          <w:color w:val="000000"/>
          <w:sz w:val="24"/>
          <w:szCs w:val="24"/>
        </w:rPr>
      </w:pPr>
      <w:r w:rsidRPr="00F54CCD">
        <w:rPr>
          <w:rStyle w:val="Strong"/>
          <w:rFonts w:ascii="Times New Roman" w:hAnsi="Times New Roman" w:cs="Times New Roman"/>
          <w:color w:val="000000"/>
          <w:sz w:val="24"/>
          <w:szCs w:val="24"/>
        </w:rPr>
        <w:t>Summary of clinical variability</w:t>
      </w:r>
    </w:p>
    <w:p w14:paraId="6C3A942E" w14:textId="2B9BDE10" w:rsidR="00F54CCD" w:rsidRPr="00F54CCD" w:rsidRDefault="00F54CCD" w:rsidP="00F54CCD">
      <w:pPr>
        <w:pStyle w:val="NormalWeb"/>
        <w:rPr>
          <w:color w:val="000000"/>
        </w:rPr>
      </w:pPr>
      <w:r w:rsidRPr="00F54CCD">
        <w:rPr>
          <w:color w:val="000000"/>
        </w:rPr>
        <w:t>Across the cohort, clinical presentation ranged from severe congenital neurodevelopmental impairment to adult-onset progressive motor disease. Psychomotor regression was absent in 4/1</w:t>
      </w:r>
      <w:r w:rsidR="00415B60">
        <w:rPr>
          <w:color w:val="000000"/>
        </w:rPr>
        <w:t>4</w:t>
      </w:r>
      <w:r w:rsidRPr="00F54CCD">
        <w:rPr>
          <w:color w:val="000000"/>
        </w:rPr>
        <w:t xml:space="preserve"> individuals, and normal neuroimaging was observed in a subset of cases despite significant clinical impairment. Neurobehavioral manifestations were present across multiple individuals, indicating involvement beyond motor and developmental domains.</w:t>
      </w:r>
    </w:p>
    <w:p w14:paraId="4D235608" w14:textId="77777777" w:rsidR="00F54CCD" w:rsidRDefault="00F54CCD" w:rsidP="00FD03B3">
      <w:pPr>
        <w:rPr>
          <w:rFonts w:asciiTheme="majorBidi" w:hAnsiTheme="majorBidi" w:cstheme="majorBidi"/>
          <w:b/>
          <w:bCs/>
        </w:rPr>
      </w:pPr>
    </w:p>
    <w:p w14:paraId="2AD7E790" w14:textId="1553DBC8" w:rsidR="00FD03B3" w:rsidRPr="00FD03B3" w:rsidRDefault="00FD03B3" w:rsidP="00FD03B3">
      <w:pPr>
        <w:rPr>
          <w:rFonts w:asciiTheme="majorBidi" w:hAnsiTheme="majorBidi" w:cstheme="majorBidi"/>
          <w:b/>
          <w:bCs/>
        </w:rPr>
      </w:pPr>
      <w:r w:rsidRPr="00FD03B3">
        <w:rPr>
          <w:rFonts w:asciiTheme="majorBidi" w:hAnsiTheme="majorBidi" w:cstheme="majorBidi"/>
          <w:b/>
          <w:bCs/>
        </w:rPr>
        <w:t>Case 1</w:t>
      </w:r>
    </w:p>
    <w:p w14:paraId="37DB3629" w14:textId="08EFF991" w:rsidR="00FD03B3" w:rsidRPr="00B90600" w:rsidRDefault="00FD03B3" w:rsidP="00465EC0">
      <w:pPr>
        <w:jc w:val="both"/>
        <w:rPr>
          <w:rFonts w:asciiTheme="majorBidi" w:hAnsiTheme="majorBidi" w:cstheme="majorBidi"/>
        </w:rPr>
      </w:pPr>
      <w:r w:rsidRPr="00FD03B3">
        <w:rPr>
          <w:rFonts w:asciiTheme="majorBidi" w:hAnsiTheme="majorBidi" w:cstheme="majorBidi"/>
        </w:rPr>
        <w:t xml:space="preserve">The proband is a 17-year-old male, the third child of healthy, non-consanguineous parents, born at 38 weeks of gestation via cesarean section for breech presentation complicated by a displaced femoral fracture. Early psychomotor development was unremarkable, with independent walking achieved without a prior crawling phase. At 8 months of age, he experienced five afebrile seizures, which were successfully managed with valproate until age 9. From early childhood, he exhibited progressive gait imbalance, frequent falls, and lower-limb stiffness that gradually evolved into spastic paraparesis with distal amyotrophy and bilateral flat-valgus foot deformities. Neurophysiological evaluations revealed prolonged central motor conduction times, low-amplitude and </w:t>
      </w:r>
      <w:proofErr w:type="spellStart"/>
      <w:r w:rsidRPr="00FD03B3">
        <w:rPr>
          <w:rFonts w:asciiTheme="majorBidi" w:hAnsiTheme="majorBidi" w:cstheme="majorBidi"/>
        </w:rPr>
        <w:t>chronodispersed</w:t>
      </w:r>
      <w:proofErr w:type="spellEnd"/>
      <w:r w:rsidRPr="00FD03B3">
        <w:rPr>
          <w:rFonts w:asciiTheme="majorBidi" w:hAnsiTheme="majorBidi" w:cstheme="majorBidi"/>
        </w:rPr>
        <w:t xml:space="preserve"> cortical motor responses, and a bilateral reduction of compound muscle action potential amplitude in the posterior tibial nerves with preserved sensory conduction. Needle electromyography demonstrated chronic neurogenic changes in the L3 to S1 myotomes. Brain MRI at age 16 initially showed faint T2/FLAIR </w:t>
      </w:r>
      <w:proofErr w:type="spellStart"/>
      <w:r w:rsidRPr="00FD03B3">
        <w:rPr>
          <w:rFonts w:asciiTheme="majorBidi" w:hAnsiTheme="majorBidi" w:cstheme="majorBidi"/>
        </w:rPr>
        <w:t>hypointensities</w:t>
      </w:r>
      <w:proofErr w:type="spellEnd"/>
      <w:r w:rsidRPr="00FD03B3">
        <w:rPr>
          <w:rFonts w:asciiTheme="majorBidi" w:hAnsiTheme="majorBidi" w:cstheme="majorBidi"/>
        </w:rPr>
        <w:t xml:space="preserve"> in the globus pallidus, substantia nigra, red nuclei, and dentate nuclei; however, follow-up susceptibility-weighted imaging and diffusion tensor imaging were normal, indicating the initial signal alterations were likely high-field artifacts. Spinal MRI demonstrated attenuation of cervical lordosis and minimal disc protrusions at C5 to C6 and D6 to D7, without evidence of spinal cord lesions. Targeted genetic testing for </w:t>
      </w:r>
      <w:r w:rsidRPr="00FD03B3">
        <w:rPr>
          <w:rFonts w:asciiTheme="majorBidi" w:hAnsiTheme="majorBidi" w:cstheme="majorBidi"/>
          <w:i/>
          <w:iCs/>
        </w:rPr>
        <w:t>SPG3A</w:t>
      </w:r>
      <w:r w:rsidRPr="00FD03B3">
        <w:rPr>
          <w:rFonts w:asciiTheme="majorBidi" w:hAnsiTheme="majorBidi" w:cstheme="majorBidi"/>
        </w:rPr>
        <w:t xml:space="preserve">, </w:t>
      </w:r>
      <w:r w:rsidRPr="00FD03B3">
        <w:rPr>
          <w:rFonts w:asciiTheme="majorBidi" w:hAnsiTheme="majorBidi" w:cstheme="majorBidi"/>
          <w:i/>
          <w:iCs/>
        </w:rPr>
        <w:t>SPG4</w:t>
      </w:r>
      <w:r w:rsidRPr="00FD03B3">
        <w:rPr>
          <w:rFonts w:asciiTheme="majorBidi" w:hAnsiTheme="majorBidi" w:cstheme="majorBidi"/>
        </w:rPr>
        <w:t xml:space="preserve">, </w:t>
      </w:r>
      <w:r w:rsidRPr="00FD03B3">
        <w:rPr>
          <w:rFonts w:asciiTheme="majorBidi" w:hAnsiTheme="majorBidi" w:cstheme="majorBidi"/>
          <w:i/>
          <w:iCs/>
        </w:rPr>
        <w:t>SPG5</w:t>
      </w:r>
      <w:r w:rsidRPr="00FD03B3">
        <w:rPr>
          <w:rFonts w:asciiTheme="majorBidi" w:hAnsiTheme="majorBidi" w:cstheme="majorBidi"/>
        </w:rPr>
        <w:t>, and Kennedy disease was negative. His clinical course remains stable under management with oral baclofen and physiotherapy, presenting a clinical picture consistent with a non-progressive complex hereditary spastic paraplegia or distal spinal muscular atrophy phenotype.</w:t>
      </w:r>
    </w:p>
    <w:p w14:paraId="0262A8E7" w14:textId="77777777" w:rsidR="007F79D6" w:rsidRPr="00B90600" w:rsidRDefault="007F79D6" w:rsidP="00465EC0">
      <w:pPr>
        <w:jc w:val="both"/>
        <w:rPr>
          <w:rFonts w:asciiTheme="majorBidi" w:hAnsiTheme="majorBidi" w:cstheme="majorBidi"/>
        </w:rPr>
      </w:pPr>
    </w:p>
    <w:p w14:paraId="6370C04F" w14:textId="77777777" w:rsidR="007F79D6" w:rsidRPr="007F79D6" w:rsidRDefault="007F79D6" w:rsidP="007F79D6">
      <w:pPr>
        <w:rPr>
          <w:rFonts w:asciiTheme="majorBidi" w:hAnsiTheme="majorBidi" w:cstheme="majorBidi"/>
          <w:b/>
          <w:bCs/>
        </w:rPr>
      </w:pPr>
      <w:r w:rsidRPr="007F79D6">
        <w:rPr>
          <w:rFonts w:asciiTheme="majorBidi" w:hAnsiTheme="majorBidi" w:cstheme="majorBidi"/>
          <w:b/>
          <w:bCs/>
        </w:rPr>
        <w:t>Case 2</w:t>
      </w:r>
    </w:p>
    <w:p w14:paraId="778E72EF" w14:textId="2D2CCD26" w:rsidR="007F79D6" w:rsidRPr="00B90600" w:rsidRDefault="007F79D6" w:rsidP="00465EC0">
      <w:pPr>
        <w:jc w:val="both"/>
        <w:rPr>
          <w:rFonts w:asciiTheme="majorBidi" w:hAnsiTheme="majorBidi" w:cstheme="majorBidi"/>
        </w:rPr>
      </w:pPr>
      <w:r w:rsidRPr="007F79D6">
        <w:rPr>
          <w:rFonts w:asciiTheme="majorBidi" w:hAnsiTheme="majorBidi" w:cstheme="majorBidi"/>
        </w:rPr>
        <w:t xml:space="preserve">The proband is a 13-year-old male with an unremarkable family history and no reported consanguinity, born at 37 weeks of gestation following an uncomplicated pregnancy and delivery with normal birth parameters (weight 2760 g, length 49 cm). Early infancy was complicated by feeding difficulties and frequent bowel movements. He subsequently presented with global developmental delay, encompassing significant motor and speech delays, and mild intellectual </w:t>
      </w:r>
      <w:r w:rsidRPr="007F79D6">
        <w:rPr>
          <w:rFonts w:asciiTheme="majorBidi" w:hAnsiTheme="majorBidi" w:cstheme="majorBidi"/>
        </w:rPr>
        <w:lastRenderedPageBreak/>
        <w:t xml:space="preserve">disability with an IQ of 54. Notably, no psychomotor regression has been observed. Anthropometric evaluation at 11 years of age revealed short stature and microcephaly (height 116 cm, −2.47 SD; head circumference 49.6 cm, −2.45 SD; weight 43.4 kg, +0.14 SD). Neurological examination demonstrated generalized hypotonia, spasticity particularly affecting the hip abductors and hamstrings, paraparesis, weak deep tendon reflexes, and ataxia characterized by a severely imbalanced, uncoordinated gait with short and unsteady steps. Additional motor findings included dystonia and appendicular muscle weakness. There is no history of seizures, and both electroencephalogram and electrocardiogram evaluations were unremarkable. Systemic assessments revealed no dysmorphic features or significant cardiac, ophthalmologic, or musculoskeletal abnormalities. Brain MRI demonstrated a diffuse, bilateral, and symmetrical delay of white matter myelination involving deep and subcortical regions, particularly within the frontal and temporal lobes. Additional imaging findings included a hypoplastic corpus callosum and abnormal T2 hyperintensity in the left caudate nucleus, altogether raising strong clinical consideration for a </w:t>
      </w:r>
      <w:proofErr w:type="spellStart"/>
      <w:r w:rsidRPr="007F79D6">
        <w:rPr>
          <w:rFonts w:asciiTheme="majorBidi" w:hAnsiTheme="majorBidi" w:cstheme="majorBidi"/>
        </w:rPr>
        <w:t>hypomyelinating</w:t>
      </w:r>
      <w:proofErr w:type="spellEnd"/>
      <w:r w:rsidRPr="007F79D6">
        <w:rPr>
          <w:rFonts w:asciiTheme="majorBidi" w:hAnsiTheme="majorBidi" w:cstheme="majorBidi"/>
        </w:rPr>
        <w:t xml:space="preserve"> leukodystrophy. </w:t>
      </w:r>
    </w:p>
    <w:p w14:paraId="6306306B" w14:textId="77777777" w:rsidR="007F79D6" w:rsidRPr="00B90600" w:rsidRDefault="007F79D6" w:rsidP="007F79D6">
      <w:pPr>
        <w:rPr>
          <w:rFonts w:asciiTheme="majorBidi" w:hAnsiTheme="majorBidi" w:cstheme="majorBidi"/>
        </w:rPr>
      </w:pPr>
    </w:p>
    <w:p w14:paraId="01736F31" w14:textId="77777777" w:rsidR="007F79D6" w:rsidRPr="007F79D6" w:rsidRDefault="007F79D6" w:rsidP="007F79D6">
      <w:pPr>
        <w:rPr>
          <w:rFonts w:asciiTheme="majorBidi" w:hAnsiTheme="majorBidi" w:cstheme="majorBidi"/>
          <w:b/>
          <w:bCs/>
        </w:rPr>
      </w:pPr>
      <w:r w:rsidRPr="007F79D6">
        <w:rPr>
          <w:rFonts w:asciiTheme="majorBidi" w:hAnsiTheme="majorBidi" w:cstheme="majorBidi"/>
          <w:b/>
          <w:bCs/>
        </w:rPr>
        <w:t>Case 3</w:t>
      </w:r>
    </w:p>
    <w:p w14:paraId="447D5C2E" w14:textId="10126802" w:rsidR="007F79D6" w:rsidRPr="007F79D6" w:rsidRDefault="007F79D6" w:rsidP="00465EC0">
      <w:pPr>
        <w:jc w:val="both"/>
        <w:rPr>
          <w:rFonts w:asciiTheme="majorBidi" w:hAnsiTheme="majorBidi" w:cstheme="majorBidi"/>
        </w:rPr>
      </w:pPr>
      <w:r w:rsidRPr="007F79D6">
        <w:rPr>
          <w:rFonts w:asciiTheme="majorBidi" w:hAnsiTheme="majorBidi" w:cstheme="majorBidi"/>
        </w:rPr>
        <w:t xml:space="preserve">The proband is a 2-year-old female born to non-consanguineous parents following an uncomplicated pregnancy and delivery at 39 weeks of gestation. Notably, birth parameters were markedly abnormal, indicating severe intrauterine growth restriction and congenital microcephaly (weight 2430 g, −3 SD; length 44.5 cm, −3 SD; head circumference 30.5 cm, −5 SD). The neonatal period was additionally complicated by pes varus and a congenital atrial communication. Growth has remained severely impaired, with anthropometric evaluation at 2 years of age demonstrating profound short stature, failure to thrive, and progressive microcephaly (height 72 cm, −4 SD; weight 7 kg, −4 SD; head circumference 40 cm, −6 SD). She presents with severe global developmental delay, evidenced by an absence of expressive language and an inability to walk independently at 2 years of age. Although her developmental trajectory is characterized by severe stagnation, there is no documented history of psychomotor regression. Neurological examination was notable for the absence of spasticity, hypotonia, or abnormal movements, alongside normal deep tendon reflexes and no history of clinical seizures or sleep disturbances. Brain MRI performed at 2 years of age revealed global cerebellar atrophy and microcephaly, with completely preserved cortical and white matter architecture. Additional clinical features include strabismus and mild facial dysmorphism characterized by a sloping forehead, long eyelashes, and a wide mouth, while auditory evoked potentials and other systemic evaluations were unremarkable. </w:t>
      </w:r>
    </w:p>
    <w:p w14:paraId="600ABB73" w14:textId="77777777" w:rsidR="007F79D6" w:rsidRPr="00B90600" w:rsidRDefault="007F79D6" w:rsidP="007F79D6">
      <w:pPr>
        <w:rPr>
          <w:rFonts w:asciiTheme="majorBidi" w:hAnsiTheme="majorBidi" w:cstheme="majorBidi"/>
        </w:rPr>
      </w:pPr>
    </w:p>
    <w:p w14:paraId="6148CBE3" w14:textId="77777777" w:rsidR="00BD461E" w:rsidRPr="00BD461E" w:rsidRDefault="00BD461E" w:rsidP="00BD461E">
      <w:pPr>
        <w:rPr>
          <w:rFonts w:asciiTheme="majorBidi" w:hAnsiTheme="majorBidi" w:cstheme="majorBidi"/>
          <w:b/>
          <w:bCs/>
        </w:rPr>
      </w:pPr>
      <w:r w:rsidRPr="00BD461E">
        <w:rPr>
          <w:rFonts w:asciiTheme="majorBidi" w:hAnsiTheme="majorBidi" w:cstheme="majorBidi"/>
          <w:b/>
          <w:bCs/>
        </w:rPr>
        <w:t>Cases 4 and 5</w:t>
      </w:r>
    </w:p>
    <w:p w14:paraId="40C2A34C" w14:textId="77777777" w:rsidR="00BD461E" w:rsidRPr="00BD461E" w:rsidRDefault="00BD461E" w:rsidP="00465EC0">
      <w:pPr>
        <w:jc w:val="both"/>
        <w:rPr>
          <w:rFonts w:asciiTheme="majorBidi" w:hAnsiTheme="majorBidi" w:cstheme="majorBidi"/>
        </w:rPr>
      </w:pPr>
      <w:r w:rsidRPr="00BD461E">
        <w:rPr>
          <w:rFonts w:asciiTheme="majorBidi" w:hAnsiTheme="majorBidi" w:cstheme="majorBidi"/>
        </w:rPr>
        <w:t xml:space="preserve">Cases 4 and 5 represent two historical sibling cases born in 1950 and 1955, both of whom experienced early infantile lethality, passing away between 1 and 2 years of age and within the </w:t>
      </w:r>
      <w:r w:rsidRPr="00BD461E">
        <w:rPr>
          <w:rFonts w:asciiTheme="majorBidi" w:hAnsiTheme="majorBidi" w:cstheme="majorBidi"/>
        </w:rPr>
        <w:lastRenderedPageBreak/>
        <w:t xml:space="preserve">first year of life, respectively. Unfortunately, no clinical records or biological samples are available for these deceased offspring to ascertain specific phenotypic details or directly confirm their genotype. However, contemporary genetic analysis of both parents confirmed that they are heterozygous carriers of a </w:t>
      </w:r>
      <w:r w:rsidRPr="00BD461E">
        <w:rPr>
          <w:rFonts w:asciiTheme="majorBidi" w:hAnsiTheme="majorBidi" w:cstheme="majorBidi"/>
          <w:i/>
          <w:iCs/>
        </w:rPr>
        <w:t>SNAPC4</w:t>
      </w:r>
      <w:r w:rsidRPr="00BD461E">
        <w:rPr>
          <w:rFonts w:asciiTheme="majorBidi" w:hAnsiTheme="majorBidi" w:cstheme="majorBidi"/>
        </w:rPr>
        <w:t xml:space="preserve"> frameshift variant. The familial history of recurrent early infant death strongly suggests a severe, lethal autosomal recessive condition. Supporting the profound pathogenicity of this variant, population-level genomic data from an Icelandic cohort of over 173,000 genotyped individuals revealed a minor allele frequency of 0.28 percent (945 heterozygous carriers) with a complete absence of homozygous individuals in the dataset. Together, the historical pedigree and large-scale population data strongly imply that a biallelic state for this specific truncating allele results in an embryonic or early infantile lethal developmental phenotype.</w:t>
      </w:r>
    </w:p>
    <w:p w14:paraId="408DB8D0" w14:textId="77777777" w:rsidR="00BD461E" w:rsidRPr="00B90600" w:rsidRDefault="00BD461E" w:rsidP="00465EC0">
      <w:pPr>
        <w:jc w:val="both"/>
        <w:rPr>
          <w:rFonts w:asciiTheme="majorBidi" w:hAnsiTheme="majorBidi" w:cstheme="majorBidi"/>
        </w:rPr>
      </w:pPr>
    </w:p>
    <w:p w14:paraId="3FC5F567" w14:textId="77777777" w:rsidR="006518D5" w:rsidRPr="006518D5" w:rsidRDefault="006518D5" w:rsidP="006518D5">
      <w:pPr>
        <w:rPr>
          <w:rFonts w:asciiTheme="majorBidi" w:hAnsiTheme="majorBidi" w:cstheme="majorBidi"/>
          <w:b/>
          <w:bCs/>
        </w:rPr>
      </w:pPr>
      <w:r w:rsidRPr="006518D5">
        <w:rPr>
          <w:rFonts w:asciiTheme="majorBidi" w:hAnsiTheme="majorBidi" w:cstheme="majorBidi"/>
          <w:b/>
          <w:bCs/>
        </w:rPr>
        <w:t>Case 6</w:t>
      </w:r>
    </w:p>
    <w:p w14:paraId="28643A4D" w14:textId="64A1038F" w:rsidR="006518D5" w:rsidRPr="006518D5" w:rsidRDefault="006518D5" w:rsidP="00465EC0">
      <w:pPr>
        <w:jc w:val="both"/>
        <w:rPr>
          <w:rFonts w:asciiTheme="majorBidi" w:hAnsiTheme="majorBidi" w:cstheme="majorBidi"/>
        </w:rPr>
      </w:pPr>
      <w:r w:rsidRPr="006518D5">
        <w:rPr>
          <w:rFonts w:asciiTheme="majorBidi" w:hAnsiTheme="majorBidi" w:cstheme="majorBidi"/>
        </w:rPr>
        <w:t xml:space="preserve">The proband is a 15-year-old female born to healthy, non-consanguineous parents. The pregnancy was complicated by maternal gestational diabetes managed with labetalol and maternal factor V Leiden managed with enoxaparin. Delivery occurred at 37 weeks of gestation with normal birth parameters (weight 3055 g, length 49 cm, head circumference 34 cm) and no reported perinatal complications. Early psychomotor development was typical until approximately 18 months of age, when she experienced significant developmental regression predominantly affecting speech, while motor milestones remained intact. She is currently non-verbal and presents with severe intellectual disability and prominent neurobehavioral disturbances, including severe behavioral insomnia, hand flapping, pacing, pinching, and self-injurious behaviors such as head banging. Neurological examination revealed normal muscle tone and deep tendon reflexes, with an absence of spasticity, ataxia, or dystonia, although mild clumsiness was noted. Her clinical course is further complicated by epilepsy, with onset at 2 years of age initially characterized by absence seizures and later progressing to an episode of febrile status epilepticus at age 7. Electroencephalography demonstrated generalized rhythmic slowing and epileptiform discharges. Seizures have been successfully controlled with valproic acid, and she has remained seizure-free since 2019. Brain MRI performed at 3 years of age was completely normal, and a follow-up study is currently pending. Additional systemic findings include constipation, insulin resistance, and mild musculoskeletal anomalies such as flat feet and long, tapering fingers, with no recognizable facial dysmorphism or sensory organ abnormalities. </w:t>
      </w:r>
    </w:p>
    <w:p w14:paraId="17919187" w14:textId="77777777" w:rsidR="006518D5" w:rsidRPr="00B90600" w:rsidRDefault="006518D5" w:rsidP="007F79D6">
      <w:pPr>
        <w:rPr>
          <w:rFonts w:asciiTheme="majorBidi" w:hAnsiTheme="majorBidi" w:cstheme="majorBidi"/>
        </w:rPr>
      </w:pPr>
    </w:p>
    <w:p w14:paraId="49ED645A" w14:textId="77777777" w:rsidR="006518D5" w:rsidRPr="006518D5" w:rsidRDefault="006518D5" w:rsidP="006518D5">
      <w:pPr>
        <w:rPr>
          <w:rFonts w:asciiTheme="majorBidi" w:hAnsiTheme="majorBidi" w:cstheme="majorBidi"/>
          <w:b/>
          <w:bCs/>
        </w:rPr>
      </w:pPr>
      <w:r w:rsidRPr="006518D5">
        <w:rPr>
          <w:rFonts w:asciiTheme="majorBidi" w:hAnsiTheme="majorBidi" w:cstheme="majorBidi"/>
          <w:b/>
          <w:bCs/>
        </w:rPr>
        <w:t>Case 7</w:t>
      </w:r>
    </w:p>
    <w:p w14:paraId="332F9FD2" w14:textId="720D86CA" w:rsidR="006518D5" w:rsidRPr="006518D5" w:rsidRDefault="006518D5" w:rsidP="00465EC0">
      <w:pPr>
        <w:jc w:val="both"/>
        <w:rPr>
          <w:rFonts w:asciiTheme="majorBidi" w:hAnsiTheme="majorBidi" w:cstheme="majorBidi"/>
        </w:rPr>
      </w:pPr>
      <w:r w:rsidRPr="006518D5">
        <w:rPr>
          <w:rFonts w:asciiTheme="majorBidi" w:hAnsiTheme="majorBidi" w:cstheme="majorBidi"/>
        </w:rPr>
        <w:t xml:space="preserve">The proband is a 3-year-old male born to healthy, non-consanguineous parents without a family history of seizures. The pregnancy was complicated by maternal gestational diabetes and anemia, which were managed with metformin, low-dose aspirin, and iron supplementation. Delivery </w:t>
      </w:r>
      <w:r w:rsidRPr="006518D5">
        <w:rPr>
          <w:rFonts w:asciiTheme="majorBidi" w:hAnsiTheme="majorBidi" w:cstheme="majorBidi"/>
        </w:rPr>
        <w:lastRenderedPageBreak/>
        <w:t xml:space="preserve">occurred at 38 weeks and 1 day of gestation, complicated by perinatal distress secondary to a nuchal cord with transient cyanosis that resolved rapidly following initial nursery care. Birth parameters were normal (weight 3.2 kg, length 50.5 cm), and isolated ankyloglossia was noted. Early infancy was marked by feeding difficulties, including medically managed gastroesophageal reflux disease, occasional constipation, and a sensitive gag reflex that complicated the transition to solid foods. At 6 months of age, growth parameters remained within normal limits (weight 8.4 kg, length 66 cm, head circumference 44.5 cm). Developmentally, while alert and capable of cooing and smiling, he exhibited early signs of global delay. Motor assessments revealed an aversion to prone positioning, an inability to roll from supine to prone, and delayed fine motor skills (grasping objects without bringing them to the mouth), although he was beginning to sit unsupported. Socially, he demonstrated inconsistent eye contact and a limited response to his name. Neurological evaluation was notable for intermittent, unprovoked involuntary movements involving the neck, trunk, and face. He experienced two distinct seizure-like episodes at 1.5 and 6 weeks of age, characterized by ocular deviation, lateral head version, and generalized jerking lasting approximately 30 seconds. A subsequent electroencephalogram at 2 months of age was normal, and antiepileptic therapy was not initiated. Physical examination at 6 months noted plagiocephaly and macrocephaly, with no other dysmorphic, cardiac, or musculoskeletal abnormalities. Brain magnetic resonance imaging has not yet been performed. Of note, a prior epilepsy gene panel identified a maternally inherited </w:t>
      </w:r>
      <w:r w:rsidRPr="006518D5">
        <w:rPr>
          <w:rFonts w:asciiTheme="majorBidi" w:hAnsiTheme="majorBidi" w:cstheme="majorBidi"/>
          <w:i/>
          <w:iCs/>
        </w:rPr>
        <w:t>SPTAN1</w:t>
      </w:r>
      <w:r w:rsidRPr="006518D5">
        <w:rPr>
          <w:rFonts w:asciiTheme="majorBidi" w:hAnsiTheme="majorBidi" w:cstheme="majorBidi"/>
        </w:rPr>
        <w:t xml:space="preserve"> variant of uncertain significance. </w:t>
      </w:r>
    </w:p>
    <w:p w14:paraId="630461E2" w14:textId="77777777" w:rsidR="006518D5" w:rsidRPr="00B90600" w:rsidRDefault="006518D5" w:rsidP="00465EC0">
      <w:pPr>
        <w:jc w:val="both"/>
        <w:rPr>
          <w:rFonts w:asciiTheme="majorBidi" w:hAnsiTheme="majorBidi" w:cstheme="majorBidi"/>
        </w:rPr>
      </w:pPr>
    </w:p>
    <w:p w14:paraId="52EE41C3" w14:textId="77777777" w:rsidR="00832B7E" w:rsidRPr="00832B7E" w:rsidRDefault="00832B7E" w:rsidP="00832B7E">
      <w:pPr>
        <w:rPr>
          <w:rFonts w:asciiTheme="majorBidi" w:hAnsiTheme="majorBidi" w:cstheme="majorBidi"/>
          <w:b/>
          <w:bCs/>
        </w:rPr>
      </w:pPr>
      <w:r w:rsidRPr="00832B7E">
        <w:rPr>
          <w:rFonts w:asciiTheme="majorBidi" w:hAnsiTheme="majorBidi" w:cstheme="majorBidi"/>
          <w:b/>
          <w:bCs/>
        </w:rPr>
        <w:t>Case 8</w:t>
      </w:r>
    </w:p>
    <w:p w14:paraId="195DBAB2" w14:textId="68F47FD7" w:rsidR="00832B7E" w:rsidRPr="00B90600" w:rsidRDefault="00832B7E" w:rsidP="00465EC0">
      <w:pPr>
        <w:jc w:val="both"/>
        <w:rPr>
          <w:rFonts w:asciiTheme="majorBidi" w:hAnsiTheme="majorBidi" w:cstheme="majorBidi"/>
        </w:rPr>
      </w:pPr>
      <w:r w:rsidRPr="00832B7E">
        <w:rPr>
          <w:rFonts w:asciiTheme="majorBidi" w:hAnsiTheme="majorBidi" w:cstheme="majorBidi"/>
        </w:rPr>
        <w:t xml:space="preserve">The proband is a 23-year-old female born at term following an uncomplicated pregnancy and delivery, with normal neonatal growth parameters (birth weight 7 </w:t>
      </w:r>
      <w:proofErr w:type="spellStart"/>
      <w:r w:rsidRPr="00832B7E">
        <w:rPr>
          <w:rFonts w:asciiTheme="majorBidi" w:hAnsiTheme="majorBidi" w:cstheme="majorBidi"/>
        </w:rPr>
        <w:t>lbs</w:t>
      </w:r>
      <w:proofErr w:type="spellEnd"/>
      <w:r w:rsidRPr="00832B7E">
        <w:rPr>
          <w:rFonts w:asciiTheme="majorBidi" w:hAnsiTheme="majorBidi" w:cstheme="majorBidi"/>
        </w:rPr>
        <w:t xml:space="preserve"> 13 oz, length 18 inches). Early psychomotor and cognitive development was entirely unremarkable, with no evidence of developmental delay, speech delay, or intellectual disability, and she achieved normal motor milestones and academic performance. At approximately 21 years of age, she began to experience progressive muscle spasms and weakness. These symptoms initially affected the left-sided extremities, presenting as shoulder tightness, ptosis, and a left foot drop, before eventually extending to the right thigh. The condition has progressively worsened over a two-year period, resulting in spastic paraparesis, severe gait instability, and wheelchair dependency. She also reports prominent nocturnal worsening of spasms and significant fatigue following minimal exertion. Neurological examination revealed hyperreflexia, a tremor that initially affected the left hand but recently involved the right, and spasticity that remains predominantly on the left side. Dysphagia is a prominent feature requiring a pureed diet, with episodes of esophageal spasms confirmed by formal swallow evaluation and endoscopy. Furthermore, speech difficulties exacerbate with fatigue, strongly suggesting bulbar involvement. Electromyography and standard nerve conduction studies were normal, effectively excluding a peripheral neuropathy, and repetitive nerve conduction studies were similarly unremarkable. Pulmonary function tests remained within normal limits. Brain MRI was unremarkable, demonstrating only a stable left temporal arachnoid </w:t>
      </w:r>
      <w:r w:rsidRPr="00832B7E">
        <w:rPr>
          <w:rFonts w:asciiTheme="majorBidi" w:hAnsiTheme="majorBidi" w:cstheme="majorBidi"/>
        </w:rPr>
        <w:lastRenderedPageBreak/>
        <w:t xml:space="preserve">cyst, mild cerebellar atrophy, and minor nonspecific white matter lesions possibly related to a history of migraines, while spinal MRI was completely normal. Her past medical history is notable for Hashimoto thyroiditis. The family history includes a brother with focal epilepsy, a maternal cousin with intellectual disability, and several extended relatives with late-onset neurological or psychiatric disorders. </w:t>
      </w:r>
      <w:r w:rsidRPr="00B90600">
        <w:rPr>
          <w:rFonts w:asciiTheme="majorBidi" w:hAnsiTheme="majorBidi" w:cstheme="majorBidi"/>
        </w:rPr>
        <w:t>T</w:t>
      </w:r>
      <w:r w:rsidRPr="00832B7E">
        <w:rPr>
          <w:rFonts w:asciiTheme="majorBidi" w:hAnsiTheme="majorBidi" w:cstheme="majorBidi"/>
        </w:rPr>
        <w:t xml:space="preserve">he clinical course and radiological findings </w:t>
      </w:r>
      <w:r w:rsidRPr="00B90600">
        <w:rPr>
          <w:rFonts w:asciiTheme="majorBidi" w:hAnsiTheme="majorBidi" w:cstheme="majorBidi"/>
        </w:rPr>
        <w:t>reve</w:t>
      </w:r>
      <w:r w:rsidR="002B7BA2">
        <w:rPr>
          <w:rFonts w:asciiTheme="majorBidi" w:hAnsiTheme="majorBidi" w:cstheme="majorBidi"/>
        </w:rPr>
        <w:t>a</w:t>
      </w:r>
      <w:r w:rsidRPr="00B90600">
        <w:rPr>
          <w:rFonts w:asciiTheme="majorBidi" w:hAnsiTheme="majorBidi" w:cstheme="majorBidi"/>
        </w:rPr>
        <w:t>led</w:t>
      </w:r>
      <w:r w:rsidRPr="00832B7E">
        <w:rPr>
          <w:rFonts w:asciiTheme="majorBidi" w:hAnsiTheme="majorBidi" w:cstheme="majorBidi"/>
        </w:rPr>
        <w:t xml:space="preserve"> adult-onset progressive motor disorder, includ</w:t>
      </w:r>
      <w:r w:rsidRPr="00B90600">
        <w:rPr>
          <w:rFonts w:asciiTheme="majorBidi" w:hAnsiTheme="majorBidi" w:cstheme="majorBidi"/>
        </w:rPr>
        <w:t>ing</w:t>
      </w:r>
      <w:r w:rsidRPr="00832B7E">
        <w:rPr>
          <w:rFonts w:asciiTheme="majorBidi" w:hAnsiTheme="majorBidi" w:cstheme="majorBidi"/>
        </w:rPr>
        <w:t xml:space="preserve"> late-onset spastic paraplegia with bulbar involvement and mild cerebellar atrophy.</w:t>
      </w:r>
    </w:p>
    <w:p w14:paraId="2EBF6E7D" w14:textId="77777777" w:rsidR="00C4038A" w:rsidRPr="00B90600" w:rsidRDefault="00C4038A" w:rsidP="00465EC0">
      <w:pPr>
        <w:jc w:val="both"/>
        <w:rPr>
          <w:rFonts w:asciiTheme="majorBidi" w:hAnsiTheme="majorBidi" w:cstheme="majorBidi"/>
        </w:rPr>
      </w:pPr>
    </w:p>
    <w:p w14:paraId="37C8DA52" w14:textId="77777777" w:rsidR="00C4038A" w:rsidRPr="00C4038A" w:rsidRDefault="00C4038A" w:rsidP="00C4038A">
      <w:pPr>
        <w:rPr>
          <w:rFonts w:asciiTheme="majorBidi" w:hAnsiTheme="majorBidi" w:cstheme="majorBidi"/>
          <w:b/>
          <w:bCs/>
        </w:rPr>
      </w:pPr>
      <w:r w:rsidRPr="00C4038A">
        <w:rPr>
          <w:rFonts w:asciiTheme="majorBidi" w:hAnsiTheme="majorBidi" w:cstheme="majorBidi"/>
          <w:b/>
          <w:bCs/>
        </w:rPr>
        <w:t>Case 9</w:t>
      </w:r>
    </w:p>
    <w:p w14:paraId="2F6C4FA3" w14:textId="77777777" w:rsidR="00C4038A" w:rsidRPr="00C4038A" w:rsidRDefault="00C4038A" w:rsidP="00465EC0">
      <w:pPr>
        <w:jc w:val="both"/>
        <w:rPr>
          <w:rFonts w:asciiTheme="majorBidi" w:hAnsiTheme="majorBidi" w:cstheme="majorBidi"/>
        </w:rPr>
      </w:pPr>
      <w:r w:rsidRPr="00C4038A">
        <w:rPr>
          <w:rFonts w:asciiTheme="majorBidi" w:hAnsiTheme="majorBidi" w:cstheme="majorBidi"/>
        </w:rPr>
        <w:t xml:space="preserve">The proband is a 23-year-old female born at 36 weeks of gestation following a pregnancy complicated by maternal hypertension. Birth parameters were below the normal range, indicative of intrauterine growth restriction (weight 1960 g; length 43 cm, -3 SD; head circumference 32 cm, 3rd percentile). The neonatal period was notable for respiratory distress, and early infancy was marked by failure to thrive. From early childhood, she demonstrated learning difficulties and limited problem-solving abilities. Notably, cognitive decline became more evident during adolescence around 15 years of age, culminating in mild intellectual disability, dysarthric but intelligible speech, and documented psychomotor regression. Neurological examination revealed axial hypotonia, hyperreflexia, and spastic paraparesis predominantly involving the hip abductors and hamstrings. Gait analysis highlighted tiptoe walking, shortened steps, increased hip adduction, persistent knee flexion, and an absence of physiological arm swing, accompanied by trunk </w:t>
      </w:r>
      <w:proofErr w:type="spellStart"/>
      <w:r w:rsidRPr="00C4038A">
        <w:rPr>
          <w:rFonts w:asciiTheme="majorBidi" w:hAnsiTheme="majorBidi" w:cstheme="majorBidi"/>
        </w:rPr>
        <w:t>anteropulsion</w:t>
      </w:r>
      <w:proofErr w:type="spellEnd"/>
      <w:r w:rsidRPr="00C4038A">
        <w:rPr>
          <w:rFonts w:asciiTheme="majorBidi" w:hAnsiTheme="majorBidi" w:cstheme="majorBidi"/>
        </w:rPr>
        <w:t xml:space="preserve"> and a forward head posture. Additional motor findings included mild intention tremor and dysmetria. Brain MRI demonstrated discrete prominence of the occipital sulci with volume reduction of the adjacent parenchyma, alongside asymmetric dilation of the occipital horns and atria of the lateral ventricles, suggestive of mild structural alterations of uncertain significance. Systemic and neurobehavioral evaluation revealed myopia, astigmatism, severe insomnia, and psychiatric comorbidities including panic disorder and mixed anxiety-depressive disorder. There is no history of clinical seizures, hearing loss, or recognizable facial dysmorphism. At her most recent examination, her height was 143 cm and weight was 38 kg, consistent with proportionate short stature, a trait also observed in her paternal lineage. Familial segregation confirmed an affected brother harboring the same biallelic </w:t>
      </w:r>
      <w:r w:rsidRPr="00C4038A">
        <w:rPr>
          <w:rFonts w:asciiTheme="majorBidi" w:hAnsiTheme="majorBidi" w:cstheme="majorBidi"/>
          <w:i/>
          <w:iCs/>
        </w:rPr>
        <w:t>SNAPC4</w:t>
      </w:r>
      <w:r w:rsidRPr="00C4038A">
        <w:rPr>
          <w:rFonts w:asciiTheme="majorBidi" w:hAnsiTheme="majorBidi" w:cstheme="majorBidi"/>
        </w:rPr>
        <w:t xml:space="preserve"> genotype.</w:t>
      </w:r>
    </w:p>
    <w:p w14:paraId="3C683381" w14:textId="77777777" w:rsidR="00C4038A" w:rsidRPr="00B90600" w:rsidRDefault="00C4038A" w:rsidP="00465EC0">
      <w:pPr>
        <w:jc w:val="both"/>
        <w:rPr>
          <w:rFonts w:asciiTheme="majorBidi" w:hAnsiTheme="majorBidi" w:cstheme="majorBidi"/>
        </w:rPr>
      </w:pPr>
    </w:p>
    <w:p w14:paraId="1EB8CF62" w14:textId="77777777" w:rsidR="00DB26B9" w:rsidRPr="00DB26B9" w:rsidRDefault="00DB26B9" w:rsidP="00DB26B9">
      <w:pPr>
        <w:rPr>
          <w:rFonts w:asciiTheme="majorBidi" w:hAnsiTheme="majorBidi" w:cstheme="majorBidi"/>
          <w:b/>
          <w:bCs/>
        </w:rPr>
      </w:pPr>
      <w:r w:rsidRPr="00DB26B9">
        <w:rPr>
          <w:rFonts w:asciiTheme="majorBidi" w:hAnsiTheme="majorBidi" w:cstheme="majorBidi"/>
          <w:b/>
          <w:bCs/>
        </w:rPr>
        <w:t>Case 10</w:t>
      </w:r>
    </w:p>
    <w:p w14:paraId="32F89C73" w14:textId="77777777" w:rsidR="00DB26B9" w:rsidRPr="00DB26B9" w:rsidRDefault="00DB26B9" w:rsidP="00465EC0">
      <w:pPr>
        <w:jc w:val="both"/>
        <w:rPr>
          <w:rFonts w:asciiTheme="majorBidi" w:hAnsiTheme="majorBidi" w:cstheme="majorBidi"/>
        </w:rPr>
      </w:pPr>
      <w:r w:rsidRPr="00DB26B9">
        <w:rPr>
          <w:rFonts w:asciiTheme="majorBidi" w:hAnsiTheme="majorBidi" w:cstheme="majorBidi"/>
        </w:rPr>
        <w:t xml:space="preserve">The proband is a 10-year-old female born at 38 weeks and 4 days of gestation via uncomplicated vaginal delivery, with normal neonatal parameters (birth weight 3260 g, length 49.5 cm) and an absence of perinatal complications. Whole-genome sequencing identified compound heterozygous </w:t>
      </w:r>
      <w:r w:rsidRPr="00DB26B9">
        <w:rPr>
          <w:rFonts w:asciiTheme="majorBidi" w:hAnsiTheme="majorBidi" w:cstheme="majorBidi"/>
          <w:i/>
          <w:iCs/>
        </w:rPr>
        <w:t>SNAPC4</w:t>
      </w:r>
      <w:r w:rsidRPr="00DB26B9">
        <w:rPr>
          <w:rFonts w:asciiTheme="majorBidi" w:hAnsiTheme="majorBidi" w:cstheme="majorBidi"/>
        </w:rPr>
        <w:t xml:space="preserve"> variants, with biparental inheritance confirmed. Early psychomotor development was largely typical, although a mild speech delay was noted which subsequently improved with </w:t>
      </w:r>
      <w:r w:rsidRPr="00DB26B9">
        <w:rPr>
          <w:rFonts w:asciiTheme="majorBidi" w:hAnsiTheme="majorBidi" w:cstheme="majorBidi"/>
        </w:rPr>
        <w:lastRenderedPageBreak/>
        <w:t xml:space="preserve">targeted therapy. Broader developmental concerns emerged at school age, primarily characterized by learning difficulties and attention deficits. Formal cognitive testing revealed an IQ of 85, indicative of borderline intellectual functioning. Notably, there has been no documented psychomotor regression or gross motor delay. Neurological examination demonstrated normal muscle tone, strength, and deep tendon reflexes, with no evidence of ataxia, spasticity, or abnormal movements. Brain MRI performed at 1 year of age for the evaluation of microcephaly was structurally normal. At her most recent evaluation at 10 years of age, she demonstrated persistent microcephaly (head circumference 48 cm, &lt;1st percentile), alongside normal stature (67th percentile) and weight (39th percentile), although bone age evaluation revealed delayed skeletal maturation. Comprehensive behavioral and psychiatric assessments confirmed attention deficit hyperactivity disorder, disruptive mood dysregulation disorder, and conduct disorder, which are currently managed with behavioral therapy. Physical examination highlighted mild facial features including an arched palate, </w:t>
      </w:r>
      <w:proofErr w:type="spellStart"/>
      <w:r w:rsidRPr="00DB26B9">
        <w:rPr>
          <w:rFonts w:asciiTheme="majorBidi" w:hAnsiTheme="majorBidi" w:cstheme="majorBidi"/>
        </w:rPr>
        <w:t>synophrys</w:t>
      </w:r>
      <w:proofErr w:type="spellEnd"/>
      <w:r w:rsidRPr="00DB26B9">
        <w:rPr>
          <w:rFonts w:asciiTheme="majorBidi" w:hAnsiTheme="majorBidi" w:cstheme="majorBidi"/>
        </w:rPr>
        <w:t>, and long eyelashes, without other gross dysmorphisms. Systemic evaluation was otherwise entirely unremarkable, with no reported cardiac, ophthalmologic, musculoskeletal, gastrointestinal, or urogenital abnormalities.</w:t>
      </w:r>
    </w:p>
    <w:p w14:paraId="54446B67" w14:textId="77777777" w:rsidR="00DB26B9" w:rsidRPr="00B90600" w:rsidRDefault="00DB26B9" w:rsidP="00465EC0">
      <w:pPr>
        <w:jc w:val="both"/>
        <w:rPr>
          <w:rFonts w:asciiTheme="majorBidi" w:hAnsiTheme="majorBidi" w:cstheme="majorBidi"/>
        </w:rPr>
      </w:pPr>
    </w:p>
    <w:p w14:paraId="034E088C" w14:textId="27E27B60" w:rsidR="00DB26B9" w:rsidRPr="00DB26B9" w:rsidRDefault="00DB26B9" w:rsidP="00DB26B9">
      <w:pPr>
        <w:rPr>
          <w:rFonts w:asciiTheme="majorBidi" w:hAnsiTheme="majorBidi" w:cstheme="majorBidi"/>
          <w:b/>
          <w:bCs/>
        </w:rPr>
      </w:pPr>
      <w:r w:rsidRPr="00DB26B9">
        <w:rPr>
          <w:rFonts w:asciiTheme="majorBidi" w:hAnsiTheme="majorBidi" w:cstheme="majorBidi"/>
          <w:b/>
          <w:bCs/>
        </w:rPr>
        <w:t>Case 1</w:t>
      </w:r>
      <w:r w:rsidR="000965EA">
        <w:rPr>
          <w:rFonts w:asciiTheme="majorBidi" w:hAnsiTheme="majorBidi" w:cstheme="majorBidi"/>
          <w:b/>
          <w:bCs/>
        </w:rPr>
        <w:t>1</w:t>
      </w:r>
    </w:p>
    <w:p w14:paraId="63AA8F97" w14:textId="77777777" w:rsidR="00DB26B9" w:rsidRPr="00DB26B9" w:rsidRDefault="00DB26B9" w:rsidP="00465EC0">
      <w:pPr>
        <w:jc w:val="both"/>
        <w:rPr>
          <w:rFonts w:asciiTheme="majorBidi" w:hAnsiTheme="majorBidi" w:cstheme="majorBidi"/>
        </w:rPr>
      </w:pPr>
      <w:r w:rsidRPr="00DB26B9">
        <w:rPr>
          <w:rFonts w:asciiTheme="majorBidi" w:hAnsiTheme="majorBidi" w:cstheme="majorBidi"/>
        </w:rPr>
        <w:t xml:space="preserve">The proband is a 4-month-old female infant born prematurely at 36 weeks of gestation following a pregnancy complicated by maternal </w:t>
      </w:r>
      <w:r w:rsidRPr="00DB26B9">
        <w:rPr>
          <w:rFonts w:asciiTheme="majorBidi" w:hAnsiTheme="majorBidi" w:cstheme="majorBidi"/>
          <w:i/>
          <w:iCs/>
        </w:rPr>
        <w:t>Escherichia coli</w:t>
      </w:r>
      <w:r w:rsidRPr="00DB26B9">
        <w:rPr>
          <w:rFonts w:asciiTheme="majorBidi" w:hAnsiTheme="majorBidi" w:cstheme="majorBidi"/>
        </w:rPr>
        <w:t xml:space="preserve"> bacteriuria. Delivery was notable for symmetrical intrauterine growth restriction, with a birth weight of 1730 g, a length of 40 cm, and a head circumference of 29 cm, alongside Apgar scores of 6, 7, and 8 at 1, 3, and 5 minutes, respectively. Family history was unremarkable, and trio whole-exome sequencing identified biparentally inherited compound heterozygous </w:t>
      </w:r>
      <w:r w:rsidRPr="00DB26B9">
        <w:rPr>
          <w:rFonts w:asciiTheme="majorBidi" w:hAnsiTheme="majorBidi" w:cstheme="majorBidi"/>
          <w:i/>
          <w:iCs/>
        </w:rPr>
        <w:t>SNAPC4</w:t>
      </w:r>
      <w:r w:rsidRPr="00DB26B9">
        <w:rPr>
          <w:rFonts w:asciiTheme="majorBidi" w:hAnsiTheme="majorBidi" w:cstheme="majorBidi"/>
        </w:rPr>
        <w:t xml:space="preserve"> variants. By 3 months of age, she continued to exhibit profound growth restriction (weight 2340 g, length 44 cm, head circumference 30 cm) exacerbated by significant feeding difficulties and failure to thrive. Clinically, she presented with severe global developmental delay, motor delay, and generalized hypotonia, with no documented history of seizures. Physical examination highlighted distinct facial dysmorphism characterized by short and narrow palpebral fissures, microstomia, retrognathia, and a short neck. Dermatological and appendicular assessments noted dry, flaky skin accompanied by generalized edema, abnormal dermatoglyphics, and plantar flexion of the feet. Systemic evaluation further identified a congenital ventricular septal defect. Neuroimaging was pursued to determine the underlying etiology; initial </w:t>
      </w:r>
      <w:proofErr w:type="spellStart"/>
      <w:r w:rsidRPr="00DB26B9">
        <w:rPr>
          <w:rFonts w:asciiTheme="majorBidi" w:hAnsiTheme="majorBidi" w:cstheme="majorBidi"/>
        </w:rPr>
        <w:t>transfontanellar</w:t>
      </w:r>
      <w:proofErr w:type="spellEnd"/>
      <w:r w:rsidRPr="00DB26B9">
        <w:rPr>
          <w:rFonts w:asciiTheme="majorBidi" w:hAnsiTheme="majorBidi" w:cstheme="majorBidi"/>
        </w:rPr>
        <w:t xml:space="preserve"> echography revealed moderate dilation of the lateral ventricles, while a subsequent brain MRI performed at 4 months of age demonstrated severe structural anomalies, including pontocerebellar atrophy with hypoplasia of the vermis and cerebellum, hypoplasia of the corpus callosum, hydrocephalus, and generalized cortical atrophy.</w:t>
      </w:r>
    </w:p>
    <w:p w14:paraId="338BFC60" w14:textId="77777777" w:rsidR="00DB26B9" w:rsidRPr="00B90600" w:rsidRDefault="00DB26B9" w:rsidP="00832B7E">
      <w:pPr>
        <w:rPr>
          <w:rFonts w:asciiTheme="majorBidi" w:hAnsiTheme="majorBidi" w:cstheme="majorBidi"/>
        </w:rPr>
      </w:pPr>
    </w:p>
    <w:p w14:paraId="3082C466" w14:textId="49575FFF" w:rsidR="00E61C85" w:rsidRPr="00E61C85" w:rsidRDefault="00E61C85" w:rsidP="00E61C85">
      <w:pPr>
        <w:rPr>
          <w:rFonts w:asciiTheme="majorBidi" w:hAnsiTheme="majorBidi" w:cstheme="majorBidi"/>
          <w:b/>
          <w:bCs/>
        </w:rPr>
      </w:pPr>
      <w:r w:rsidRPr="00E61C85">
        <w:rPr>
          <w:rFonts w:asciiTheme="majorBidi" w:hAnsiTheme="majorBidi" w:cstheme="majorBidi"/>
          <w:b/>
          <w:bCs/>
        </w:rPr>
        <w:t>Case 1</w:t>
      </w:r>
      <w:r w:rsidR="000965EA">
        <w:rPr>
          <w:rFonts w:asciiTheme="majorBidi" w:hAnsiTheme="majorBidi" w:cstheme="majorBidi"/>
          <w:b/>
          <w:bCs/>
        </w:rPr>
        <w:t>2</w:t>
      </w:r>
    </w:p>
    <w:p w14:paraId="23B5498F" w14:textId="77777777" w:rsidR="00E61C85" w:rsidRPr="00E61C85" w:rsidRDefault="00E61C85" w:rsidP="00465EC0">
      <w:pPr>
        <w:jc w:val="both"/>
        <w:rPr>
          <w:rFonts w:asciiTheme="majorBidi" w:hAnsiTheme="majorBidi" w:cstheme="majorBidi"/>
        </w:rPr>
      </w:pPr>
      <w:r w:rsidRPr="00E61C85">
        <w:rPr>
          <w:rFonts w:asciiTheme="majorBidi" w:hAnsiTheme="majorBidi" w:cstheme="majorBidi"/>
        </w:rPr>
        <w:lastRenderedPageBreak/>
        <w:t xml:space="preserve">The proband is an 18-year-old female born at term at 40 weeks of gestation following an uneventful pregnancy and delivery. Birth parameters were within the normal range (weight 3230 g, length 50 cm, head circumference 33.5 cm), with no reported perinatal complications. Genomic analysis identified biparentally inherited compound heterozygous </w:t>
      </w:r>
      <w:r w:rsidRPr="00E61C85">
        <w:rPr>
          <w:rFonts w:asciiTheme="majorBidi" w:hAnsiTheme="majorBidi" w:cstheme="majorBidi"/>
          <w:i/>
          <w:iCs/>
        </w:rPr>
        <w:t>SNAPC4</w:t>
      </w:r>
      <w:r w:rsidRPr="00E61C85">
        <w:rPr>
          <w:rFonts w:asciiTheme="majorBidi" w:hAnsiTheme="majorBidi" w:cstheme="majorBidi"/>
        </w:rPr>
        <w:t xml:space="preserve"> variants. Developmental delay was noted from 6 months of age, initially manifesting as delayed head control. She exhibited persistent motor and speech delays and remains non-ambulatory at 18 years of age. Neurological examination revealed generalized hypotonia, lower limb spasticity with paraparesis, associated muscle weakness, and ataxia, alongside brisk deep tendon reflexes. Notably, there has been no history of psychomotor regression, clinical seizures, or sleep disturbances. Cognitive assessment indicated mild intellectual disability, with appropriate behavior and an absence of psychiatric or behavioral disorders. Anthropometric evaluation at her most recent examination revealed short stature (height 147 cm, -2.86 SD) despite a normal parental target height (+0.8 SD), while head circumference (55 cm, M SD) and weight (50 kg, -0.46 SD) remained within normal limits. Brain MRI performed at 5 years of age was completely normal, showing no evidence of cerebral or cerebellar atrophy, white matter alterations, or structural abnormalities. Additional systemic findings include mild scoliosis and facial dysmorphism characterized by </w:t>
      </w:r>
      <w:proofErr w:type="spellStart"/>
      <w:r w:rsidRPr="00E61C85">
        <w:rPr>
          <w:rFonts w:asciiTheme="majorBidi" w:hAnsiTheme="majorBidi" w:cstheme="majorBidi"/>
        </w:rPr>
        <w:t>synophrys</w:t>
      </w:r>
      <w:proofErr w:type="spellEnd"/>
      <w:r w:rsidRPr="00E61C85">
        <w:rPr>
          <w:rFonts w:asciiTheme="majorBidi" w:hAnsiTheme="majorBidi" w:cstheme="majorBidi"/>
        </w:rPr>
        <w:t>, with no reported cardiac, ophthalmologic, auditory, endocrine, or gastrointestinal abnormalities.</w:t>
      </w:r>
    </w:p>
    <w:p w14:paraId="6AA40419" w14:textId="77777777" w:rsidR="00E61C85" w:rsidRPr="00B90600" w:rsidRDefault="00E61C85" w:rsidP="00465EC0">
      <w:pPr>
        <w:jc w:val="both"/>
        <w:rPr>
          <w:rFonts w:asciiTheme="majorBidi" w:hAnsiTheme="majorBidi" w:cstheme="majorBidi"/>
        </w:rPr>
      </w:pPr>
    </w:p>
    <w:p w14:paraId="61FFA649" w14:textId="0ACDE9B8" w:rsidR="00E61C85" w:rsidRPr="00E61C85" w:rsidRDefault="00E61C85" w:rsidP="00E61C85">
      <w:pPr>
        <w:rPr>
          <w:rFonts w:asciiTheme="majorBidi" w:hAnsiTheme="majorBidi" w:cstheme="majorBidi"/>
          <w:b/>
          <w:bCs/>
        </w:rPr>
      </w:pPr>
      <w:r w:rsidRPr="00E61C85">
        <w:rPr>
          <w:rFonts w:asciiTheme="majorBidi" w:hAnsiTheme="majorBidi" w:cstheme="majorBidi"/>
          <w:b/>
          <w:bCs/>
        </w:rPr>
        <w:t>Case 1</w:t>
      </w:r>
      <w:r w:rsidR="000965EA">
        <w:rPr>
          <w:rFonts w:asciiTheme="majorBidi" w:hAnsiTheme="majorBidi" w:cstheme="majorBidi"/>
          <w:b/>
          <w:bCs/>
        </w:rPr>
        <w:t>3</w:t>
      </w:r>
    </w:p>
    <w:p w14:paraId="279B313D" w14:textId="77777777" w:rsidR="00E61C85" w:rsidRPr="00E61C85" w:rsidRDefault="00E61C85" w:rsidP="00465EC0">
      <w:pPr>
        <w:jc w:val="both"/>
        <w:rPr>
          <w:rFonts w:asciiTheme="majorBidi" w:hAnsiTheme="majorBidi" w:cstheme="majorBidi"/>
        </w:rPr>
      </w:pPr>
      <w:r w:rsidRPr="00E61C85">
        <w:rPr>
          <w:rFonts w:asciiTheme="majorBidi" w:hAnsiTheme="majorBidi" w:cstheme="majorBidi"/>
        </w:rPr>
        <w:t>The proband is a 4-year-old male born preterm at 30 weeks of gestation via cesarean section following a pregnancy complicated by oligohydramnios. Birth weight was 980 g, and the neonatal period was marked by complications related to prematurity, with early growth further affected by feeding difficulties and failure to thrive. Developmentally, he presents with global developmental delay and mild to moderate intellectual disability. Speech is significantly delayed; babbling commenced at 8 months and the first word emerged at 2.5 years, with no two-word combinations to date, rendering him fully dependent on his parents for daily care. Although he exhibits mild motor delay, he is currently able to walk independently. Neurological examination is notable for spasticity predominantly affecting the lower limbs, spastic diplegia, and hyperreflexia in the lower extremities. Muscle tone and strength are otherwise normal, with no evidence of dystonia, tremor, or ataxia, and there is no history of clinical seizures, sleep disturbances, or behavioral abnormalities. Brain MRI revealed lissencephaly, characterized by bilateral frontoparietal, temporal, and occipital cortical thickening with decreased sulcation and gyration, consistent with the lissencephaly and pachygyria spectrum, without additional cerebral or cerebellar atrophy. Physical examination demonstrated microcephaly (head circumference 46 cm), a long facial shape, and dental abnormalities, with no evidence of cardiac, skeletal, ophthalmologic, or urogenital malformations.</w:t>
      </w:r>
    </w:p>
    <w:p w14:paraId="7C82B564" w14:textId="77777777" w:rsidR="00E61C85" w:rsidRPr="00B90600" w:rsidRDefault="00E61C85" w:rsidP="00465EC0">
      <w:pPr>
        <w:jc w:val="both"/>
        <w:rPr>
          <w:rFonts w:asciiTheme="majorBidi" w:hAnsiTheme="majorBidi" w:cstheme="majorBidi"/>
        </w:rPr>
      </w:pPr>
    </w:p>
    <w:p w14:paraId="656E6E90" w14:textId="48CFD17B" w:rsidR="00FB51E9" w:rsidRPr="00FB51E9" w:rsidRDefault="00FB51E9" w:rsidP="00FB51E9">
      <w:pPr>
        <w:rPr>
          <w:rFonts w:asciiTheme="majorBidi" w:hAnsiTheme="majorBidi" w:cstheme="majorBidi"/>
          <w:b/>
          <w:bCs/>
        </w:rPr>
      </w:pPr>
      <w:r w:rsidRPr="00FB51E9">
        <w:rPr>
          <w:rFonts w:asciiTheme="majorBidi" w:hAnsiTheme="majorBidi" w:cstheme="majorBidi"/>
          <w:b/>
          <w:bCs/>
        </w:rPr>
        <w:t>Case 1</w:t>
      </w:r>
      <w:r w:rsidR="000965EA">
        <w:rPr>
          <w:rFonts w:asciiTheme="majorBidi" w:hAnsiTheme="majorBidi" w:cstheme="majorBidi"/>
          <w:b/>
          <w:bCs/>
        </w:rPr>
        <w:t>4</w:t>
      </w:r>
    </w:p>
    <w:p w14:paraId="58946DD1" w14:textId="2B6B6B5B" w:rsidR="00FB51E9" w:rsidRPr="00FB51E9" w:rsidRDefault="00FB51E9" w:rsidP="00465EC0">
      <w:pPr>
        <w:jc w:val="both"/>
        <w:rPr>
          <w:rFonts w:asciiTheme="majorBidi" w:hAnsiTheme="majorBidi" w:cstheme="majorBidi"/>
        </w:rPr>
      </w:pPr>
      <w:r w:rsidRPr="00FB51E9">
        <w:rPr>
          <w:rFonts w:asciiTheme="majorBidi" w:hAnsiTheme="majorBidi" w:cstheme="majorBidi"/>
        </w:rPr>
        <w:lastRenderedPageBreak/>
        <w:t xml:space="preserve">The proband is a 9-year-old male born to consanguineous parents who are second-degree cousins. Pregnancy and delivery were unremarkable, with no reported perinatal complications or early feeding difficulties. Genomic analysis via whole-genome sequencing identified a </w:t>
      </w:r>
      <w:r w:rsidR="00FA11E5">
        <w:rPr>
          <w:rFonts w:asciiTheme="majorBidi" w:hAnsiTheme="majorBidi" w:cstheme="majorBidi"/>
        </w:rPr>
        <w:t>homozygous</w:t>
      </w:r>
      <w:r w:rsidRPr="00FB51E9">
        <w:rPr>
          <w:rFonts w:asciiTheme="majorBidi" w:hAnsiTheme="majorBidi" w:cstheme="majorBidi"/>
        </w:rPr>
        <w:t xml:space="preserve"> </w:t>
      </w:r>
      <w:r w:rsidRPr="00FB51E9">
        <w:rPr>
          <w:rFonts w:asciiTheme="majorBidi" w:hAnsiTheme="majorBidi" w:cstheme="majorBidi"/>
          <w:i/>
          <w:iCs/>
        </w:rPr>
        <w:t>SNAPC4</w:t>
      </w:r>
      <w:r w:rsidRPr="00FB51E9">
        <w:rPr>
          <w:rFonts w:asciiTheme="majorBidi" w:hAnsiTheme="majorBidi" w:cstheme="majorBidi"/>
        </w:rPr>
        <w:t xml:space="preserve"> splice-site variant. Developmentally, the patient presented with autism spectrum disorder, characterized by poor social interaction and limited eye contact, alongside delayed speech and language development and documented psychomotor regression. His expressive speech remains significantly limited. Neurological evaluation revealed no history of seizures, movement disorders, or abnormalities in muscle tone, and both electroencephalogram and brain MRI were normal, showing no evidence of cerebral or cerebellar atrophy, white matter alterations, or other structural abnormalities. At the time of examination, his weight was 22 kg and height was 110 cm. There is no personal or family history of epilepsy or autism, and physical examination revealed no dysmorphic features or other systemic abnormalities.</w:t>
      </w:r>
    </w:p>
    <w:p w14:paraId="2F2D5F25" w14:textId="77777777" w:rsidR="00E61C85" w:rsidRPr="00832B7E" w:rsidRDefault="00E61C85" w:rsidP="00465EC0">
      <w:pPr>
        <w:jc w:val="both"/>
        <w:rPr>
          <w:rFonts w:asciiTheme="majorBidi" w:hAnsiTheme="majorBidi" w:cstheme="majorBidi"/>
        </w:rPr>
      </w:pPr>
    </w:p>
    <w:p w14:paraId="31B18707" w14:textId="77777777" w:rsidR="00832B7E" w:rsidRPr="007F79D6" w:rsidRDefault="00832B7E" w:rsidP="007F79D6">
      <w:pPr>
        <w:rPr>
          <w:rFonts w:asciiTheme="majorBidi" w:hAnsiTheme="majorBidi" w:cstheme="majorBidi"/>
        </w:rPr>
      </w:pPr>
    </w:p>
    <w:p w14:paraId="10ECB10E" w14:textId="77777777" w:rsidR="007F79D6" w:rsidRPr="00B90600" w:rsidRDefault="007F79D6" w:rsidP="00FD03B3">
      <w:pPr>
        <w:rPr>
          <w:rFonts w:asciiTheme="majorBidi" w:hAnsiTheme="majorBidi" w:cstheme="majorBidi"/>
        </w:rPr>
      </w:pPr>
    </w:p>
    <w:p w14:paraId="3B9ECFC1" w14:textId="77777777" w:rsidR="007F79D6" w:rsidRPr="00B90600" w:rsidRDefault="007F79D6" w:rsidP="00FD03B3">
      <w:pPr>
        <w:rPr>
          <w:rFonts w:asciiTheme="majorBidi" w:hAnsiTheme="majorBidi" w:cstheme="majorBidi"/>
        </w:rPr>
      </w:pPr>
    </w:p>
    <w:p w14:paraId="289BC2CB" w14:textId="77777777" w:rsidR="007F79D6" w:rsidRPr="00FD03B3" w:rsidRDefault="007F79D6" w:rsidP="00FD03B3">
      <w:pPr>
        <w:rPr>
          <w:rFonts w:asciiTheme="majorBidi" w:hAnsiTheme="majorBidi" w:cstheme="majorBidi"/>
        </w:rPr>
      </w:pPr>
    </w:p>
    <w:p w14:paraId="0A65F218" w14:textId="77777777" w:rsidR="00FD03B3" w:rsidRPr="00B90600" w:rsidRDefault="00FD03B3" w:rsidP="00FD03B3">
      <w:pPr>
        <w:rPr>
          <w:rFonts w:asciiTheme="majorBidi" w:hAnsiTheme="majorBidi" w:cstheme="majorBidi"/>
        </w:rPr>
      </w:pPr>
    </w:p>
    <w:p w14:paraId="15E41116" w14:textId="10C8595D" w:rsidR="00B02D6D" w:rsidRPr="00B90600" w:rsidRDefault="00B02D6D">
      <w:pPr>
        <w:rPr>
          <w:rFonts w:asciiTheme="majorBidi" w:hAnsiTheme="majorBidi" w:cstheme="majorBidi"/>
        </w:rPr>
      </w:pPr>
    </w:p>
    <w:p w14:paraId="55924576" w14:textId="77777777" w:rsidR="00B02D6D" w:rsidRPr="00B90600" w:rsidRDefault="00B02D6D">
      <w:pPr>
        <w:rPr>
          <w:rFonts w:asciiTheme="majorBidi" w:hAnsiTheme="majorBidi" w:cstheme="majorBidi"/>
        </w:rPr>
      </w:pPr>
    </w:p>
    <w:p w14:paraId="25B140FF" w14:textId="77777777" w:rsidR="00B02D6D" w:rsidRPr="00B90600" w:rsidRDefault="00B02D6D">
      <w:pPr>
        <w:rPr>
          <w:rFonts w:asciiTheme="majorBidi" w:hAnsiTheme="majorBidi" w:cstheme="majorBidi"/>
        </w:rPr>
      </w:pPr>
    </w:p>
    <w:p w14:paraId="4274CCA7" w14:textId="77777777" w:rsidR="00B02D6D" w:rsidRPr="00B90600" w:rsidRDefault="00B02D6D">
      <w:pPr>
        <w:rPr>
          <w:rFonts w:asciiTheme="majorBidi" w:hAnsiTheme="majorBidi" w:cstheme="majorBidi"/>
        </w:rPr>
      </w:pPr>
    </w:p>
    <w:p w14:paraId="322B27A5" w14:textId="77777777" w:rsidR="00B02D6D" w:rsidRPr="00B90600" w:rsidRDefault="00B02D6D">
      <w:pPr>
        <w:rPr>
          <w:rFonts w:asciiTheme="majorBidi" w:hAnsiTheme="majorBidi" w:cstheme="majorBidi"/>
        </w:rPr>
      </w:pPr>
    </w:p>
    <w:p w14:paraId="5FE90306" w14:textId="77777777" w:rsidR="00B02D6D" w:rsidRPr="00B90600" w:rsidRDefault="00B02D6D">
      <w:pPr>
        <w:rPr>
          <w:rFonts w:asciiTheme="majorBidi" w:hAnsiTheme="majorBidi" w:cstheme="majorBidi"/>
        </w:rPr>
      </w:pPr>
    </w:p>
    <w:p w14:paraId="0C466607" w14:textId="77777777" w:rsidR="00B02D6D" w:rsidRPr="00B90600" w:rsidRDefault="00B02D6D">
      <w:pPr>
        <w:rPr>
          <w:rFonts w:asciiTheme="majorBidi" w:hAnsiTheme="majorBidi" w:cstheme="majorBidi"/>
        </w:rPr>
      </w:pPr>
    </w:p>
    <w:p w14:paraId="2DED00D6" w14:textId="77777777" w:rsidR="00B02D6D" w:rsidRPr="00B90600" w:rsidRDefault="00B02D6D">
      <w:pPr>
        <w:rPr>
          <w:rFonts w:asciiTheme="majorBidi" w:hAnsiTheme="majorBidi" w:cstheme="majorBidi"/>
        </w:rPr>
      </w:pPr>
    </w:p>
    <w:p w14:paraId="2DAAC1F5" w14:textId="77777777" w:rsidR="00B02D6D" w:rsidRPr="00B90600" w:rsidRDefault="00B02D6D">
      <w:pPr>
        <w:rPr>
          <w:rFonts w:asciiTheme="majorBidi" w:hAnsiTheme="majorBidi" w:cstheme="majorBidi"/>
        </w:rPr>
      </w:pPr>
    </w:p>
    <w:p w14:paraId="3FF521F9" w14:textId="77777777" w:rsidR="00B02D6D" w:rsidRPr="00B90600" w:rsidRDefault="00B02D6D">
      <w:pPr>
        <w:rPr>
          <w:rFonts w:asciiTheme="majorBidi" w:hAnsiTheme="majorBidi" w:cstheme="majorBidi"/>
        </w:rPr>
      </w:pPr>
    </w:p>
    <w:p w14:paraId="3C2839E3" w14:textId="77777777" w:rsidR="00B02D6D" w:rsidRPr="00B90600" w:rsidRDefault="00B02D6D">
      <w:pPr>
        <w:rPr>
          <w:rFonts w:asciiTheme="majorBidi" w:hAnsiTheme="majorBidi" w:cstheme="majorBidi"/>
        </w:rPr>
      </w:pPr>
    </w:p>
    <w:p w14:paraId="663857EF" w14:textId="77777777" w:rsidR="00B02D6D" w:rsidRPr="00B90600" w:rsidRDefault="00B02D6D">
      <w:pPr>
        <w:rPr>
          <w:rFonts w:asciiTheme="majorBidi" w:hAnsiTheme="majorBidi" w:cstheme="majorBidi"/>
        </w:rPr>
      </w:pPr>
    </w:p>
    <w:p w14:paraId="27F48840" w14:textId="77777777" w:rsidR="00B02D6D" w:rsidRDefault="00B02D6D">
      <w:pPr>
        <w:rPr>
          <w:rFonts w:asciiTheme="majorBidi" w:hAnsiTheme="majorBidi" w:cstheme="majorBidi"/>
        </w:rPr>
      </w:pPr>
    </w:p>
    <w:p w14:paraId="061FB29E" w14:textId="01603D87" w:rsidR="005A6A69" w:rsidRPr="00B90600" w:rsidRDefault="005A6A69">
      <w:pPr>
        <w:rPr>
          <w:rFonts w:asciiTheme="majorBidi" w:hAnsiTheme="majorBidi" w:cstheme="majorBidi"/>
        </w:rPr>
        <w:sectPr w:rsidR="005A6A69" w:rsidRPr="00B90600">
          <w:pgSz w:w="12240" w:h="15840"/>
          <w:pgMar w:top="1440" w:right="1440" w:bottom="1440" w:left="1440" w:header="720" w:footer="720" w:gutter="0"/>
          <w:cols w:space="720"/>
          <w:docGrid w:linePitch="360"/>
        </w:sectPr>
      </w:pPr>
    </w:p>
    <w:tbl>
      <w:tblPr>
        <w:tblStyle w:val="ListTable2"/>
        <w:tblpPr w:leftFromText="141" w:rightFromText="141" w:horzAnchor="margin" w:tblpY="960"/>
        <w:tblW w:w="29768" w:type="dxa"/>
        <w:tblLook w:val="04A0" w:firstRow="1" w:lastRow="0" w:firstColumn="1" w:lastColumn="0" w:noHBand="0" w:noVBand="1"/>
      </w:tblPr>
      <w:tblGrid>
        <w:gridCol w:w="3917"/>
        <w:gridCol w:w="1719"/>
        <w:gridCol w:w="1888"/>
        <w:gridCol w:w="3731"/>
        <w:gridCol w:w="2083"/>
        <w:gridCol w:w="16430"/>
      </w:tblGrid>
      <w:tr w:rsidR="00D82CE3" w:rsidRPr="00095546" w14:paraId="4B25E606" w14:textId="77777777" w:rsidTr="005A6A6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2514E90D" w14:textId="77777777" w:rsidR="00D82CE3" w:rsidRPr="00095546" w:rsidRDefault="00D82CE3" w:rsidP="005A6A69">
            <w:pPr>
              <w:spacing w:after="160" w:line="278" w:lineRule="auto"/>
              <w:rPr>
                <w:rFonts w:asciiTheme="majorBidi" w:hAnsiTheme="majorBidi" w:cstheme="majorBidi"/>
                <w:sz w:val="22"/>
                <w:szCs w:val="22"/>
              </w:rPr>
            </w:pPr>
            <w:r w:rsidRPr="00095546">
              <w:rPr>
                <w:rFonts w:asciiTheme="majorBidi" w:hAnsiTheme="majorBidi" w:cstheme="majorBidi"/>
                <w:sz w:val="22"/>
                <w:szCs w:val="22"/>
              </w:rPr>
              <w:lastRenderedPageBreak/>
              <w:t>Variant (Protein/cDNA)</w:t>
            </w:r>
          </w:p>
        </w:tc>
        <w:tc>
          <w:tcPr>
            <w:tcW w:w="0" w:type="auto"/>
            <w:hideMark/>
          </w:tcPr>
          <w:p w14:paraId="2E3D6CFE" w14:textId="77777777" w:rsidR="00D82CE3" w:rsidRPr="00095546" w:rsidRDefault="00D82CE3" w:rsidP="005A6A69">
            <w:pPr>
              <w:spacing w:after="160" w:line="278"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Type</w:t>
            </w:r>
          </w:p>
        </w:tc>
        <w:tc>
          <w:tcPr>
            <w:tcW w:w="0" w:type="auto"/>
            <w:hideMark/>
          </w:tcPr>
          <w:p w14:paraId="058B1AE1" w14:textId="77777777" w:rsidR="00D82CE3" w:rsidRPr="00095546" w:rsidRDefault="00D82CE3" w:rsidP="005A6A69">
            <w:pPr>
              <w:spacing w:after="160" w:line="278"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Zygosity</w:t>
            </w:r>
          </w:p>
        </w:tc>
        <w:tc>
          <w:tcPr>
            <w:tcW w:w="0" w:type="auto"/>
            <w:hideMark/>
          </w:tcPr>
          <w:p w14:paraId="4492CB9B" w14:textId="77777777" w:rsidR="00D82CE3" w:rsidRPr="00095546" w:rsidRDefault="00D82CE3" w:rsidP="005A6A69">
            <w:pPr>
              <w:spacing w:after="160" w:line="278"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ACMG Evidence Codes</w:t>
            </w:r>
          </w:p>
        </w:tc>
        <w:tc>
          <w:tcPr>
            <w:tcW w:w="0" w:type="auto"/>
            <w:hideMark/>
          </w:tcPr>
          <w:p w14:paraId="4E99D70B" w14:textId="77777777" w:rsidR="00D82CE3" w:rsidRPr="00095546" w:rsidRDefault="00D82CE3" w:rsidP="005A6A69">
            <w:pPr>
              <w:spacing w:after="160" w:line="278"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Final Classification</w:t>
            </w:r>
          </w:p>
        </w:tc>
        <w:tc>
          <w:tcPr>
            <w:tcW w:w="16430" w:type="dxa"/>
            <w:hideMark/>
          </w:tcPr>
          <w:p w14:paraId="7EDBA3C0" w14:textId="77777777" w:rsidR="00D82CE3" w:rsidRPr="00095546" w:rsidRDefault="00D82CE3" w:rsidP="005A6A69">
            <w:pPr>
              <w:spacing w:after="160" w:line="278"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Key Justification</w:t>
            </w:r>
          </w:p>
        </w:tc>
      </w:tr>
      <w:tr w:rsidR="00E101E5" w:rsidRPr="00095546" w14:paraId="463E8B5A" w14:textId="77777777" w:rsidTr="00D1371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6D8EAA9" w14:textId="68523FAC" w:rsidR="00E101E5" w:rsidRPr="00095546" w:rsidRDefault="00E101E5" w:rsidP="00E101E5">
            <w:pPr>
              <w:spacing w:after="160" w:line="278" w:lineRule="auto"/>
              <w:rPr>
                <w:rFonts w:asciiTheme="majorBidi" w:hAnsiTheme="majorBidi" w:cstheme="majorBidi"/>
                <w:sz w:val="22"/>
                <w:szCs w:val="22"/>
              </w:rPr>
            </w:pPr>
            <w:r w:rsidRPr="00095546">
              <w:rPr>
                <w:rFonts w:asciiTheme="majorBidi" w:hAnsiTheme="majorBidi" w:cstheme="majorBidi"/>
                <w:sz w:val="22"/>
                <w:szCs w:val="22"/>
              </w:rPr>
              <w:t>c.1889_1899del</w:t>
            </w:r>
            <w:r w:rsidR="00095546">
              <w:rPr>
                <w:rFonts w:asciiTheme="majorBidi" w:hAnsiTheme="majorBidi" w:cstheme="majorBidi"/>
                <w:sz w:val="22"/>
                <w:szCs w:val="22"/>
              </w:rPr>
              <w:t>,</w:t>
            </w:r>
            <w:r w:rsidR="00095546" w:rsidRPr="00095546">
              <w:rPr>
                <w:rFonts w:asciiTheme="majorBidi" w:hAnsiTheme="majorBidi" w:cstheme="majorBidi"/>
                <w:sz w:val="22"/>
                <w:szCs w:val="22"/>
              </w:rPr>
              <w:t xml:space="preserve"> </w:t>
            </w:r>
            <w:proofErr w:type="gramStart"/>
            <w:r w:rsidR="00095546" w:rsidRPr="00095546">
              <w:rPr>
                <w:rFonts w:asciiTheme="majorBidi" w:hAnsiTheme="majorBidi" w:cstheme="majorBidi"/>
                <w:sz w:val="22"/>
                <w:szCs w:val="22"/>
              </w:rPr>
              <w:t>p.</w:t>
            </w:r>
            <w:r w:rsidR="00095546">
              <w:rPr>
                <w:rFonts w:asciiTheme="majorBidi" w:hAnsiTheme="majorBidi" w:cstheme="majorBidi"/>
                <w:sz w:val="22"/>
                <w:szCs w:val="22"/>
              </w:rPr>
              <w:t>(</w:t>
            </w:r>
            <w:proofErr w:type="gramEnd"/>
            <w:r w:rsidR="00095546" w:rsidRPr="00095546">
              <w:rPr>
                <w:rFonts w:asciiTheme="majorBidi" w:hAnsiTheme="majorBidi" w:cstheme="majorBidi"/>
                <w:sz w:val="22"/>
                <w:szCs w:val="22"/>
              </w:rPr>
              <w:t>Val630Glyfs*76</w:t>
            </w:r>
            <w:r w:rsidR="00095546">
              <w:rPr>
                <w:rFonts w:asciiTheme="majorBidi" w:hAnsiTheme="majorBidi" w:cstheme="majorBidi"/>
                <w:sz w:val="22"/>
                <w:szCs w:val="22"/>
              </w:rPr>
              <w:t>)</w:t>
            </w:r>
          </w:p>
        </w:tc>
        <w:tc>
          <w:tcPr>
            <w:tcW w:w="0" w:type="auto"/>
            <w:hideMark/>
          </w:tcPr>
          <w:p w14:paraId="5AAF2A96" w14:textId="77777777" w:rsidR="00E101E5" w:rsidRPr="00095546" w:rsidRDefault="00E101E5" w:rsidP="00E101E5">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Frameshift</w:t>
            </w:r>
          </w:p>
        </w:tc>
        <w:tc>
          <w:tcPr>
            <w:tcW w:w="0" w:type="auto"/>
            <w:hideMark/>
          </w:tcPr>
          <w:p w14:paraId="0D01AA7E" w14:textId="77777777" w:rsidR="00E101E5" w:rsidRPr="00095546" w:rsidRDefault="00E101E5" w:rsidP="00E101E5">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CH (Case 1)</w:t>
            </w:r>
          </w:p>
        </w:tc>
        <w:tc>
          <w:tcPr>
            <w:tcW w:w="0" w:type="auto"/>
            <w:hideMark/>
          </w:tcPr>
          <w:p w14:paraId="13F649C4" w14:textId="77777777" w:rsidR="00E101E5" w:rsidRPr="00095546" w:rsidRDefault="00E101E5" w:rsidP="00E101E5">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PVS1, PM2, PP3, PP4</w:t>
            </w:r>
          </w:p>
        </w:tc>
        <w:tc>
          <w:tcPr>
            <w:tcW w:w="0" w:type="auto"/>
            <w:hideMark/>
          </w:tcPr>
          <w:p w14:paraId="6A789B33" w14:textId="2A1E6F1B" w:rsidR="00E101E5" w:rsidRPr="00095546" w:rsidRDefault="00A20324" w:rsidP="00E101E5">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Pathogenic</w:t>
            </w:r>
          </w:p>
        </w:tc>
        <w:tc>
          <w:tcPr>
            <w:tcW w:w="16430" w:type="dxa"/>
            <w:hideMark/>
          </w:tcPr>
          <w:p w14:paraId="2FE6D9CE" w14:textId="30CFA7A5" w:rsidR="00E101E5" w:rsidRPr="00095546" w:rsidRDefault="00E101E5" w:rsidP="00E101E5">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11bp deletion causing frameshift; CADD 32 (PP3); absent from population databases (PM2); consistent with spastic paraparesis phenotype (PP4)</w:t>
            </w:r>
          </w:p>
        </w:tc>
      </w:tr>
      <w:tr w:rsidR="00E101E5" w:rsidRPr="00095546" w14:paraId="6B8919B8" w14:textId="77777777" w:rsidTr="00D1371C">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20BC25D3" w14:textId="2BCA3027" w:rsidR="00E101E5" w:rsidRPr="00095546" w:rsidRDefault="00095546" w:rsidP="00E101E5">
            <w:pPr>
              <w:spacing w:after="160" w:line="278" w:lineRule="auto"/>
              <w:rPr>
                <w:rFonts w:asciiTheme="majorBidi" w:hAnsiTheme="majorBidi" w:cstheme="majorBidi"/>
                <w:sz w:val="22"/>
                <w:szCs w:val="22"/>
              </w:rPr>
            </w:pPr>
            <w:r w:rsidRPr="00095546">
              <w:rPr>
                <w:rFonts w:asciiTheme="majorBidi" w:hAnsiTheme="majorBidi" w:cstheme="majorBidi"/>
                <w:sz w:val="22"/>
                <w:szCs w:val="22"/>
              </w:rPr>
              <w:t>c.1436T&gt;C</w:t>
            </w:r>
            <w:r>
              <w:rPr>
                <w:rFonts w:asciiTheme="majorBidi" w:hAnsiTheme="majorBidi" w:cstheme="majorBidi"/>
                <w:sz w:val="22"/>
                <w:szCs w:val="22"/>
              </w:rPr>
              <w:t xml:space="preserve">, </w:t>
            </w:r>
            <w:proofErr w:type="gramStart"/>
            <w:r w:rsidR="00E101E5" w:rsidRPr="00095546">
              <w:rPr>
                <w:rFonts w:asciiTheme="majorBidi" w:hAnsiTheme="majorBidi" w:cstheme="majorBidi"/>
                <w:sz w:val="22"/>
                <w:szCs w:val="22"/>
              </w:rPr>
              <w:t>p.</w:t>
            </w:r>
            <w:r>
              <w:rPr>
                <w:rFonts w:asciiTheme="majorBidi" w:hAnsiTheme="majorBidi" w:cstheme="majorBidi"/>
                <w:sz w:val="22"/>
                <w:szCs w:val="22"/>
              </w:rPr>
              <w:t>(</w:t>
            </w:r>
            <w:proofErr w:type="gramEnd"/>
            <w:r w:rsidR="00E101E5" w:rsidRPr="00095546">
              <w:rPr>
                <w:rFonts w:asciiTheme="majorBidi" w:hAnsiTheme="majorBidi" w:cstheme="majorBidi"/>
                <w:sz w:val="22"/>
                <w:szCs w:val="22"/>
              </w:rPr>
              <w:t>Ile479Thr</w:t>
            </w:r>
            <w:r>
              <w:rPr>
                <w:rFonts w:asciiTheme="majorBidi" w:hAnsiTheme="majorBidi" w:cstheme="majorBidi"/>
                <w:sz w:val="22"/>
                <w:szCs w:val="22"/>
              </w:rPr>
              <w:t>)</w:t>
            </w:r>
          </w:p>
        </w:tc>
        <w:tc>
          <w:tcPr>
            <w:tcW w:w="0" w:type="auto"/>
            <w:hideMark/>
          </w:tcPr>
          <w:p w14:paraId="6D03C752" w14:textId="77777777" w:rsidR="00E101E5" w:rsidRPr="00095546" w:rsidRDefault="00E101E5" w:rsidP="00E101E5">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Missense</w:t>
            </w:r>
          </w:p>
        </w:tc>
        <w:tc>
          <w:tcPr>
            <w:tcW w:w="0" w:type="auto"/>
            <w:hideMark/>
          </w:tcPr>
          <w:p w14:paraId="4502936B" w14:textId="77777777" w:rsidR="00E101E5" w:rsidRPr="00095546" w:rsidRDefault="00E101E5" w:rsidP="00E101E5">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CH (Case 1)</w:t>
            </w:r>
          </w:p>
        </w:tc>
        <w:tc>
          <w:tcPr>
            <w:tcW w:w="0" w:type="auto"/>
            <w:hideMark/>
          </w:tcPr>
          <w:p w14:paraId="0EDE48D0" w14:textId="77777777" w:rsidR="00E101E5" w:rsidRPr="00095546" w:rsidRDefault="00E101E5" w:rsidP="00E101E5">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PM1, PM2, PM3, PP3, PP4</w:t>
            </w:r>
          </w:p>
        </w:tc>
        <w:tc>
          <w:tcPr>
            <w:tcW w:w="0" w:type="auto"/>
            <w:hideMark/>
          </w:tcPr>
          <w:p w14:paraId="009C1E58" w14:textId="77777777" w:rsidR="00E101E5" w:rsidRPr="00095546" w:rsidRDefault="00E101E5" w:rsidP="00E101E5">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Likely Pathogenic</w:t>
            </w:r>
          </w:p>
        </w:tc>
        <w:tc>
          <w:tcPr>
            <w:tcW w:w="16430" w:type="dxa"/>
            <w:hideMark/>
          </w:tcPr>
          <w:p w14:paraId="0044D417" w14:textId="295F3C29" w:rsidR="00E101E5" w:rsidRPr="00095546" w:rsidRDefault="00E101E5" w:rsidP="00E101E5">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 xml:space="preserve">Within DNA-proximal core; in trans with </w:t>
            </w:r>
            <w:proofErr w:type="spellStart"/>
            <w:r w:rsidRPr="00095546">
              <w:rPr>
                <w:rFonts w:asciiTheme="majorBidi" w:hAnsiTheme="majorBidi" w:cstheme="majorBidi"/>
                <w:sz w:val="22"/>
                <w:szCs w:val="22"/>
              </w:rPr>
              <w:t>LoF</w:t>
            </w:r>
            <w:proofErr w:type="spellEnd"/>
            <w:r w:rsidRPr="00095546">
              <w:rPr>
                <w:rFonts w:asciiTheme="majorBidi" w:hAnsiTheme="majorBidi" w:cstheme="majorBidi"/>
                <w:sz w:val="22"/>
                <w:szCs w:val="22"/>
              </w:rPr>
              <w:t xml:space="preserve"> variant (PM3); CADD 27.4 (PP3); consistent with spastic paraparesis (PP4)</w:t>
            </w:r>
          </w:p>
        </w:tc>
      </w:tr>
      <w:tr w:rsidR="00E101E5" w:rsidRPr="00095546" w14:paraId="7B3C3044" w14:textId="77777777" w:rsidTr="00D1371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5AF636C" w14:textId="06A6138D" w:rsidR="00E101E5" w:rsidRPr="00095546" w:rsidRDefault="00095546" w:rsidP="00E101E5">
            <w:pPr>
              <w:spacing w:after="160" w:line="278" w:lineRule="auto"/>
              <w:rPr>
                <w:rFonts w:asciiTheme="majorBidi" w:hAnsiTheme="majorBidi" w:cstheme="majorBidi"/>
                <w:sz w:val="22"/>
                <w:szCs w:val="22"/>
              </w:rPr>
            </w:pPr>
            <w:r w:rsidRPr="00095546">
              <w:rPr>
                <w:rFonts w:asciiTheme="majorBidi" w:hAnsiTheme="majorBidi" w:cstheme="majorBidi"/>
                <w:sz w:val="22"/>
                <w:szCs w:val="22"/>
              </w:rPr>
              <w:t>c.451A&gt;T</w:t>
            </w:r>
            <w:r>
              <w:rPr>
                <w:rFonts w:asciiTheme="majorBidi" w:hAnsiTheme="majorBidi" w:cstheme="majorBidi"/>
                <w:sz w:val="22"/>
                <w:szCs w:val="22"/>
              </w:rPr>
              <w:t xml:space="preserve">, </w:t>
            </w:r>
            <w:proofErr w:type="gramStart"/>
            <w:r w:rsidR="00E101E5" w:rsidRPr="00095546">
              <w:rPr>
                <w:rFonts w:asciiTheme="majorBidi" w:hAnsiTheme="majorBidi" w:cstheme="majorBidi"/>
                <w:sz w:val="22"/>
                <w:szCs w:val="22"/>
              </w:rPr>
              <w:t>p.</w:t>
            </w:r>
            <w:r>
              <w:rPr>
                <w:rFonts w:asciiTheme="majorBidi" w:hAnsiTheme="majorBidi" w:cstheme="majorBidi"/>
                <w:sz w:val="22"/>
                <w:szCs w:val="22"/>
              </w:rPr>
              <w:t>(</w:t>
            </w:r>
            <w:proofErr w:type="gramEnd"/>
            <w:r w:rsidR="00E101E5" w:rsidRPr="00095546">
              <w:rPr>
                <w:rFonts w:asciiTheme="majorBidi" w:hAnsiTheme="majorBidi" w:cstheme="majorBidi"/>
                <w:sz w:val="22"/>
                <w:szCs w:val="22"/>
              </w:rPr>
              <w:t>Lys151*</w:t>
            </w:r>
            <w:r>
              <w:rPr>
                <w:rFonts w:asciiTheme="majorBidi" w:hAnsiTheme="majorBidi" w:cstheme="majorBidi"/>
                <w:sz w:val="22"/>
                <w:szCs w:val="22"/>
              </w:rPr>
              <w:t>)</w:t>
            </w:r>
          </w:p>
        </w:tc>
        <w:tc>
          <w:tcPr>
            <w:tcW w:w="0" w:type="auto"/>
            <w:hideMark/>
          </w:tcPr>
          <w:p w14:paraId="3485DD28" w14:textId="77777777" w:rsidR="00E101E5" w:rsidRPr="00095546" w:rsidRDefault="00E101E5" w:rsidP="00E101E5">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Nonsense</w:t>
            </w:r>
          </w:p>
        </w:tc>
        <w:tc>
          <w:tcPr>
            <w:tcW w:w="0" w:type="auto"/>
            <w:hideMark/>
          </w:tcPr>
          <w:p w14:paraId="0E8226D8" w14:textId="115AE48C" w:rsidR="00E101E5" w:rsidRPr="00095546" w:rsidRDefault="00E101E5" w:rsidP="00E101E5">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Hom</w:t>
            </w:r>
            <w:r w:rsidRPr="00095546" w:rsidDel="00880C2F">
              <w:rPr>
                <w:rFonts w:asciiTheme="majorBidi" w:hAnsiTheme="majorBidi" w:cstheme="majorBidi"/>
                <w:sz w:val="22"/>
                <w:szCs w:val="22"/>
              </w:rPr>
              <w:t xml:space="preserve"> </w:t>
            </w:r>
            <w:r w:rsidRPr="00095546">
              <w:rPr>
                <w:rFonts w:asciiTheme="majorBidi" w:hAnsiTheme="majorBidi" w:cstheme="majorBidi"/>
                <w:sz w:val="22"/>
                <w:szCs w:val="22"/>
              </w:rPr>
              <w:t>(Case 2)</w:t>
            </w:r>
          </w:p>
        </w:tc>
        <w:tc>
          <w:tcPr>
            <w:tcW w:w="0" w:type="auto"/>
            <w:hideMark/>
          </w:tcPr>
          <w:p w14:paraId="3218E1BE" w14:textId="77777777" w:rsidR="00E101E5" w:rsidRPr="00095546" w:rsidRDefault="00E101E5" w:rsidP="00E101E5">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PVS1, PM2, PP4</w:t>
            </w:r>
          </w:p>
        </w:tc>
        <w:tc>
          <w:tcPr>
            <w:tcW w:w="0" w:type="auto"/>
            <w:hideMark/>
          </w:tcPr>
          <w:p w14:paraId="7F99157B" w14:textId="6A56B713" w:rsidR="00E101E5" w:rsidRPr="00095546" w:rsidRDefault="00A20324" w:rsidP="00E101E5">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Pathogenic</w:t>
            </w:r>
          </w:p>
        </w:tc>
        <w:tc>
          <w:tcPr>
            <w:tcW w:w="16430" w:type="dxa"/>
            <w:hideMark/>
          </w:tcPr>
          <w:p w14:paraId="2ED9F942" w14:textId="4593B4DB" w:rsidR="00E101E5" w:rsidRPr="00095546" w:rsidRDefault="00E101E5" w:rsidP="00E101E5">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 xml:space="preserve">Introduces early stop codon in exon 4; NMD expected (PVS1); absent from </w:t>
            </w:r>
            <w:proofErr w:type="spellStart"/>
            <w:r w:rsidRPr="00095546">
              <w:rPr>
                <w:rFonts w:asciiTheme="majorBidi" w:hAnsiTheme="majorBidi" w:cstheme="majorBidi"/>
                <w:sz w:val="22"/>
                <w:szCs w:val="22"/>
              </w:rPr>
              <w:t>gnomAD</w:t>
            </w:r>
            <w:proofErr w:type="spellEnd"/>
            <w:r w:rsidRPr="00095546">
              <w:rPr>
                <w:rFonts w:asciiTheme="majorBidi" w:hAnsiTheme="majorBidi" w:cstheme="majorBidi"/>
                <w:sz w:val="22"/>
                <w:szCs w:val="22"/>
              </w:rPr>
              <w:t xml:space="preserve"> (PM2); phenotype matches core cohort (PP4)</w:t>
            </w:r>
          </w:p>
        </w:tc>
      </w:tr>
      <w:tr w:rsidR="00E101E5" w:rsidRPr="00095546" w14:paraId="2FF7C5FE" w14:textId="77777777" w:rsidTr="00D1371C">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DFF90D7" w14:textId="77777777" w:rsidR="00E101E5" w:rsidRPr="00095546" w:rsidRDefault="00E101E5" w:rsidP="00E101E5">
            <w:pPr>
              <w:spacing w:after="160" w:line="278" w:lineRule="auto"/>
              <w:rPr>
                <w:rFonts w:asciiTheme="majorBidi" w:hAnsiTheme="majorBidi" w:cstheme="majorBidi"/>
                <w:sz w:val="22"/>
                <w:szCs w:val="22"/>
              </w:rPr>
            </w:pPr>
            <w:r w:rsidRPr="00095546">
              <w:rPr>
                <w:rFonts w:asciiTheme="majorBidi" w:hAnsiTheme="majorBidi" w:cstheme="majorBidi"/>
                <w:sz w:val="22"/>
                <w:szCs w:val="22"/>
              </w:rPr>
              <w:t>c.2527+1G&gt;A</w:t>
            </w:r>
          </w:p>
        </w:tc>
        <w:tc>
          <w:tcPr>
            <w:tcW w:w="0" w:type="auto"/>
            <w:hideMark/>
          </w:tcPr>
          <w:p w14:paraId="1064592E" w14:textId="77777777" w:rsidR="00E101E5" w:rsidRPr="00095546" w:rsidRDefault="00E101E5" w:rsidP="00E101E5">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Canonical splice</w:t>
            </w:r>
          </w:p>
        </w:tc>
        <w:tc>
          <w:tcPr>
            <w:tcW w:w="0" w:type="auto"/>
            <w:hideMark/>
          </w:tcPr>
          <w:p w14:paraId="74BE01B7" w14:textId="66FE9A03" w:rsidR="00E101E5" w:rsidRPr="00095546" w:rsidRDefault="00E101E5" w:rsidP="00E101E5">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Hom (Case 3)</w:t>
            </w:r>
          </w:p>
        </w:tc>
        <w:tc>
          <w:tcPr>
            <w:tcW w:w="0" w:type="auto"/>
            <w:hideMark/>
          </w:tcPr>
          <w:p w14:paraId="3854B8AD" w14:textId="77777777" w:rsidR="00E101E5" w:rsidRPr="00095546" w:rsidRDefault="00E101E5" w:rsidP="00E101E5">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PVS1, PM2, PP4</w:t>
            </w:r>
          </w:p>
        </w:tc>
        <w:tc>
          <w:tcPr>
            <w:tcW w:w="0" w:type="auto"/>
            <w:hideMark/>
          </w:tcPr>
          <w:p w14:paraId="253D8D9B" w14:textId="77777777" w:rsidR="00E101E5" w:rsidRPr="00095546" w:rsidRDefault="00E101E5" w:rsidP="00E101E5">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Pathogenic</w:t>
            </w:r>
          </w:p>
        </w:tc>
        <w:tc>
          <w:tcPr>
            <w:tcW w:w="16430" w:type="dxa"/>
            <w:hideMark/>
          </w:tcPr>
          <w:p w14:paraId="456E3518" w14:textId="4E8E05BB" w:rsidR="00E101E5" w:rsidRPr="00095546" w:rsidRDefault="00E101E5" w:rsidP="00E101E5">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Abolishes donor site; homozygous in patient with severe growth restriction and microcephaly (PVS1, PP4); absent from population databases (PM2)</w:t>
            </w:r>
          </w:p>
        </w:tc>
      </w:tr>
      <w:tr w:rsidR="00E101E5" w:rsidRPr="00095546" w14:paraId="7E458FAA" w14:textId="77777777" w:rsidTr="00D1371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2F3A2090" w14:textId="651AFE81" w:rsidR="00E101E5" w:rsidRPr="00095546" w:rsidRDefault="00095546" w:rsidP="00E101E5">
            <w:pPr>
              <w:spacing w:after="160" w:line="278" w:lineRule="auto"/>
              <w:rPr>
                <w:rFonts w:asciiTheme="majorBidi" w:hAnsiTheme="majorBidi" w:cstheme="majorBidi"/>
                <w:sz w:val="22"/>
                <w:szCs w:val="22"/>
              </w:rPr>
            </w:pPr>
            <w:r w:rsidRPr="00095546">
              <w:rPr>
                <w:rFonts w:asciiTheme="majorBidi" w:hAnsiTheme="majorBidi" w:cstheme="majorBidi"/>
                <w:sz w:val="22"/>
                <w:szCs w:val="22"/>
              </w:rPr>
              <w:t>c.3378_3385del</w:t>
            </w:r>
            <w:r>
              <w:rPr>
                <w:rFonts w:asciiTheme="majorBidi" w:hAnsiTheme="majorBidi" w:cstheme="majorBidi"/>
                <w:sz w:val="22"/>
                <w:szCs w:val="22"/>
              </w:rPr>
              <w:t xml:space="preserve">, </w:t>
            </w:r>
            <w:proofErr w:type="gramStart"/>
            <w:r w:rsidR="00E101E5" w:rsidRPr="00095546">
              <w:rPr>
                <w:rFonts w:asciiTheme="majorBidi" w:hAnsiTheme="majorBidi" w:cstheme="majorBidi"/>
                <w:sz w:val="22"/>
                <w:szCs w:val="22"/>
              </w:rPr>
              <w:t>p.</w:t>
            </w:r>
            <w:r>
              <w:rPr>
                <w:rFonts w:asciiTheme="majorBidi" w:hAnsiTheme="majorBidi" w:cstheme="majorBidi"/>
                <w:sz w:val="22"/>
                <w:szCs w:val="22"/>
              </w:rPr>
              <w:t>(</w:t>
            </w:r>
            <w:proofErr w:type="gramEnd"/>
            <w:r w:rsidR="00E101E5" w:rsidRPr="00095546">
              <w:rPr>
                <w:rFonts w:asciiTheme="majorBidi" w:hAnsiTheme="majorBidi" w:cstheme="majorBidi"/>
                <w:sz w:val="22"/>
                <w:szCs w:val="22"/>
              </w:rPr>
              <w:t>Arg1126Serfs*58</w:t>
            </w:r>
            <w:r>
              <w:rPr>
                <w:rFonts w:asciiTheme="majorBidi" w:hAnsiTheme="majorBidi" w:cstheme="majorBidi"/>
                <w:sz w:val="22"/>
                <w:szCs w:val="22"/>
              </w:rPr>
              <w:t>)</w:t>
            </w:r>
          </w:p>
        </w:tc>
        <w:tc>
          <w:tcPr>
            <w:tcW w:w="0" w:type="auto"/>
            <w:hideMark/>
          </w:tcPr>
          <w:p w14:paraId="64000CBA" w14:textId="77777777" w:rsidR="00E101E5" w:rsidRPr="00095546" w:rsidRDefault="00E101E5" w:rsidP="00E101E5">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Frameshift</w:t>
            </w:r>
          </w:p>
        </w:tc>
        <w:tc>
          <w:tcPr>
            <w:tcW w:w="0" w:type="auto"/>
            <w:hideMark/>
          </w:tcPr>
          <w:p w14:paraId="70F5224B" w14:textId="77777777" w:rsidR="00E101E5" w:rsidRPr="00095546" w:rsidRDefault="00E101E5" w:rsidP="00E101E5">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Hom (Case 4/5/6)</w:t>
            </w:r>
          </w:p>
        </w:tc>
        <w:tc>
          <w:tcPr>
            <w:tcW w:w="0" w:type="auto"/>
            <w:hideMark/>
          </w:tcPr>
          <w:p w14:paraId="07319893" w14:textId="77777777" w:rsidR="00E101E5" w:rsidRPr="00095546" w:rsidRDefault="00E101E5" w:rsidP="00E101E5">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PVS1, PM2, PP4</w:t>
            </w:r>
          </w:p>
        </w:tc>
        <w:tc>
          <w:tcPr>
            <w:tcW w:w="0" w:type="auto"/>
            <w:hideMark/>
          </w:tcPr>
          <w:p w14:paraId="14B706AA" w14:textId="1931D074" w:rsidR="00E101E5" w:rsidRPr="00095546" w:rsidRDefault="00A20324" w:rsidP="00E101E5">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Pathogenic</w:t>
            </w:r>
          </w:p>
        </w:tc>
        <w:tc>
          <w:tcPr>
            <w:tcW w:w="16430" w:type="dxa"/>
            <w:hideMark/>
          </w:tcPr>
          <w:p w14:paraId="4C875145" w14:textId="397EBE69" w:rsidR="00E101E5" w:rsidRPr="00095546" w:rsidRDefault="00E101E5" w:rsidP="00E101E5">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Icelandic founder variant; results in early infantile lethality in biallelic state (PVS1); absent from homozygous population records (PM2)</w:t>
            </w:r>
          </w:p>
        </w:tc>
      </w:tr>
      <w:tr w:rsidR="00E101E5" w:rsidRPr="00095546" w14:paraId="6DAFBB09" w14:textId="77777777" w:rsidTr="00D1371C">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DF198DB" w14:textId="34598686" w:rsidR="00E101E5" w:rsidRPr="00095546" w:rsidRDefault="00095546" w:rsidP="00E101E5">
            <w:pPr>
              <w:spacing w:after="160" w:line="278" w:lineRule="auto"/>
              <w:rPr>
                <w:rFonts w:asciiTheme="majorBidi" w:hAnsiTheme="majorBidi" w:cstheme="majorBidi"/>
                <w:sz w:val="22"/>
                <w:szCs w:val="22"/>
              </w:rPr>
            </w:pPr>
            <w:r w:rsidRPr="00095546">
              <w:rPr>
                <w:rFonts w:asciiTheme="majorBidi" w:hAnsiTheme="majorBidi" w:cstheme="majorBidi"/>
                <w:sz w:val="22"/>
                <w:szCs w:val="22"/>
              </w:rPr>
              <w:t>c.490G&gt;C</w:t>
            </w:r>
            <w:r>
              <w:rPr>
                <w:rFonts w:asciiTheme="majorBidi" w:hAnsiTheme="majorBidi" w:cstheme="majorBidi"/>
                <w:sz w:val="22"/>
                <w:szCs w:val="22"/>
              </w:rPr>
              <w:t xml:space="preserve">, </w:t>
            </w:r>
            <w:proofErr w:type="gramStart"/>
            <w:r w:rsidR="00E101E5" w:rsidRPr="00095546">
              <w:rPr>
                <w:rFonts w:asciiTheme="majorBidi" w:hAnsiTheme="majorBidi" w:cstheme="majorBidi"/>
                <w:sz w:val="22"/>
                <w:szCs w:val="22"/>
              </w:rPr>
              <w:t>p.</w:t>
            </w:r>
            <w:r>
              <w:rPr>
                <w:rFonts w:asciiTheme="majorBidi" w:hAnsiTheme="majorBidi" w:cstheme="majorBidi"/>
                <w:sz w:val="22"/>
                <w:szCs w:val="22"/>
              </w:rPr>
              <w:t>(</w:t>
            </w:r>
            <w:proofErr w:type="gramEnd"/>
            <w:r w:rsidR="00E101E5" w:rsidRPr="00095546">
              <w:rPr>
                <w:rFonts w:asciiTheme="majorBidi" w:hAnsiTheme="majorBidi" w:cstheme="majorBidi"/>
                <w:sz w:val="22"/>
                <w:szCs w:val="22"/>
              </w:rPr>
              <w:t>Asp164His</w:t>
            </w:r>
            <w:r>
              <w:rPr>
                <w:rFonts w:asciiTheme="majorBidi" w:hAnsiTheme="majorBidi" w:cstheme="majorBidi"/>
                <w:sz w:val="22"/>
                <w:szCs w:val="22"/>
              </w:rPr>
              <w:t>)</w:t>
            </w:r>
          </w:p>
        </w:tc>
        <w:tc>
          <w:tcPr>
            <w:tcW w:w="0" w:type="auto"/>
            <w:hideMark/>
          </w:tcPr>
          <w:p w14:paraId="38820245" w14:textId="77777777" w:rsidR="00E101E5" w:rsidRPr="00095546" w:rsidRDefault="00E101E5" w:rsidP="00E101E5">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Missense</w:t>
            </w:r>
          </w:p>
        </w:tc>
        <w:tc>
          <w:tcPr>
            <w:tcW w:w="0" w:type="auto"/>
            <w:hideMark/>
          </w:tcPr>
          <w:p w14:paraId="6E9DDC84" w14:textId="77777777" w:rsidR="00E101E5" w:rsidRPr="00095546" w:rsidRDefault="00E101E5" w:rsidP="00E101E5">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CH (Case 6)</w:t>
            </w:r>
          </w:p>
        </w:tc>
        <w:tc>
          <w:tcPr>
            <w:tcW w:w="0" w:type="auto"/>
            <w:hideMark/>
          </w:tcPr>
          <w:p w14:paraId="3921B0C9" w14:textId="77777777" w:rsidR="00E101E5" w:rsidRPr="00095546" w:rsidRDefault="00E101E5" w:rsidP="00E101E5">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PM1, PM2, PM3, PP3, PP4, PS3_supp</w:t>
            </w:r>
          </w:p>
        </w:tc>
        <w:tc>
          <w:tcPr>
            <w:tcW w:w="0" w:type="auto"/>
            <w:hideMark/>
          </w:tcPr>
          <w:p w14:paraId="5C87DA2C" w14:textId="7892FD7B" w:rsidR="00E101E5" w:rsidRPr="00095546" w:rsidRDefault="00A20324" w:rsidP="00E101E5">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Likely Pathogenic</w:t>
            </w:r>
          </w:p>
        </w:tc>
        <w:tc>
          <w:tcPr>
            <w:tcW w:w="16430" w:type="dxa"/>
            <w:hideMark/>
          </w:tcPr>
          <w:p w14:paraId="62C9AAF1" w14:textId="4E5B9610" w:rsidR="00E101E5" w:rsidRPr="00095546" w:rsidRDefault="00E101E5" w:rsidP="00E101E5">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 xml:space="preserve">Affects conserved Pol II interface (PM1); in trans with </w:t>
            </w:r>
            <w:proofErr w:type="spellStart"/>
            <w:r w:rsidRPr="00095546">
              <w:rPr>
                <w:rFonts w:asciiTheme="majorBidi" w:hAnsiTheme="majorBidi" w:cstheme="majorBidi"/>
                <w:sz w:val="22"/>
                <w:szCs w:val="22"/>
              </w:rPr>
              <w:t>LoF</w:t>
            </w:r>
            <w:proofErr w:type="spellEnd"/>
            <w:r w:rsidRPr="00095546">
              <w:rPr>
                <w:rFonts w:asciiTheme="majorBidi" w:hAnsiTheme="majorBidi" w:cstheme="majorBidi"/>
                <w:sz w:val="22"/>
                <w:szCs w:val="22"/>
              </w:rPr>
              <w:t xml:space="preserve"> (PM3); CADD 27 (PP3); PPI modeling shows significant affinity reduction (ΔΔG -1.05) (PS3)</w:t>
            </w:r>
          </w:p>
        </w:tc>
      </w:tr>
      <w:tr w:rsidR="00E101E5" w:rsidRPr="00095546" w14:paraId="2DC6D169" w14:textId="77777777" w:rsidTr="00D1371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C752B98" w14:textId="559DC9A1" w:rsidR="00E101E5" w:rsidRPr="00095546" w:rsidRDefault="00095546" w:rsidP="00E101E5">
            <w:pPr>
              <w:spacing w:after="160" w:line="278" w:lineRule="auto"/>
              <w:rPr>
                <w:rFonts w:asciiTheme="majorBidi" w:hAnsiTheme="majorBidi" w:cstheme="majorBidi"/>
                <w:sz w:val="22"/>
                <w:szCs w:val="22"/>
              </w:rPr>
            </w:pPr>
            <w:r w:rsidRPr="00095546">
              <w:rPr>
                <w:rFonts w:asciiTheme="majorBidi" w:hAnsiTheme="majorBidi" w:cstheme="majorBidi"/>
                <w:sz w:val="22"/>
                <w:szCs w:val="22"/>
              </w:rPr>
              <w:t>c.3758_3788del</w:t>
            </w:r>
            <w:r>
              <w:rPr>
                <w:rFonts w:asciiTheme="majorBidi" w:hAnsiTheme="majorBidi" w:cstheme="majorBidi"/>
                <w:sz w:val="22"/>
                <w:szCs w:val="22"/>
              </w:rPr>
              <w:t xml:space="preserve">, </w:t>
            </w:r>
            <w:proofErr w:type="gramStart"/>
            <w:r w:rsidR="00E101E5" w:rsidRPr="00095546">
              <w:rPr>
                <w:rFonts w:asciiTheme="majorBidi" w:hAnsiTheme="majorBidi" w:cstheme="majorBidi"/>
                <w:sz w:val="22"/>
                <w:szCs w:val="22"/>
              </w:rPr>
              <w:t>p.</w:t>
            </w:r>
            <w:r>
              <w:rPr>
                <w:rFonts w:asciiTheme="majorBidi" w:hAnsiTheme="majorBidi" w:cstheme="majorBidi"/>
                <w:sz w:val="22"/>
                <w:szCs w:val="22"/>
              </w:rPr>
              <w:t>(</w:t>
            </w:r>
            <w:proofErr w:type="gramEnd"/>
            <w:r w:rsidR="00E101E5" w:rsidRPr="00095546">
              <w:rPr>
                <w:rFonts w:asciiTheme="majorBidi" w:hAnsiTheme="majorBidi" w:cstheme="majorBidi"/>
                <w:sz w:val="22"/>
                <w:szCs w:val="22"/>
              </w:rPr>
              <w:t>Asp1253Glyfs*144</w:t>
            </w:r>
            <w:r>
              <w:rPr>
                <w:rFonts w:asciiTheme="majorBidi" w:hAnsiTheme="majorBidi" w:cstheme="majorBidi"/>
                <w:sz w:val="22"/>
                <w:szCs w:val="22"/>
              </w:rPr>
              <w:t>)</w:t>
            </w:r>
            <w:r w:rsidR="00E101E5" w:rsidRPr="00095546">
              <w:rPr>
                <w:rFonts w:asciiTheme="majorBidi" w:hAnsiTheme="majorBidi" w:cstheme="majorBidi"/>
                <w:sz w:val="22"/>
                <w:szCs w:val="22"/>
              </w:rPr>
              <w:t xml:space="preserve"> </w:t>
            </w:r>
          </w:p>
        </w:tc>
        <w:tc>
          <w:tcPr>
            <w:tcW w:w="0" w:type="auto"/>
            <w:hideMark/>
          </w:tcPr>
          <w:p w14:paraId="36166260" w14:textId="77777777" w:rsidR="00E101E5" w:rsidRPr="00095546" w:rsidRDefault="00E101E5" w:rsidP="00E101E5">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Frameshift</w:t>
            </w:r>
          </w:p>
        </w:tc>
        <w:tc>
          <w:tcPr>
            <w:tcW w:w="0" w:type="auto"/>
            <w:hideMark/>
          </w:tcPr>
          <w:p w14:paraId="13C8D5F8" w14:textId="77777777" w:rsidR="00E101E5" w:rsidRPr="00095546" w:rsidRDefault="00E101E5" w:rsidP="00E101E5">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CH (Case 7)</w:t>
            </w:r>
          </w:p>
        </w:tc>
        <w:tc>
          <w:tcPr>
            <w:tcW w:w="0" w:type="auto"/>
            <w:hideMark/>
          </w:tcPr>
          <w:p w14:paraId="1AC53D73" w14:textId="77777777" w:rsidR="00E101E5" w:rsidRPr="00095546" w:rsidRDefault="00E101E5" w:rsidP="00E101E5">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PVS1, PM2, PP4</w:t>
            </w:r>
          </w:p>
        </w:tc>
        <w:tc>
          <w:tcPr>
            <w:tcW w:w="0" w:type="auto"/>
            <w:hideMark/>
          </w:tcPr>
          <w:p w14:paraId="1BD31AA7" w14:textId="77777777" w:rsidR="00E101E5" w:rsidRPr="00095546" w:rsidRDefault="00E101E5" w:rsidP="00E101E5">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Pathogenic</w:t>
            </w:r>
          </w:p>
        </w:tc>
        <w:tc>
          <w:tcPr>
            <w:tcW w:w="16430" w:type="dxa"/>
            <w:hideMark/>
          </w:tcPr>
          <w:p w14:paraId="0CB24326" w14:textId="00643045" w:rsidR="00E101E5" w:rsidRPr="00095546" w:rsidRDefault="00E101E5" w:rsidP="00E101E5">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Truncating variant in C-terminal region; in trans with p.</w:t>
            </w:r>
            <w:r w:rsidR="00095546">
              <w:rPr>
                <w:rFonts w:asciiTheme="majorBidi" w:hAnsiTheme="majorBidi" w:cstheme="majorBidi"/>
                <w:sz w:val="22"/>
                <w:szCs w:val="22"/>
              </w:rPr>
              <w:t>(</w:t>
            </w:r>
            <w:r w:rsidRPr="00095546">
              <w:rPr>
                <w:rFonts w:asciiTheme="majorBidi" w:hAnsiTheme="majorBidi" w:cstheme="majorBidi"/>
                <w:sz w:val="22"/>
                <w:szCs w:val="22"/>
              </w:rPr>
              <w:t>Gln1428Glu</w:t>
            </w:r>
            <w:r w:rsidR="00095546">
              <w:rPr>
                <w:rFonts w:asciiTheme="majorBidi" w:hAnsiTheme="majorBidi" w:cstheme="majorBidi"/>
                <w:sz w:val="22"/>
                <w:szCs w:val="22"/>
              </w:rPr>
              <w:t>)</w:t>
            </w:r>
            <w:r w:rsidRPr="00095546">
              <w:rPr>
                <w:rFonts w:asciiTheme="majorBidi" w:hAnsiTheme="majorBidi" w:cstheme="majorBidi"/>
                <w:sz w:val="22"/>
                <w:szCs w:val="22"/>
              </w:rPr>
              <w:t>; consistent with global developmental delay and movement disorder (PVS1, PP4)</w:t>
            </w:r>
          </w:p>
        </w:tc>
      </w:tr>
      <w:tr w:rsidR="00E101E5" w:rsidRPr="00095546" w14:paraId="77E256B4" w14:textId="77777777" w:rsidTr="00D1371C">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8EE8C5D" w14:textId="5753724C" w:rsidR="00E101E5" w:rsidRPr="00095546" w:rsidRDefault="00095546" w:rsidP="00E101E5">
            <w:pPr>
              <w:spacing w:after="160" w:line="278" w:lineRule="auto"/>
              <w:rPr>
                <w:rFonts w:asciiTheme="majorBidi" w:hAnsiTheme="majorBidi" w:cstheme="majorBidi"/>
                <w:sz w:val="22"/>
                <w:szCs w:val="22"/>
                <w:lang w:val="it-IT"/>
              </w:rPr>
            </w:pPr>
            <w:r w:rsidRPr="00095546">
              <w:rPr>
                <w:rFonts w:asciiTheme="majorBidi" w:hAnsiTheme="majorBidi" w:cstheme="majorBidi"/>
                <w:sz w:val="22"/>
                <w:szCs w:val="22"/>
                <w:lang w:val="it-IT"/>
              </w:rPr>
              <w:t xml:space="preserve">c.4282C&gt;G, </w:t>
            </w:r>
            <w:r w:rsidR="00E101E5" w:rsidRPr="00095546">
              <w:rPr>
                <w:rFonts w:asciiTheme="majorBidi" w:hAnsiTheme="majorBidi" w:cstheme="majorBidi"/>
                <w:sz w:val="22"/>
                <w:szCs w:val="22"/>
                <w:lang w:val="it-IT"/>
              </w:rPr>
              <w:t>p.</w:t>
            </w:r>
            <w:r w:rsidRPr="00095546">
              <w:rPr>
                <w:rFonts w:asciiTheme="majorBidi" w:hAnsiTheme="majorBidi" w:cstheme="majorBidi"/>
                <w:sz w:val="22"/>
                <w:szCs w:val="22"/>
                <w:lang w:val="it-IT"/>
              </w:rPr>
              <w:t>(</w:t>
            </w:r>
            <w:r w:rsidR="00E101E5" w:rsidRPr="00095546">
              <w:rPr>
                <w:rFonts w:asciiTheme="majorBidi" w:hAnsiTheme="majorBidi" w:cstheme="majorBidi"/>
                <w:sz w:val="22"/>
                <w:szCs w:val="22"/>
                <w:lang w:val="it-IT"/>
              </w:rPr>
              <w:t>Gln1428Glu</w:t>
            </w:r>
            <w:r>
              <w:rPr>
                <w:rFonts w:asciiTheme="majorBidi" w:hAnsiTheme="majorBidi" w:cstheme="majorBidi"/>
                <w:sz w:val="22"/>
                <w:szCs w:val="22"/>
                <w:lang w:val="it-IT"/>
              </w:rPr>
              <w:t>)</w:t>
            </w:r>
          </w:p>
        </w:tc>
        <w:tc>
          <w:tcPr>
            <w:tcW w:w="0" w:type="auto"/>
            <w:hideMark/>
          </w:tcPr>
          <w:p w14:paraId="428B7A8A" w14:textId="77777777" w:rsidR="00E101E5" w:rsidRPr="00095546" w:rsidRDefault="00E101E5" w:rsidP="00E101E5">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Missense</w:t>
            </w:r>
          </w:p>
        </w:tc>
        <w:tc>
          <w:tcPr>
            <w:tcW w:w="0" w:type="auto"/>
            <w:hideMark/>
          </w:tcPr>
          <w:p w14:paraId="7BE8E728" w14:textId="77777777" w:rsidR="00E101E5" w:rsidRPr="00095546" w:rsidRDefault="00E101E5" w:rsidP="00E101E5">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CH (Case 7)</w:t>
            </w:r>
          </w:p>
        </w:tc>
        <w:tc>
          <w:tcPr>
            <w:tcW w:w="0" w:type="auto"/>
            <w:hideMark/>
          </w:tcPr>
          <w:p w14:paraId="30F8E05E" w14:textId="77777777" w:rsidR="00E101E5" w:rsidRPr="00095546" w:rsidRDefault="00E101E5" w:rsidP="00E101E5">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PM2, PM3, PP4</w:t>
            </w:r>
          </w:p>
        </w:tc>
        <w:tc>
          <w:tcPr>
            <w:tcW w:w="0" w:type="auto"/>
            <w:hideMark/>
          </w:tcPr>
          <w:p w14:paraId="56C45349" w14:textId="77777777" w:rsidR="00E101E5" w:rsidRPr="00095546" w:rsidRDefault="00E101E5" w:rsidP="00E101E5">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VUS</w:t>
            </w:r>
          </w:p>
        </w:tc>
        <w:tc>
          <w:tcPr>
            <w:tcW w:w="16430" w:type="dxa"/>
            <w:hideMark/>
          </w:tcPr>
          <w:p w14:paraId="44BBE8E4" w14:textId="4334645F" w:rsidR="00E101E5" w:rsidRPr="00095546" w:rsidRDefault="00E101E5" w:rsidP="00E101E5">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 xml:space="preserve">CADD 6.071 and </w:t>
            </w:r>
            <w:proofErr w:type="spellStart"/>
            <w:r w:rsidRPr="00095546">
              <w:rPr>
                <w:rFonts w:asciiTheme="majorBidi" w:hAnsiTheme="majorBidi" w:cstheme="majorBidi"/>
                <w:sz w:val="22"/>
                <w:szCs w:val="22"/>
              </w:rPr>
              <w:t>PolyPhen</w:t>
            </w:r>
            <w:proofErr w:type="spellEnd"/>
            <w:r w:rsidRPr="00095546">
              <w:rPr>
                <w:rFonts w:asciiTheme="majorBidi" w:hAnsiTheme="majorBidi" w:cstheme="majorBidi"/>
                <w:sz w:val="22"/>
                <w:szCs w:val="22"/>
              </w:rPr>
              <w:t xml:space="preserve"> 0.009 (Benign) preclude PP3; while in trans with </w:t>
            </w:r>
            <w:proofErr w:type="spellStart"/>
            <w:r w:rsidRPr="00095546">
              <w:rPr>
                <w:rFonts w:asciiTheme="majorBidi" w:hAnsiTheme="majorBidi" w:cstheme="majorBidi"/>
                <w:sz w:val="22"/>
                <w:szCs w:val="22"/>
              </w:rPr>
              <w:t>LoF</w:t>
            </w:r>
            <w:proofErr w:type="spellEnd"/>
            <w:r w:rsidRPr="00095546">
              <w:rPr>
                <w:rFonts w:asciiTheme="majorBidi" w:hAnsiTheme="majorBidi" w:cstheme="majorBidi"/>
                <w:sz w:val="22"/>
                <w:szCs w:val="22"/>
              </w:rPr>
              <w:t xml:space="preserve"> (PM3), low computational support requires conservative VUS classification</w:t>
            </w:r>
          </w:p>
        </w:tc>
      </w:tr>
      <w:tr w:rsidR="00E101E5" w:rsidRPr="00095546" w14:paraId="328F4B88" w14:textId="77777777" w:rsidTr="00D1371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20B83E94" w14:textId="454CBC96" w:rsidR="00E101E5" w:rsidRPr="00095546" w:rsidRDefault="00095546" w:rsidP="00E101E5">
            <w:pPr>
              <w:spacing w:after="160" w:line="278" w:lineRule="auto"/>
              <w:rPr>
                <w:rFonts w:asciiTheme="majorBidi" w:hAnsiTheme="majorBidi" w:cstheme="majorBidi"/>
                <w:sz w:val="22"/>
                <w:szCs w:val="22"/>
              </w:rPr>
            </w:pPr>
            <w:r w:rsidRPr="00095546">
              <w:rPr>
                <w:rFonts w:asciiTheme="majorBidi" w:hAnsiTheme="majorBidi" w:cstheme="majorBidi"/>
                <w:sz w:val="22"/>
                <w:szCs w:val="22"/>
              </w:rPr>
              <w:t>c.2410G&gt;A</w:t>
            </w:r>
            <w:r>
              <w:rPr>
                <w:rFonts w:asciiTheme="majorBidi" w:hAnsiTheme="majorBidi" w:cstheme="majorBidi"/>
                <w:sz w:val="22"/>
                <w:szCs w:val="22"/>
              </w:rPr>
              <w:t xml:space="preserve">, </w:t>
            </w:r>
            <w:r w:rsidR="00E101E5" w:rsidRPr="00095546">
              <w:rPr>
                <w:rFonts w:asciiTheme="majorBidi" w:hAnsiTheme="majorBidi" w:cstheme="majorBidi"/>
                <w:sz w:val="22"/>
                <w:szCs w:val="22"/>
              </w:rPr>
              <w:t>p.</w:t>
            </w:r>
            <w:r>
              <w:rPr>
                <w:rFonts w:asciiTheme="majorBidi" w:hAnsiTheme="majorBidi" w:cstheme="majorBidi"/>
                <w:sz w:val="22"/>
                <w:szCs w:val="22"/>
              </w:rPr>
              <w:t>(</w:t>
            </w:r>
            <w:r w:rsidR="00E101E5" w:rsidRPr="00095546">
              <w:rPr>
                <w:rFonts w:asciiTheme="majorBidi" w:hAnsiTheme="majorBidi" w:cstheme="majorBidi"/>
                <w:sz w:val="22"/>
                <w:szCs w:val="22"/>
              </w:rPr>
              <w:t>Gly804Ser</w:t>
            </w:r>
            <w:r>
              <w:rPr>
                <w:rFonts w:asciiTheme="majorBidi" w:hAnsiTheme="majorBidi" w:cstheme="majorBidi"/>
                <w:sz w:val="22"/>
                <w:szCs w:val="22"/>
              </w:rPr>
              <w:t>)</w:t>
            </w:r>
          </w:p>
        </w:tc>
        <w:tc>
          <w:tcPr>
            <w:tcW w:w="0" w:type="auto"/>
            <w:hideMark/>
          </w:tcPr>
          <w:p w14:paraId="574568BD" w14:textId="77777777" w:rsidR="00E101E5" w:rsidRPr="00095546" w:rsidRDefault="00E101E5" w:rsidP="00E101E5">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Missense</w:t>
            </w:r>
          </w:p>
        </w:tc>
        <w:tc>
          <w:tcPr>
            <w:tcW w:w="0" w:type="auto"/>
            <w:hideMark/>
          </w:tcPr>
          <w:p w14:paraId="1CD0049C" w14:textId="77777777" w:rsidR="00E101E5" w:rsidRPr="00095546" w:rsidRDefault="00E101E5" w:rsidP="00E101E5">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CH (Case 8)</w:t>
            </w:r>
          </w:p>
        </w:tc>
        <w:tc>
          <w:tcPr>
            <w:tcW w:w="0" w:type="auto"/>
            <w:hideMark/>
          </w:tcPr>
          <w:p w14:paraId="734DA85D" w14:textId="77777777" w:rsidR="00E101E5" w:rsidRPr="00095546" w:rsidRDefault="00E101E5" w:rsidP="00E101E5">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PM2, PM3, PP3, PP4</w:t>
            </w:r>
          </w:p>
        </w:tc>
        <w:tc>
          <w:tcPr>
            <w:tcW w:w="0" w:type="auto"/>
            <w:hideMark/>
          </w:tcPr>
          <w:p w14:paraId="0540F3DF" w14:textId="6DACEA13" w:rsidR="00E101E5" w:rsidRPr="00095546" w:rsidRDefault="00A20324" w:rsidP="00E101E5">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Likely Pathogenic</w:t>
            </w:r>
          </w:p>
        </w:tc>
        <w:tc>
          <w:tcPr>
            <w:tcW w:w="16430" w:type="dxa"/>
            <w:hideMark/>
          </w:tcPr>
          <w:p w14:paraId="27D85DB2" w14:textId="4BFB6781" w:rsidR="00E101E5" w:rsidRPr="00095546" w:rsidRDefault="00E101E5" w:rsidP="00E101E5">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Ultra-rare; in trans with pathogenic nonsense (PM3); CADD 25.7 (PP3); phenotype involves psychomotor regression (PP4)</w:t>
            </w:r>
          </w:p>
        </w:tc>
      </w:tr>
      <w:tr w:rsidR="00E101E5" w:rsidRPr="00095546" w14:paraId="43724E72" w14:textId="77777777" w:rsidTr="00D1371C">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B7B001D" w14:textId="0BE5525C" w:rsidR="00E101E5" w:rsidRPr="00095546" w:rsidRDefault="00095546" w:rsidP="00E101E5">
            <w:pPr>
              <w:spacing w:after="160" w:line="278" w:lineRule="auto"/>
              <w:rPr>
                <w:rFonts w:asciiTheme="majorBidi" w:hAnsiTheme="majorBidi" w:cstheme="majorBidi"/>
                <w:sz w:val="22"/>
                <w:szCs w:val="22"/>
              </w:rPr>
            </w:pPr>
            <w:r w:rsidRPr="00095546">
              <w:rPr>
                <w:rFonts w:asciiTheme="majorBidi" w:hAnsiTheme="majorBidi" w:cstheme="majorBidi"/>
                <w:sz w:val="22"/>
                <w:szCs w:val="22"/>
              </w:rPr>
              <w:t>c.2771C&gt;T</w:t>
            </w:r>
            <w:r>
              <w:rPr>
                <w:rFonts w:asciiTheme="majorBidi" w:hAnsiTheme="majorBidi" w:cstheme="majorBidi"/>
                <w:sz w:val="22"/>
                <w:szCs w:val="22"/>
              </w:rPr>
              <w:t xml:space="preserve">, </w:t>
            </w:r>
            <w:r w:rsidR="00E101E5" w:rsidRPr="00095546">
              <w:rPr>
                <w:rFonts w:asciiTheme="majorBidi" w:hAnsiTheme="majorBidi" w:cstheme="majorBidi"/>
                <w:sz w:val="22"/>
                <w:szCs w:val="22"/>
              </w:rPr>
              <w:t>p.</w:t>
            </w:r>
            <w:r>
              <w:rPr>
                <w:rFonts w:asciiTheme="majorBidi" w:hAnsiTheme="majorBidi" w:cstheme="majorBidi"/>
                <w:sz w:val="22"/>
                <w:szCs w:val="22"/>
              </w:rPr>
              <w:t>(</w:t>
            </w:r>
            <w:r w:rsidR="00E101E5" w:rsidRPr="00095546">
              <w:rPr>
                <w:rFonts w:asciiTheme="majorBidi" w:hAnsiTheme="majorBidi" w:cstheme="majorBidi"/>
                <w:sz w:val="22"/>
                <w:szCs w:val="22"/>
              </w:rPr>
              <w:t>Ser924Phe</w:t>
            </w:r>
            <w:r>
              <w:rPr>
                <w:rFonts w:asciiTheme="majorBidi" w:hAnsiTheme="majorBidi" w:cstheme="majorBidi"/>
                <w:sz w:val="22"/>
                <w:szCs w:val="22"/>
              </w:rPr>
              <w:t>)</w:t>
            </w:r>
          </w:p>
        </w:tc>
        <w:tc>
          <w:tcPr>
            <w:tcW w:w="0" w:type="auto"/>
            <w:hideMark/>
          </w:tcPr>
          <w:p w14:paraId="68C03EBC" w14:textId="77777777" w:rsidR="00E101E5" w:rsidRPr="00095546" w:rsidRDefault="00E101E5" w:rsidP="00E101E5">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Missense</w:t>
            </w:r>
          </w:p>
        </w:tc>
        <w:tc>
          <w:tcPr>
            <w:tcW w:w="0" w:type="auto"/>
            <w:hideMark/>
          </w:tcPr>
          <w:p w14:paraId="3233A936" w14:textId="77777777" w:rsidR="00E101E5" w:rsidRPr="00095546" w:rsidRDefault="00E101E5" w:rsidP="00E101E5">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CH (Case 8)</w:t>
            </w:r>
          </w:p>
        </w:tc>
        <w:tc>
          <w:tcPr>
            <w:tcW w:w="0" w:type="auto"/>
            <w:hideMark/>
          </w:tcPr>
          <w:p w14:paraId="02EF3A36" w14:textId="77777777" w:rsidR="00E101E5" w:rsidRPr="00095546" w:rsidRDefault="00E101E5" w:rsidP="00E101E5">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PM2, PM3, PP3, PP4</w:t>
            </w:r>
          </w:p>
        </w:tc>
        <w:tc>
          <w:tcPr>
            <w:tcW w:w="0" w:type="auto"/>
            <w:hideMark/>
          </w:tcPr>
          <w:p w14:paraId="2E98E8EF" w14:textId="5C24BCD9" w:rsidR="00E101E5" w:rsidRPr="00095546" w:rsidRDefault="00A20324" w:rsidP="00E101E5">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Likely Pathogenic</w:t>
            </w:r>
          </w:p>
        </w:tc>
        <w:tc>
          <w:tcPr>
            <w:tcW w:w="16430" w:type="dxa"/>
            <w:hideMark/>
          </w:tcPr>
          <w:p w14:paraId="3B2CDEF6" w14:textId="06BE9549" w:rsidR="00E101E5" w:rsidRPr="00095546" w:rsidRDefault="00E101E5" w:rsidP="00E101E5">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 xml:space="preserve">Ultra-rare; in trans with </w:t>
            </w:r>
            <w:proofErr w:type="spellStart"/>
            <w:r w:rsidRPr="00095546">
              <w:rPr>
                <w:rFonts w:asciiTheme="majorBidi" w:hAnsiTheme="majorBidi" w:cstheme="majorBidi"/>
                <w:sz w:val="22"/>
                <w:szCs w:val="22"/>
              </w:rPr>
              <w:t>LoF</w:t>
            </w:r>
            <w:proofErr w:type="spellEnd"/>
            <w:r w:rsidRPr="00095546">
              <w:rPr>
                <w:rFonts w:asciiTheme="majorBidi" w:hAnsiTheme="majorBidi" w:cstheme="majorBidi"/>
                <w:sz w:val="22"/>
                <w:szCs w:val="22"/>
              </w:rPr>
              <w:t xml:space="preserve"> (PM3); CADD 23.1 and </w:t>
            </w:r>
            <w:proofErr w:type="spellStart"/>
            <w:r w:rsidRPr="00095546">
              <w:rPr>
                <w:rFonts w:asciiTheme="majorBidi" w:hAnsiTheme="majorBidi" w:cstheme="majorBidi"/>
                <w:sz w:val="22"/>
                <w:szCs w:val="22"/>
              </w:rPr>
              <w:t>PolyPhen</w:t>
            </w:r>
            <w:proofErr w:type="spellEnd"/>
            <w:r w:rsidRPr="00095546">
              <w:rPr>
                <w:rFonts w:asciiTheme="majorBidi" w:hAnsiTheme="majorBidi" w:cstheme="majorBidi"/>
                <w:sz w:val="22"/>
                <w:szCs w:val="22"/>
              </w:rPr>
              <w:t xml:space="preserve"> 0.98 (PP3); consistent with Case 9 clinical course (PP4)</w:t>
            </w:r>
          </w:p>
        </w:tc>
      </w:tr>
      <w:tr w:rsidR="00050D90" w:rsidRPr="00095546" w14:paraId="2FF4ADF0" w14:textId="77777777" w:rsidTr="00D1371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2A2F872" w14:textId="461E890B" w:rsidR="00050D90" w:rsidRPr="00095546" w:rsidRDefault="00095546" w:rsidP="00050D90">
            <w:pPr>
              <w:spacing w:after="160" w:line="278" w:lineRule="auto"/>
              <w:rPr>
                <w:rFonts w:asciiTheme="majorBidi" w:hAnsiTheme="majorBidi" w:cstheme="majorBidi"/>
                <w:sz w:val="22"/>
                <w:szCs w:val="22"/>
              </w:rPr>
            </w:pPr>
            <w:r w:rsidRPr="00095546">
              <w:rPr>
                <w:rFonts w:asciiTheme="majorBidi" w:hAnsiTheme="majorBidi" w:cstheme="majorBidi"/>
                <w:sz w:val="22"/>
                <w:szCs w:val="22"/>
              </w:rPr>
              <w:t>c.1211G&gt;A</w:t>
            </w:r>
            <w:r>
              <w:rPr>
                <w:rFonts w:asciiTheme="majorBidi" w:hAnsiTheme="majorBidi" w:cstheme="majorBidi"/>
                <w:sz w:val="22"/>
                <w:szCs w:val="22"/>
              </w:rPr>
              <w:t xml:space="preserve">, </w:t>
            </w:r>
            <w:r w:rsidR="00050D90" w:rsidRPr="00095546">
              <w:rPr>
                <w:rFonts w:asciiTheme="majorBidi" w:hAnsiTheme="majorBidi" w:cstheme="majorBidi"/>
                <w:sz w:val="22"/>
                <w:szCs w:val="22"/>
              </w:rPr>
              <w:t>p.</w:t>
            </w:r>
            <w:r>
              <w:rPr>
                <w:rFonts w:asciiTheme="majorBidi" w:hAnsiTheme="majorBidi" w:cstheme="majorBidi"/>
                <w:sz w:val="22"/>
                <w:szCs w:val="22"/>
              </w:rPr>
              <w:t>(</w:t>
            </w:r>
            <w:r w:rsidR="00050D90" w:rsidRPr="00095546">
              <w:rPr>
                <w:rFonts w:asciiTheme="majorBidi" w:hAnsiTheme="majorBidi" w:cstheme="majorBidi"/>
                <w:sz w:val="22"/>
                <w:szCs w:val="22"/>
              </w:rPr>
              <w:t>Trp404*</w:t>
            </w:r>
            <w:r>
              <w:rPr>
                <w:rFonts w:asciiTheme="majorBidi" w:hAnsiTheme="majorBidi" w:cstheme="majorBidi"/>
                <w:sz w:val="22"/>
                <w:szCs w:val="22"/>
              </w:rPr>
              <w:t>)</w:t>
            </w:r>
          </w:p>
        </w:tc>
        <w:tc>
          <w:tcPr>
            <w:tcW w:w="0" w:type="auto"/>
            <w:hideMark/>
          </w:tcPr>
          <w:p w14:paraId="5122090D" w14:textId="77777777" w:rsidR="00050D90" w:rsidRPr="00095546" w:rsidRDefault="00050D90" w:rsidP="00050D90">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Nonsense</w:t>
            </w:r>
          </w:p>
        </w:tc>
        <w:tc>
          <w:tcPr>
            <w:tcW w:w="0" w:type="auto"/>
            <w:hideMark/>
          </w:tcPr>
          <w:p w14:paraId="21C2172F" w14:textId="77777777" w:rsidR="00050D90" w:rsidRPr="00095546" w:rsidRDefault="00050D90" w:rsidP="00050D90">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CH (Case 9)</w:t>
            </w:r>
          </w:p>
        </w:tc>
        <w:tc>
          <w:tcPr>
            <w:tcW w:w="0" w:type="auto"/>
            <w:hideMark/>
          </w:tcPr>
          <w:p w14:paraId="2E002949" w14:textId="77777777" w:rsidR="00050D90" w:rsidRPr="00095546" w:rsidRDefault="00050D90" w:rsidP="00050D90">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PVS1, PM2, PP4</w:t>
            </w:r>
          </w:p>
        </w:tc>
        <w:tc>
          <w:tcPr>
            <w:tcW w:w="0" w:type="auto"/>
            <w:hideMark/>
          </w:tcPr>
          <w:p w14:paraId="573CACBC" w14:textId="79D15DB3" w:rsidR="00050D90" w:rsidRPr="00095546" w:rsidRDefault="00A20324" w:rsidP="00050D90">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Pathogenic</w:t>
            </w:r>
          </w:p>
        </w:tc>
        <w:tc>
          <w:tcPr>
            <w:tcW w:w="16430" w:type="dxa"/>
            <w:hideMark/>
          </w:tcPr>
          <w:p w14:paraId="4DBB929F" w14:textId="766EBD23" w:rsidR="00050D90" w:rsidRPr="00095546" w:rsidRDefault="00050D90" w:rsidP="00050D90">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Early premature termination codon; in trans with p.</w:t>
            </w:r>
            <w:r w:rsidR="00095546">
              <w:rPr>
                <w:rFonts w:asciiTheme="majorBidi" w:hAnsiTheme="majorBidi" w:cstheme="majorBidi"/>
                <w:sz w:val="22"/>
                <w:szCs w:val="22"/>
              </w:rPr>
              <w:t>(</w:t>
            </w:r>
            <w:r w:rsidRPr="00095546">
              <w:rPr>
                <w:rFonts w:asciiTheme="majorBidi" w:hAnsiTheme="majorBidi" w:cstheme="majorBidi"/>
                <w:sz w:val="22"/>
                <w:szCs w:val="22"/>
              </w:rPr>
              <w:t>Ala415Val</w:t>
            </w:r>
            <w:r w:rsidR="00095546">
              <w:rPr>
                <w:rFonts w:asciiTheme="majorBidi" w:hAnsiTheme="majorBidi" w:cstheme="majorBidi"/>
                <w:sz w:val="22"/>
                <w:szCs w:val="22"/>
              </w:rPr>
              <w:t>)</w:t>
            </w:r>
            <w:r w:rsidRPr="00095546">
              <w:rPr>
                <w:rFonts w:asciiTheme="majorBidi" w:hAnsiTheme="majorBidi" w:cstheme="majorBidi"/>
                <w:sz w:val="22"/>
                <w:szCs w:val="22"/>
              </w:rPr>
              <w:t>; associated with psychomotor regression and spasticity (PVS1, PP4)</w:t>
            </w:r>
          </w:p>
        </w:tc>
      </w:tr>
      <w:tr w:rsidR="00A20324" w:rsidRPr="00095546" w14:paraId="58B73A79" w14:textId="77777777" w:rsidTr="00D1371C">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4BE18816" w14:textId="1C7C3600" w:rsidR="00A20324" w:rsidRPr="00095546" w:rsidRDefault="00095546" w:rsidP="00A20324">
            <w:pPr>
              <w:spacing w:after="160" w:line="278" w:lineRule="auto"/>
              <w:rPr>
                <w:rFonts w:asciiTheme="majorBidi" w:hAnsiTheme="majorBidi" w:cstheme="majorBidi"/>
                <w:sz w:val="22"/>
                <w:szCs w:val="22"/>
                <w:lang w:val="it-IT"/>
              </w:rPr>
            </w:pPr>
            <w:r w:rsidRPr="00095546">
              <w:rPr>
                <w:rFonts w:asciiTheme="majorBidi" w:hAnsiTheme="majorBidi" w:cstheme="majorBidi"/>
                <w:sz w:val="22"/>
                <w:szCs w:val="22"/>
                <w:lang w:val="it-IT"/>
              </w:rPr>
              <w:t>c.1244C&gt;T</w:t>
            </w:r>
            <w:r>
              <w:rPr>
                <w:rFonts w:asciiTheme="majorBidi" w:hAnsiTheme="majorBidi" w:cstheme="majorBidi"/>
                <w:sz w:val="22"/>
                <w:szCs w:val="22"/>
                <w:lang w:val="it-IT"/>
              </w:rPr>
              <w:t xml:space="preserve">, </w:t>
            </w:r>
            <w:r w:rsidR="00A20324" w:rsidRPr="00095546">
              <w:rPr>
                <w:rFonts w:asciiTheme="majorBidi" w:hAnsiTheme="majorBidi" w:cstheme="majorBidi"/>
                <w:sz w:val="22"/>
                <w:szCs w:val="22"/>
                <w:lang w:val="it-IT"/>
              </w:rPr>
              <w:t>p.</w:t>
            </w:r>
            <w:r>
              <w:rPr>
                <w:rFonts w:asciiTheme="majorBidi" w:hAnsiTheme="majorBidi" w:cstheme="majorBidi"/>
                <w:sz w:val="22"/>
                <w:szCs w:val="22"/>
                <w:lang w:val="it-IT"/>
              </w:rPr>
              <w:t>(</w:t>
            </w:r>
            <w:r w:rsidR="00A20324" w:rsidRPr="00095546">
              <w:rPr>
                <w:rFonts w:asciiTheme="majorBidi" w:hAnsiTheme="majorBidi" w:cstheme="majorBidi"/>
                <w:sz w:val="22"/>
                <w:szCs w:val="22"/>
                <w:lang w:val="it-IT"/>
              </w:rPr>
              <w:t>Ala415Val</w:t>
            </w:r>
            <w:r>
              <w:rPr>
                <w:rFonts w:asciiTheme="majorBidi" w:hAnsiTheme="majorBidi" w:cstheme="majorBidi"/>
                <w:sz w:val="22"/>
                <w:szCs w:val="22"/>
                <w:lang w:val="it-IT"/>
              </w:rPr>
              <w:t>)</w:t>
            </w:r>
            <w:r w:rsidR="00A20324" w:rsidRPr="00095546">
              <w:rPr>
                <w:rFonts w:asciiTheme="majorBidi" w:hAnsiTheme="majorBidi" w:cstheme="majorBidi"/>
                <w:sz w:val="22"/>
                <w:szCs w:val="22"/>
                <w:lang w:val="it-IT"/>
              </w:rPr>
              <w:t xml:space="preserve"> </w:t>
            </w:r>
          </w:p>
        </w:tc>
        <w:tc>
          <w:tcPr>
            <w:tcW w:w="0" w:type="auto"/>
            <w:hideMark/>
          </w:tcPr>
          <w:p w14:paraId="262E9806" w14:textId="77777777" w:rsidR="00A20324" w:rsidRPr="00095546" w:rsidRDefault="00A20324" w:rsidP="00A20324">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Missense</w:t>
            </w:r>
          </w:p>
        </w:tc>
        <w:tc>
          <w:tcPr>
            <w:tcW w:w="0" w:type="auto"/>
            <w:hideMark/>
          </w:tcPr>
          <w:p w14:paraId="648AE476" w14:textId="77777777" w:rsidR="00A20324" w:rsidRPr="00095546" w:rsidRDefault="00A20324" w:rsidP="00A20324">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CH (Case 9)</w:t>
            </w:r>
          </w:p>
        </w:tc>
        <w:tc>
          <w:tcPr>
            <w:tcW w:w="0" w:type="auto"/>
            <w:hideMark/>
          </w:tcPr>
          <w:p w14:paraId="3F6B6B3E" w14:textId="77777777" w:rsidR="00A20324" w:rsidRPr="00095546" w:rsidRDefault="00A20324" w:rsidP="00A20324">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PM2, PM3, PP3, PP4</w:t>
            </w:r>
          </w:p>
        </w:tc>
        <w:tc>
          <w:tcPr>
            <w:tcW w:w="0" w:type="auto"/>
            <w:hideMark/>
          </w:tcPr>
          <w:p w14:paraId="16FE0457" w14:textId="55C8F3E6" w:rsidR="00A20324" w:rsidRPr="00095546" w:rsidRDefault="00A20324" w:rsidP="00A20324">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Likely Pathogenic</w:t>
            </w:r>
          </w:p>
        </w:tc>
        <w:tc>
          <w:tcPr>
            <w:tcW w:w="16430" w:type="dxa"/>
            <w:hideMark/>
          </w:tcPr>
          <w:p w14:paraId="29F936C7" w14:textId="2006B7A8" w:rsidR="00A20324" w:rsidRPr="00095546" w:rsidRDefault="00A20324" w:rsidP="00A20324">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 xml:space="preserve">Rare missense in trans with pathogenic nonsense (PM3); CADD 28.9 and </w:t>
            </w:r>
            <w:proofErr w:type="spellStart"/>
            <w:r w:rsidRPr="00095546">
              <w:rPr>
                <w:rFonts w:asciiTheme="majorBidi" w:hAnsiTheme="majorBidi" w:cstheme="majorBidi"/>
                <w:sz w:val="22"/>
                <w:szCs w:val="22"/>
              </w:rPr>
              <w:t>PolyPhen</w:t>
            </w:r>
            <w:proofErr w:type="spellEnd"/>
            <w:r w:rsidRPr="00095546">
              <w:rPr>
                <w:rFonts w:asciiTheme="majorBidi" w:hAnsiTheme="majorBidi" w:cstheme="majorBidi"/>
                <w:sz w:val="22"/>
                <w:szCs w:val="22"/>
              </w:rPr>
              <w:t xml:space="preserve"> 1.0 (PP3); phenotypic match with Case 9 (PP4)</w:t>
            </w:r>
          </w:p>
        </w:tc>
      </w:tr>
      <w:tr w:rsidR="00A20324" w:rsidRPr="00095546" w14:paraId="48CDDD73" w14:textId="77777777" w:rsidTr="00D1371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AAFF732" w14:textId="31BDBBA2" w:rsidR="00A20324" w:rsidRPr="00095546" w:rsidRDefault="00095546" w:rsidP="00A20324">
            <w:pPr>
              <w:spacing w:after="160" w:line="278" w:lineRule="auto"/>
              <w:rPr>
                <w:rFonts w:asciiTheme="majorBidi" w:hAnsiTheme="majorBidi" w:cstheme="majorBidi"/>
                <w:sz w:val="22"/>
                <w:szCs w:val="22"/>
              </w:rPr>
            </w:pPr>
            <w:r w:rsidRPr="00095546">
              <w:rPr>
                <w:rFonts w:asciiTheme="majorBidi" w:hAnsiTheme="majorBidi" w:cstheme="majorBidi"/>
                <w:sz w:val="22"/>
                <w:szCs w:val="22"/>
              </w:rPr>
              <w:t>c.1073C&gt;T</w:t>
            </w:r>
            <w:r>
              <w:rPr>
                <w:rFonts w:asciiTheme="majorBidi" w:hAnsiTheme="majorBidi" w:cstheme="majorBidi"/>
                <w:sz w:val="22"/>
                <w:szCs w:val="22"/>
              </w:rPr>
              <w:t xml:space="preserve">, </w:t>
            </w:r>
            <w:r w:rsidR="00A20324" w:rsidRPr="00095546">
              <w:rPr>
                <w:rFonts w:asciiTheme="majorBidi" w:hAnsiTheme="majorBidi" w:cstheme="majorBidi"/>
                <w:sz w:val="22"/>
                <w:szCs w:val="22"/>
              </w:rPr>
              <w:t>p.</w:t>
            </w:r>
            <w:r>
              <w:rPr>
                <w:rFonts w:asciiTheme="majorBidi" w:hAnsiTheme="majorBidi" w:cstheme="majorBidi"/>
                <w:sz w:val="22"/>
                <w:szCs w:val="22"/>
              </w:rPr>
              <w:t>(</w:t>
            </w:r>
            <w:r w:rsidR="00A20324" w:rsidRPr="00095546">
              <w:rPr>
                <w:rFonts w:asciiTheme="majorBidi" w:hAnsiTheme="majorBidi" w:cstheme="majorBidi"/>
                <w:sz w:val="22"/>
                <w:szCs w:val="22"/>
              </w:rPr>
              <w:t>Thr358Met</w:t>
            </w:r>
            <w:r>
              <w:rPr>
                <w:rFonts w:asciiTheme="majorBidi" w:hAnsiTheme="majorBidi" w:cstheme="majorBidi"/>
                <w:sz w:val="22"/>
                <w:szCs w:val="22"/>
              </w:rPr>
              <w:t>)</w:t>
            </w:r>
          </w:p>
        </w:tc>
        <w:tc>
          <w:tcPr>
            <w:tcW w:w="0" w:type="auto"/>
            <w:hideMark/>
          </w:tcPr>
          <w:p w14:paraId="0BAB0E96" w14:textId="77777777" w:rsidR="00A20324" w:rsidRPr="00095546" w:rsidRDefault="00A20324" w:rsidP="00A20324">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Missense</w:t>
            </w:r>
          </w:p>
        </w:tc>
        <w:tc>
          <w:tcPr>
            <w:tcW w:w="0" w:type="auto"/>
            <w:hideMark/>
          </w:tcPr>
          <w:p w14:paraId="3C5B46AA" w14:textId="77777777" w:rsidR="00A20324" w:rsidRPr="00095546" w:rsidRDefault="00A20324" w:rsidP="00A20324">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CH (Case 10)</w:t>
            </w:r>
          </w:p>
        </w:tc>
        <w:tc>
          <w:tcPr>
            <w:tcW w:w="0" w:type="auto"/>
            <w:hideMark/>
          </w:tcPr>
          <w:p w14:paraId="14B2CE1D" w14:textId="77777777" w:rsidR="00A20324" w:rsidRPr="00095546" w:rsidRDefault="00A20324" w:rsidP="00A20324">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PM1, PM2, PM3, PP3, PP4, PS3_supp</w:t>
            </w:r>
          </w:p>
        </w:tc>
        <w:tc>
          <w:tcPr>
            <w:tcW w:w="0" w:type="auto"/>
            <w:hideMark/>
          </w:tcPr>
          <w:p w14:paraId="2A99E6A8" w14:textId="47F1C514" w:rsidR="00A20324" w:rsidRPr="00095546" w:rsidRDefault="00A20324" w:rsidP="00A20324">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Likely Pathogenic</w:t>
            </w:r>
          </w:p>
        </w:tc>
        <w:tc>
          <w:tcPr>
            <w:tcW w:w="16430" w:type="dxa"/>
            <w:hideMark/>
          </w:tcPr>
          <w:p w14:paraId="6D3296BE" w14:textId="1CE39B3C" w:rsidR="00A20324" w:rsidRPr="00095546" w:rsidRDefault="00A20324" w:rsidP="00A20324">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Located in Pol II/III binding interface (PM1); in trans with p.</w:t>
            </w:r>
            <w:r w:rsidR="00095546">
              <w:rPr>
                <w:rFonts w:asciiTheme="majorBidi" w:hAnsiTheme="majorBidi" w:cstheme="majorBidi"/>
                <w:sz w:val="22"/>
                <w:szCs w:val="22"/>
              </w:rPr>
              <w:t>(</w:t>
            </w:r>
            <w:r w:rsidRPr="00095546">
              <w:rPr>
                <w:rFonts w:asciiTheme="majorBidi" w:hAnsiTheme="majorBidi" w:cstheme="majorBidi"/>
                <w:sz w:val="22"/>
                <w:szCs w:val="22"/>
              </w:rPr>
              <w:t>Leu1454His</w:t>
            </w:r>
            <w:r w:rsidR="00095546">
              <w:rPr>
                <w:rFonts w:asciiTheme="majorBidi" w:hAnsiTheme="majorBidi" w:cstheme="majorBidi"/>
                <w:sz w:val="22"/>
                <w:szCs w:val="22"/>
              </w:rPr>
              <w:t>)</w:t>
            </w:r>
            <w:r w:rsidRPr="00095546">
              <w:rPr>
                <w:rFonts w:asciiTheme="majorBidi" w:hAnsiTheme="majorBidi" w:cstheme="majorBidi"/>
                <w:sz w:val="22"/>
                <w:szCs w:val="22"/>
              </w:rPr>
              <w:t xml:space="preserve"> (PM3); CADD 24 (PP3); PPI modeling shows complex destabilization (PS3)</w:t>
            </w:r>
          </w:p>
        </w:tc>
      </w:tr>
      <w:tr w:rsidR="00A20324" w:rsidRPr="00095546" w14:paraId="2C07265C" w14:textId="77777777" w:rsidTr="00D1371C">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407F6C0F" w14:textId="069F028F" w:rsidR="00A20324" w:rsidRPr="00095546" w:rsidRDefault="00095546" w:rsidP="00A20324">
            <w:pPr>
              <w:spacing w:after="160" w:line="278" w:lineRule="auto"/>
              <w:rPr>
                <w:rFonts w:asciiTheme="majorBidi" w:hAnsiTheme="majorBidi" w:cstheme="majorBidi"/>
                <w:sz w:val="22"/>
                <w:szCs w:val="22"/>
              </w:rPr>
            </w:pPr>
            <w:r w:rsidRPr="00095546">
              <w:rPr>
                <w:rFonts w:asciiTheme="majorBidi" w:hAnsiTheme="majorBidi" w:cstheme="majorBidi"/>
                <w:sz w:val="22"/>
                <w:szCs w:val="22"/>
              </w:rPr>
              <w:t>c.4361T&gt;A</w:t>
            </w:r>
            <w:r>
              <w:rPr>
                <w:rFonts w:asciiTheme="majorBidi" w:hAnsiTheme="majorBidi" w:cstheme="majorBidi"/>
                <w:sz w:val="22"/>
                <w:szCs w:val="22"/>
              </w:rPr>
              <w:t xml:space="preserve">, </w:t>
            </w:r>
            <w:r w:rsidR="00A20324" w:rsidRPr="00095546">
              <w:rPr>
                <w:rFonts w:asciiTheme="majorBidi" w:hAnsiTheme="majorBidi" w:cstheme="majorBidi"/>
                <w:sz w:val="22"/>
                <w:szCs w:val="22"/>
              </w:rPr>
              <w:t>p.</w:t>
            </w:r>
            <w:r>
              <w:rPr>
                <w:rFonts w:asciiTheme="majorBidi" w:hAnsiTheme="majorBidi" w:cstheme="majorBidi"/>
                <w:sz w:val="22"/>
                <w:szCs w:val="22"/>
              </w:rPr>
              <w:t>(</w:t>
            </w:r>
            <w:r w:rsidR="00A20324" w:rsidRPr="00095546">
              <w:rPr>
                <w:rFonts w:asciiTheme="majorBidi" w:hAnsiTheme="majorBidi" w:cstheme="majorBidi"/>
                <w:sz w:val="22"/>
                <w:szCs w:val="22"/>
              </w:rPr>
              <w:t>Leu1454His</w:t>
            </w:r>
            <w:r>
              <w:rPr>
                <w:rFonts w:asciiTheme="majorBidi" w:hAnsiTheme="majorBidi" w:cstheme="majorBidi"/>
                <w:sz w:val="22"/>
                <w:szCs w:val="22"/>
              </w:rPr>
              <w:t>)</w:t>
            </w:r>
          </w:p>
        </w:tc>
        <w:tc>
          <w:tcPr>
            <w:tcW w:w="0" w:type="auto"/>
            <w:hideMark/>
          </w:tcPr>
          <w:p w14:paraId="73615BBB" w14:textId="77777777" w:rsidR="00A20324" w:rsidRPr="00095546" w:rsidRDefault="00A20324" w:rsidP="00A20324">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Missense</w:t>
            </w:r>
          </w:p>
        </w:tc>
        <w:tc>
          <w:tcPr>
            <w:tcW w:w="0" w:type="auto"/>
            <w:hideMark/>
          </w:tcPr>
          <w:p w14:paraId="7908FE6E" w14:textId="77777777" w:rsidR="00A20324" w:rsidRPr="00095546" w:rsidRDefault="00A20324" w:rsidP="00A20324">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CH (Case 10)</w:t>
            </w:r>
          </w:p>
        </w:tc>
        <w:tc>
          <w:tcPr>
            <w:tcW w:w="0" w:type="auto"/>
            <w:hideMark/>
          </w:tcPr>
          <w:p w14:paraId="6915B892" w14:textId="77777777" w:rsidR="00A20324" w:rsidRPr="00095546" w:rsidRDefault="00A20324" w:rsidP="00A20324">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PM2, PM3, PP4</w:t>
            </w:r>
          </w:p>
        </w:tc>
        <w:tc>
          <w:tcPr>
            <w:tcW w:w="0" w:type="auto"/>
            <w:hideMark/>
          </w:tcPr>
          <w:p w14:paraId="0156A790" w14:textId="3C45A097" w:rsidR="00A20324" w:rsidRPr="00095546" w:rsidRDefault="00A20324" w:rsidP="00A20324">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Likely Pathogenic</w:t>
            </w:r>
          </w:p>
        </w:tc>
        <w:tc>
          <w:tcPr>
            <w:tcW w:w="16430" w:type="dxa"/>
            <w:hideMark/>
          </w:tcPr>
          <w:p w14:paraId="7466EFB7" w14:textId="08412174" w:rsidR="00A20324" w:rsidRPr="00095546" w:rsidRDefault="00A20324" w:rsidP="00A20324">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In trans with p.</w:t>
            </w:r>
            <w:r w:rsidR="00095546">
              <w:rPr>
                <w:rFonts w:asciiTheme="majorBidi" w:hAnsiTheme="majorBidi" w:cstheme="majorBidi"/>
                <w:sz w:val="22"/>
                <w:szCs w:val="22"/>
              </w:rPr>
              <w:t>(</w:t>
            </w:r>
            <w:r w:rsidRPr="00095546">
              <w:rPr>
                <w:rFonts w:asciiTheme="majorBidi" w:hAnsiTheme="majorBidi" w:cstheme="majorBidi"/>
                <w:sz w:val="22"/>
                <w:szCs w:val="22"/>
              </w:rPr>
              <w:t>Thr358Met</w:t>
            </w:r>
            <w:r w:rsidR="00095546">
              <w:rPr>
                <w:rFonts w:asciiTheme="majorBidi" w:hAnsiTheme="majorBidi" w:cstheme="majorBidi"/>
                <w:sz w:val="22"/>
                <w:szCs w:val="22"/>
              </w:rPr>
              <w:t>)</w:t>
            </w:r>
            <w:r w:rsidRPr="00095546">
              <w:rPr>
                <w:rFonts w:asciiTheme="majorBidi" w:hAnsiTheme="majorBidi" w:cstheme="majorBidi"/>
                <w:sz w:val="22"/>
                <w:szCs w:val="22"/>
              </w:rPr>
              <w:t xml:space="preserve"> (PM3); matches Case 10 psychiatric/ADHD phenotype (PP4); absent from population databases (PM2)</w:t>
            </w:r>
          </w:p>
        </w:tc>
      </w:tr>
      <w:tr w:rsidR="00A20324" w:rsidRPr="00095546" w14:paraId="3D3791E5" w14:textId="77777777" w:rsidTr="00D1371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EE49EC3" w14:textId="1D31CF84" w:rsidR="00A20324" w:rsidRPr="00095546" w:rsidRDefault="00095546" w:rsidP="00A20324">
            <w:pPr>
              <w:spacing w:after="160" w:line="278" w:lineRule="auto"/>
              <w:rPr>
                <w:rFonts w:asciiTheme="majorBidi" w:hAnsiTheme="majorBidi" w:cstheme="majorBidi"/>
                <w:sz w:val="22"/>
                <w:szCs w:val="22"/>
              </w:rPr>
            </w:pPr>
            <w:r w:rsidRPr="00095546">
              <w:rPr>
                <w:rFonts w:asciiTheme="majorBidi" w:hAnsiTheme="majorBidi" w:cstheme="majorBidi"/>
                <w:sz w:val="22"/>
                <w:szCs w:val="22"/>
              </w:rPr>
              <w:t>c.1306G&gt;A</w:t>
            </w:r>
            <w:r>
              <w:rPr>
                <w:rFonts w:asciiTheme="majorBidi" w:hAnsiTheme="majorBidi" w:cstheme="majorBidi"/>
                <w:sz w:val="22"/>
                <w:szCs w:val="22"/>
              </w:rPr>
              <w:t xml:space="preserve">, </w:t>
            </w:r>
            <w:r w:rsidR="00A20324" w:rsidRPr="00095546">
              <w:rPr>
                <w:rFonts w:asciiTheme="majorBidi" w:hAnsiTheme="majorBidi" w:cstheme="majorBidi"/>
                <w:sz w:val="22"/>
                <w:szCs w:val="22"/>
              </w:rPr>
              <w:t>p.</w:t>
            </w:r>
            <w:r>
              <w:rPr>
                <w:rFonts w:asciiTheme="majorBidi" w:hAnsiTheme="majorBidi" w:cstheme="majorBidi"/>
                <w:sz w:val="22"/>
                <w:szCs w:val="22"/>
              </w:rPr>
              <w:t>(</w:t>
            </w:r>
            <w:r w:rsidR="00A20324" w:rsidRPr="00095546">
              <w:rPr>
                <w:rFonts w:asciiTheme="majorBidi" w:hAnsiTheme="majorBidi" w:cstheme="majorBidi"/>
                <w:sz w:val="22"/>
                <w:szCs w:val="22"/>
              </w:rPr>
              <w:t>Asp436Asn</w:t>
            </w:r>
            <w:r>
              <w:rPr>
                <w:rFonts w:asciiTheme="majorBidi" w:hAnsiTheme="majorBidi" w:cstheme="majorBidi"/>
                <w:sz w:val="22"/>
                <w:szCs w:val="22"/>
              </w:rPr>
              <w:t>)</w:t>
            </w:r>
          </w:p>
        </w:tc>
        <w:tc>
          <w:tcPr>
            <w:tcW w:w="0" w:type="auto"/>
            <w:hideMark/>
          </w:tcPr>
          <w:p w14:paraId="53AB9214" w14:textId="77777777" w:rsidR="00A20324" w:rsidRPr="00095546" w:rsidRDefault="00A20324" w:rsidP="00A20324">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Missense</w:t>
            </w:r>
          </w:p>
        </w:tc>
        <w:tc>
          <w:tcPr>
            <w:tcW w:w="0" w:type="auto"/>
            <w:hideMark/>
          </w:tcPr>
          <w:p w14:paraId="780FF130" w14:textId="77777777" w:rsidR="00A20324" w:rsidRPr="00095546" w:rsidRDefault="00A20324" w:rsidP="00A20324">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CH (Case 11)</w:t>
            </w:r>
          </w:p>
        </w:tc>
        <w:tc>
          <w:tcPr>
            <w:tcW w:w="0" w:type="auto"/>
            <w:hideMark/>
          </w:tcPr>
          <w:p w14:paraId="16A4BC2C" w14:textId="77777777" w:rsidR="00A20324" w:rsidRPr="00095546" w:rsidRDefault="00A20324" w:rsidP="00A20324">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PM1, PM2, PP3, PP4</w:t>
            </w:r>
          </w:p>
        </w:tc>
        <w:tc>
          <w:tcPr>
            <w:tcW w:w="0" w:type="auto"/>
            <w:hideMark/>
          </w:tcPr>
          <w:p w14:paraId="48D38FAB" w14:textId="730BF522" w:rsidR="00A20324" w:rsidRPr="00095546" w:rsidRDefault="00A20324" w:rsidP="00A20324">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Likely Pathogenic</w:t>
            </w:r>
          </w:p>
        </w:tc>
        <w:tc>
          <w:tcPr>
            <w:tcW w:w="16430" w:type="dxa"/>
            <w:hideMark/>
          </w:tcPr>
          <w:p w14:paraId="773B68FC" w14:textId="77777777" w:rsidR="00A20324" w:rsidRPr="00095546" w:rsidRDefault="00A20324" w:rsidP="00A20324">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 xml:space="preserve">Located in conserved DNA-binding </w:t>
            </w:r>
            <w:proofErr w:type="spellStart"/>
            <w:r w:rsidRPr="00095546">
              <w:rPr>
                <w:rFonts w:asciiTheme="majorBidi" w:hAnsiTheme="majorBidi" w:cstheme="majorBidi"/>
                <w:sz w:val="22"/>
                <w:szCs w:val="22"/>
              </w:rPr>
              <w:t>Myb</w:t>
            </w:r>
            <w:proofErr w:type="spellEnd"/>
            <w:r w:rsidRPr="00095546">
              <w:rPr>
                <w:rFonts w:asciiTheme="majorBidi" w:hAnsiTheme="majorBidi" w:cstheme="majorBidi"/>
                <w:sz w:val="22"/>
                <w:szCs w:val="22"/>
              </w:rPr>
              <w:t>-type 2 domain (PM1); CADD 33 (PP3); matches severe growth restriction phenotype (PP4)</w:t>
            </w:r>
          </w:p>
        </w:tc>
      </w:tr>
      <w:tr w:rsidR="00A20324" w:rsidRPr="00095546" w14:paraId="793354BC" w14:textId="77777777" w:rsidTr="00D1371C">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E84EF44" w14:textId="1AF2AAD6" w:rsidR="00A20324" w:rsidRPr="00095546" w:rsidRDefault="00095546" w:rsidP="00A20324">
            <w:pPr>
              <w:spacing w:after="160" w:line="278" w:lineRule="auto"/>
              <w:rPr>
                <w:rFonts w:asciiTheme="majorBidi" w:hAnsiTheme="majorBidi" w:cstheme="majorBidi"/>
                <w:sz w:val="22"/>
                <w:szCs w:val="22"/>
                <w:lang w:val="it-IT"/>
              </w:rPr>
            </w:pPr>
            <w:r w:rsidRPr="00095546">
              <w:rPr>
                <w:rFonts w:asciiTheme="majorBidi" w:hAnsiTheme="majorBidi" w:cstheme="majorBidi"/>
                <w:sz w:val="22"/>
                <w:szCs w:val="22"/>
                <w:lang w:val="it-IT"/>
              </w:rPr>
              <w:t>c.4124C&gt;T</w:t>
            </w:r>
            <w:r>
              <w:rPr>
                <w:rFonts w:asciiTheme="majorBidi" w:hAnsiTheme="majorBidi" w:cstheme="majorBidi"/>
                <w:sz w:val="22"/>
                <w:szCs w:val="22"/>
                <w:lang w:val="it-IT"/>
              </w:rPr>
              <w:t xml:space="preserve">, </w:t>
            </w:r>
            <w:r w:rsidR="00A20324" w:rsidRPr="00095546">
              <w:rPr>
                <w:rFonts w:asciiTheme="majorBidi" w:hAnsiTheme="majorBidi" w:cstheme="majorBidi"/>
                <w:sz w:val="22"/>
                <w:szCs w:val="22"/>
                <w:lang w:val="it-IT"/>
              </w:rPr>
              <w:t>p.</w:t>
            </w:r>
            <w:r>
              <w:rPr>
                <w:rFonts w:asciiTheme="majorBidi" w:hAnsiTheme="majorBidi" w:cstheme="majorBidi"/>
                <w:sz w:val="22"/>
                <w:szCs w:val="22"/>
                <w:lang w:val="it-IT"/>
              </w:rPr>
              <w:t>(</w:t>
            </w:r>
            <w:r w:rsidR="00A20324" w:rsidRPr="00095546">
              <w:rPr>
                <w:rFonts w:asciiTheme="majorBidi" w:hAnsiTheme="majorBidi" w:cstheme="majorBidi"/>
                <w:sz w:val="22"/>
                <w:szCs w:val="22"/>
                <w:lang w:val="it-IT"/>
              </w:rPr>
              <w:t>Pro1375Leu</w:t>
            </w:r>
            <w:r>
              <w:rPr>
                <w:rFonts w:asciiTheme="majorBidi" w:hAnsiTheme="majorBidi" w:cstheme="majorBidi"/>
                <w:sz w:val="22"/>
                <w:szCs w:val="22"/>
                <w:lang w:val="it-IT"/>
              </w:rPr>
              <w:t>)</w:t>
            </w:r>
          </w:p>
        </w:tc>
        <w:tc>
          <w:tcPr>
            <w:tcW w:w="0" w:type="auto"/>
            <w:hideMark/>
          </w:tcPr>
          <w:p w14:paraId="0CDBCCB0" w14:textId="77777777" w:rsidR="00A20324" w:rsidRPr="00095546" w:rsidRDefault="00A20324" w:rsidP="00A20324">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Missense</w:t>
            </w:r>
          </w:p>
        </w:tc>
        <w:tc>
          <w:tcPr>
            <w:tcW w:w="0" w:type="auto"/>
            <w:hideMark/>
          </w:tcPr>
          <w:p w14:paraId="67482C44" w14:textId="77777777" w:rsidR="00A20324" w:rsidRPr="00095546" w:rsidRDefault="00A20324" w:rsidP="00A20324">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CH (Case 11)</w:t>
            </w:r>
          </w:p>
        </w:tc>
        <w:tc>
          <w:tcPr>
            <w:tcW w:w="0" w:type="auto"/>
            <w:hideMark/>
          </w:tcPr>
          <w:p w14:paraId="56D70C9C" w14:textId="77777777" w:rsidR="00A20324" w:rsidRPr="00095546" w:rsidRDefault="00A20324" w:rsidP="00A20324">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PM2, PP3, PP4</w:t>
            </w:r>
          </w:p>
        </w:tc>
        <w:tc>
          <w:tcPr>
            <w:tcW w:w="0" w:type="auto"/>
            <w:hideMark/>
          </w:tcPr>
          <w:p w14:paraId="130BA9B2" w14:textId="77777777" w:rsidR="00A20324" w:rsidRPr="00095546" w:rsidRDefault="00A20324" w:rsidP="00A20324">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VUS</w:t>
            </w:r>
          </w:p>
        </w:tc>
        <w:tc>
          <w:tcPr>
            <w:tcW w:w="16430" w:type="dxa"/>
            <w:hideMark/>
          </w:tcPr>
          <w:p w14:paraId="4179D028" w14:textId="1177052B" w:rsidR="00A20324" w:rsidRPr="00095546" w:rsidRDefault="00A20324" w:rsidP="00A20324">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Rare and predicted damaging by CADD (25.3), but limited clinical specificity in this context prevents upgrade to Likely Pathogenic (VUS)</w:t>
            </w:r>
          </w:p>
        </w:tc>
      </w:tr>
      <w:tr w:rsidR="00A20324" w:rsidRPr="00095546" w14:paraId="2BD54FA9" w14:textId="77777777" w:rsidTr="00D1371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18D5573" w14:textId="6A9089D7" w:rsidR="00A20324" w:rsidRPr="00095546" w:rsidRDefault="00095546" w:rsidP="00A20324">
            <w:pPr>
              <w:spacing w:after="160" w:line="278" w:lineRule="auto"/>
              <w:rPr>
                <w:rFonts w:asciiTheme="majorBidi" w:hAnsiTheme="majorBidi" w:cstheme="majorBidi"/>
                <w:sz w:val="22"/>
                <w:szCs w:val="22"/>
              </w:rPr>
            </w:pPr>
            <w:r w:rsidRPr="00095546">
              <w:rPr>
                <w:rFonts w:asciiTheme="majorBidi" w:hAnsiTheme="majorBidi" w:cstheme="majorBidi"/>
                <w:sz w:val="22"/>
                <w:szCs w:val="22"/>
              </w:rPr>
              <w:t>c.914T&gt;A</w:t>
            </w:r>
            <w:r>
              <w:rPr>
                <w:rFonts w:asciiTheme="majorBidi" w:hAnsiTheme="majorBidi" w:cstheme="majorBidi"/>
                <w:sz w:val="22"/>
                <w:szCs w:val="22"/>
              </w:rPr>
              <w:t xml:space="preserve">, </w:t>
            </w:r>
            <w:r w:rsidR="00A20324" w:rsidRPr="00095546">
              <w:rPr>
                <w:rFonts w:asciiTheme="majorBidi" w:hAnsiTheme="majorBidi" w:cstheme="majorBidi"/>
                <w:sz w:val="22"/>
                <w:szCs w:val="22"/>
              </w:rPr>
              <w:t>p.</w:t>
            </w:r>
            <w:r>
              <w:rPr>
                <w:rFonts w:asciiTheme="majorBidi" w:hAnsiTheme="majorBidi" w:cstheme="majorBidi"/>
                <w:sz w:val="22"/>
                <w:szCs w:val="22"/>
              </w:rPr>
              <w:t>(</w:t>
            </w:r>
            <w:r w:rsidR="00A20324" w:rsidRPr="00095546">
              <w:rPr>
                <w:rFonts w:asciiTheme="majorBidi" w:hAnsiTheme="majorBidi" w:cstheme="majorBidi"/>
                <w:sz w:val="22"/>
                <w:szCs w:val="22"/>
              </w:rPr>
              <w:t>Leu305Gln</w:t>
            </w:r>
            <w:r>
              <w:rPr>
                <w:rFonts w:asciiTheme="majorBidi" w:hAnsiTheme="majorBidi" w:cstheme="majorBidi"/>
                <w:sz w:val="22"/>
                <w:szCs w:val="22"/>
              </w:rPr>
              <w:t>)</w:t>
            </w:r>
          </w:p>
        </w:tc>
        <w:tc>
          <w:tcPr>
            <w:tcW w:w="0" w:type="auto"/>
            <w:hideMark/>
          </w:tcPr>
          <w:p w14:paraId="06140588" w14:textId="77777777" w:rsidR="00A20324" w:rsidRPr="00095546" w:rsidRDefault="00A20324" w:rsidP="00A20324">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Missense</w:t>
            </w:r>
          </w:p>
        </w:tc>
        <w:tc>
          <w:tcPr>
            <w:tcW w:w="0" w:type="auto"/>
            <w:hideMark/>
          </w:tcPr>
          <w:p w14:paraId="4924E356" w14:textId="77777777" w:rsidR="00A20324" w:rsidRPr="00095546" w:rsidRDefault="00A20324" w:rsidP="00A20324">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CH (Case 12)</w:t>
            </w:r>
          </w:p>
        </w:tc>
        <w:tc>
          <w:tcPr>
            <w:tcW w:w="0" w:type="auto"/>
            <w:hideMark/>
          </w:tcPr>
          <w:p w14:paraId="2732252C" w14:textId="77777777" w:rsidR="00A20324" w:rsidRPr="00095546" w:rsidRDefault="00A20324" w:rsidP="00A20324">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PM2, PM3, PP3, PP4</w:t>
            </w:r>
          </w:p>
        </w:tc>
        <w:tc>
          <w:tcPr>
            <w:tcW w:w="0" w:type="auto"/>
            <w:hideMark/>
          </w:tcPr>
          <w:p w14:paraId="49C8D509" w14:textId="2FE63AB8" w:rsidR="00A20324" w:rsidRPr="00095546" w:rsidRDefault="00A20324" w:rsidP="00A20324">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Likely Pathogenic</w:t>
            </w:r>
          </w:p>
        </w:tc>
        <w:tc>
          <w:tcPr>
            <w:tcW w:w="16430" w:type="dxa"/>
            <w:hideMark/>
          </w:tcPr>
          <w:p w14:paraId="38A1A21F" w14:textId="1E0E01B7" w:rsidR="00A20324" w:rsidRPr="00095546" w:rsidRDefault="00A20324" w:rsidP="00A20324">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 xml:space="preserve">Located in HTH </w:t>
            </w:r>
            <w:proofErr w:type="spellStart"/>
            <w:r w:rsidRPr="00095546">
              <w:rPr>
                <w:rFonts w:asciiTheme="majorBidi" w:hAnsiTheme="majorBidi" w:cstheme="majorBidi"/>
                <w:sz w:val="22"/>
                <w:szCs w:val="22"/>
              </w:rPr>
              <w:t>Myb</w:t>
            </w:r>
            <w:proofErr w:type="spellEnd"/>
            <w:r w:rsidRPr="00095546">
              <w:rPr>
                <w:rFonts w:asciiTheme="majorBidi" w:hAnsiTheme="majorBidi" w:cstheme="majorBidi"/>
                <w:sz w:val="22"/>
                <w:szCs w:val="22"/>
              </w:rPr>
              <w:t>-type 1 domain; in trans with large deletion (PM3); CADD 24.7 (PP3); matches non-ambulatory spasticity phenotype (PP4)</w:t>
            </w:r>
          </w:p>
        </w:tc>
      </w:tr>
      <w:tr w:rsidR="00A20324" w:rsidRPr="00095546" w14:paraId="123203DC" w14:textId="77777777" w:rsidTr="00D1371C">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DFAC871" w14:textId="77777777" w:rsidR="00A20324" w:rsidRPr="00095546" w:rsidRDefault="00A20324" w:rsidP="00A20324">
            <w:pPr>
              <w:spacing w:after="160" w:line="278" w:lineRule="auto"/>
              <w:rPr>
                <w:rFonts w:asciiTheme="majorBidi" w:hAnsiTheme="majorBidi" w:cstheme="majorBidi"/>
                <w:sz w:val="22"/>
                <w:szCs w:val="22"/>
              </w:rPr>
            </w:pPr>
            <w:r w:rsidRPr="00095546">
              <w:rPr>
                <w:rFonts w:asciiTheme="majorBidi" w:hAnsiTheme="majorBidi" w:cstheme="majorBidi"/>
                <w:sz w:val="22"/>
                <w:szCs w:val="22"/>
              </w:rPr>
              <w:t>Exons 14–19 deletion</w:t>
            </w:r>
          </w:p>
        </w:tc>
        <w:tc>
          <w:tcPr>
            <w:tcW w:w="0" w:type="auto"/>
            <w:hideMark/>
          </w:tcPr>
          <w:p w14:paraId="58E861BE" w14:textId="77777777" w:rsidR="00A20324" w:rsidRPr="00095546" w:rsidRDefault="00A20324" w:rsidP="00A20324">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CNV</w:t>
            </w:r>
          </w:p>
        </w:tc>
        <w:tc>
          <w:tcPr>
            <w:tcW w:w="0" w:type="auto"/>
            <w:hideMark/>
          </w:tcPr>
          <w:p w14:paraId="65FAAA9C" w14:textId="77777777" w:rsidR="00A20324" w:rsidRPr="00095546" w:rsidRDefault="00A20324" w:rsidP="00A20324">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CH (Case 12)</w:t>
            </w:r>
          </w:p>
        </w:tc>
        <w:tc>
          <w:tcPr>
            <w:tcW w:w="0" w:type="auto"/>
            <w:hideMark/>
          </w:tcPr>
          <w:p w14:paraId="5C7014C9" w14:textId="77777777" w:rsidR="00A20324" w:rsidRPr="00095546" w:rsidRDefault="00A20324" w:rsidP="00A20324">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PVS1, PM2, PP4</w:t>
            </w:r>
          </w:p>
        </w:tc>
        <w:tc>
          <w:tcPr>
            <w:tcW w:w="0" w:type="auto"/>
            <w:hideMark/>
          </w:tcPr>
          <w:p w14:paraId="52DA555C" w14:textId="77777777" w:rsidR="00A20324" w:rsidRPr="00095546" w:rsidRDefault="00A20324" w:rsidP="00A20324">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Pathogenic</w:t>
            </w:r>
          </w:p>
        </w:tc>
        <w:tc>
          <w:tcPr>
            <w:tcW w:w="16430" w:type="dxa"/>
            <w:hideMark/>
          </w:tcPr>
          <w:p w14:paraId="1D098B4E" w14:textId="0A398E63" w:rsidR="00A20324" w:rsidRPr="00095546" w:rsidRDefault="00A20324" w:rsidP="00A20324">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Large multi-exon deletion predicted to cause NMD or critical truncation; in trans with p.</w:t>
            </w:r>
            <w:r w:rsidR="00095546">
              <w:rPr>
                <w:rFonts w:asciiTheme="majorBidi" w:hAnsiTheme="majorBidi" w:cstheme="majorBidi"/>
                <w:sz w:val="22"/>
                <w:szCs w:val="22"/>
              </w:rPr>
              <w:t>(</w:t>
            </w:r>
            <w:r w:rsidRPr="00095546">
              <w:rPr>
                <w:rFonts w:asciiTheme="majorBidi" w:hAnsiTheme="majorBidi" w:cstheme="majorBidi"/>
                <w:sz w:val="22"/>
                <w:szCs w:val="22"/>
              </w:rPr>
              <w:t>Leu305Gln</w:t>
            </w:r>
            <w:r w:rsidR="00095546">
              <w:rPr>
                <w:rFonts w:asciiTheme="majorBidi" w:hAnsiTheme="majorBidi" w:cstheme="majorBidi"/>
                <w:sz w:val="22"/>
                <w:szCs w:val="22"/>
              </w:rPr>
              <w:t>)</w:t>
            </w:r>
            <w:r w:rsidRPr="00095546">
              <w:rPr>
                <w:rFonts w:asciiTheme="majorBidi" w:hAnsiTheme="majorBidi" w:cstheme="majorBidi"/>
                <w:sz w:val="22"/>
                <w:szCs w:val="22"/>
              </w:rPr>
              <w:t xml:space="preserve"> in a non-ambulatory patient (PVS1, PP4)</w:t>
            </w:r>
          </w:p>
        </w:tc>
      </w:tr>
      <w:tr w:rsidR="00A20324" w:rsidRPr="00095546" w14:paraId="5AEAB831" w14:textId="77777777" w:rsidTr="00D1371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45F2B437" w14:textId="77777777" w:rsidR="00A20324" w:rsidRPr="00095546" w:rsidRDefault="00A20324" w:rsidP="00A20324">
            <w:pPr>
              <w:spacing w:after="160" w:line="278" w:lineRule="auto"/>
              <w:rPr>
                <w:rFonts w:asciiTheme="majorBidi" w:hAnsiTheme="majorBidi" w:cstheme="majorBidi"/>
                <w:sz w:val="22"/>
                <w:szCs w:val="22"/>
              </w:rPr>
            </w:pPr>
            <w:r w:rsidRPr="00095546">
              <w:rPr>
                <w:rFonts w:asciiTheme="majorBidi" w:hAnsiTheme="majorBidi" w:cstheme="majorBidi"/>
                <w:sz w:val="22"/>
                <w:szCs w:val="22"/>
              </w:rPr>
              <w:t>c.2067+1G&gt;T</w:t>
            </w:r>
          </w:p>
        </w:tc>
        <w:tc>
          <w:tcPr>
            <w:tcW w:w="0" w:type="auto"/>
            <w:hideMark/>
          </w:tcPr>
          <w:p w14:paraId="0AF87F1F" w14:textId="77777777" w:rsidR="00A20324" w:rsidRPr="00095546" w:rsidRDefault="00A20324" w:rsidP="00A20324">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Canonical splice</w:t>
            </w:r>
          </w:p>
        </w:tc>
        <w:tc>
          <w:tcPr>
            <w:tcW w:w="0" w:type="auto"/>
            <w:hideMark/>
          </w:tcPr>
          <w:p w14:paraId="7A317344" w14:textId="12D266DB" w:rsidR="00A20324" w:rsidRPr="00095546" w:rsidRDefault="00D57E0C" w:rsidP="00A20324">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Hom</w:t>
            </w:r>
            <w:r w:rsidR="00A20324" w:rsidRPr="00095546">
              <w:rPr>
                <w:rFonts w:asciiTheme="majorBidi" w:hAnsiTheme="majorBidi" w:cstheme="majorBidi"/>
                <w:sz w:val="22"/>
                <w:szCs w:val="22"/>
              </w:rPr>
              <w:t xml:space="preserve"> (Case 13/14)</w:t>
            </w:r>
          </w:p>
        </w:tc>
        <w:tc>
          <w:tcPr>
            <w:tcW w:w="0" w:type="auto"/>
            <w:hideMark/>
          </w:tcPr>
          <w:p w14:paraId="562001F2" w14:textId="77777777" w:rsidR="00A20324" w:rsidRPr="00095546" w:rsidRDefault="00A20324" w:rsidP="00A20324">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PVS1, PM2, PP4</w:t>
            </w:r>
          </w:p>
        </w:tc>
        <w:tc>
          <w:tcPr>
            <w:tcW w:w="0" w:type="auto"/>
            <w:hideMark/>
          </w:tcPr>
          <w:p w14:paraId="24F77FB3" w14:textId="3D510FCC" w:rsidR="00A20324" w:rsidRPr="00095546" w:rsidRDefault="00A20324" w:rsidP="00A20324">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Pathogenic</w:t>
            </w:r>
          </w:p>
        </w:tc>
        <w:tc>
          <w:tcPr>
            <w:tcW w:w="16430" w:type="dxa"/>
            <w:hideMark/>
          </w:tcPr>
          <w:p w14:paraId="45EAC740" w14:textId="1BC4588F" w:rsidR="00A20324" w:rsidRPr="00095546" w:rsidRDefault="00A20324" w:rsidP="00A20324">
            <w:pPr>
              <w:spacing w:after="160" w:line="278"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95546">
              <w:rPr>
                <w:rFonts w:asciiTheme="majorBidi" w:hAnsiTheme="majorBidi" w:cstheme="majorBidi"/>
                <w:sz w:val="22"/>
                <w:szCs w:val="22"/>
              </w:rPr>
              <w:t xml:space="preserve">Abolishes essential donor site; found in multiple patients (Case 14) with lissencephaly or ASD (PVS1, PP4); absent from </w:t>
            </w:r>
            <w:proofErr w:type="spellStart"/>
            <w:r w:rsidRPr="00095546">
              <w:rPr>
                <w:rFonts w:asciiTheme="majorBidi" w:hAnsiTheme="majorBidi" w:cstheme="majorBidi"/>
                <w:sz w:val="22"/>
                <w:szCs w:val="22"/>
              </w:rPr>
              <w:t>gnomAD</w:t>
            </w:r>
            <w:proofErr w:type="spellEnd"/>
            <w:r w:rsidRPr="00095546">
              <w:rPr>
                <w:rFonts w:asciiTheme="majorBidi" w:hAnsiTheme="majorBidi" w:cstheme="majorBidi"/>
                <w:sz w:val="22"/>
                <w:szCs w:val="22"/>
              </w:rPr>
              <w:t xml:space="preserve"> (PM2)</w:t>
            </w:r>
          </w:p>
        </w:tc>
      </w:tr>
    </w:tbl>
    <w:p w14:paraId="16796410" w14:textId="01A12F30" w:rsidR="005A6A69" w:rsidRPr="00CE7C7E" w:rsidRDefault="005A6A69" w:rsidP="00CE7C7E">
      <w:pPr>
        <w:pStyle w:val="ListParagraph"/>
        <w:numPr>
          <w:ilvl w:val="0"/>
          <w:numId w:val="3"/>
        </w:numPr>
        <w:rPr>
          <w:rFonts w:asciiTheme="majorBidi" w:hAnsiTheme="majorBidi" w:cstheme="majorBidi"/>
          <w:b/>
          <w:bCs/>
          <w:sz w:val="28"/>
          <w:szCs w:val="28"/>
        </w:rPr>
      </w:pPr>
      <w:r w:rsidRPr="00CE7C7E">
        <w:rPr>
          <w:rFonts w:asciiTheme="majorBidi" w:hAnsiTheme="majorBidi" w:cstheme="majorBidi"/>
          <w:b/>
          <w:bCs/>
          <w:sz w:val="28"/>
          <w:szCs w:val="28"/>
        </w:rPr>
        <w:t xml:space="preserve">Supplemental Tables </w:t>
      </w:r>
    </w:p>
    <w:p w14:paraId="7D5E0940" w14:textId="1684FEB0" w:rsidR="002316D6" w:rsidRPr="00B90600" w:rsidRDefault="002316D6" w:rsidP="002316D6">
      <w:pPr>
        <w:rPr>
          <w:rFonts w:asciiTheme="majorBidi" w:hAnsiTheme="majorBidi" w:cstheme="majorBidi"/>
        </w:rPr>
      </w:pPr>
      <w:r w:rsidRPr="00B90600">
        <w:rPr>
          <w:rFonts w:asciiTheme="majorBidi" w:hAnsiTheme="majorBidi" w:cstheme="majorBidi"/>
          <w:b/>
          <w:bCs/>
        </w:rPr>
        <w:t xml:space="preserve">Table </w:t>
      </w:r>
      <w:r w:rsidR="006B5923" w:rsidRPr="00B90600">
        <w:rPr>
          <w:rFonts w:asciiTheme="majorBidi" w:hAnsiTheme="majorBidi" w:cstheme="majorBidi"/>
          <w:b/>
          <w:bCs/>
        </w:rPr>
        <w:t>S1</w:t>
      </w:r>
      <w:r w:rsidRPr="00B90600">
        <w:rPr>
          <w:rFonts w:asciiTheme="majorBidi" w:hAnsiTheme="majorBidi" w:cstheme="majorBidi"/>
          <w:b/>
          <w:bCs/>
        </w:rPr>
        <w:t xml:space="preserve">. </w:t>
      </w:r>
      <w:r w:rsidRPr="00B90600">
        <w:rPr>
          <w:rFonts w:asciiTheme="majorBidi" w:hAnsiTheme="majorBidi" w:cstheme="majorBidi"/>
        </w:rPr>
        <w:t>Variant classification according to ACMG/AMP criteria</w:t>
      </w:r>
    </w:p>
    <w:p w14:paraId="60F63EA2" w14:textId="77777777" w:rsidR="005A6A69" w:rsidRDefault="005A6A69" w:rsidP="002316D6">
      <w:pPr>
        <w:spacing w:line="480" w:lineRule="auto"/>
        <w:rPr>
          <w:rFonts w:asciiTheme="majorBidi" w:hAnsiTheme="majorBidi" w:cstheme="majorBidi"/>
        </w:rPr>
      </w:pPr>
    </w:p>
    <w:p w14:paraId="2BED8A0A" w14:textId="77777777" w:rsidR="005A6A69" w:rsidRDefault="005A6A69" w:rsidP="002316D6">
      <w:pPr>
        <w:spacing w:line="480" w:lineRule="auto"/>
        <w:rPr>
          <w:rFonts w:asciiTheme="majorBidi" w:hAnsiTheme="majorBidi" w:cstheme="majorBidi"/>
        </w:rPr>
      </w:pPr>
    </w:p>
    <w:p w14:paraId="61B270DA" w14:textId="77777777" w:rsidR="005A6A69" w:rsidRDefault="005A6A69" w:rsidP="002316D6">
      <w:pPr>
        <w:spacing w:line="480" w:lineRule="auto"/>
        <w:rPr>
          <w:rFonts w:asciiTheme="majorBidi" w:hAnsiTheme="majorBidi" w:cstheme="majorBidi"/>
        </w:rPr>
      </w:pPr>
    </w:p>
    <w:p w14:paraId="42BFB6A9" w14:textId="77777777" w:rsidR="005A6A69" w:rsidRDefault="005A6A69" w:rsidP="002316D6">
      <w:pPr>
        <w:spacing w:line="480" w:lineRule="auto"/>
        <w:rPr>
          <w:rFonts w:asciiTheme="majorBidi" w:hAnsiTheme="majorBidi" w:cstheme="majorBidi"/>
        </w:rPr>
      </w:pPr>
    </w:p>
    <w:p w14:paraId="5CF96050" w14:textId="77777777" w:rsidR="005A6A69" w:rsidRDefault="005A6A69" w:rsidP="002316D6">
      <w:pPr>
        <w:spacing w:line="480" w:lineRule="auto"/>
        <w:rPr>
          <w:rFonts w:asciiTheme="majorBidi" w:hAnsiTheme="majorBidi" w:cstheme="majorBidi"/>
        </w:rPr>
      </w:pPr>
    </w:p>
    <w:p w14:paraId="635157CA" w14:textId="77777777" w:rsidR="005A6A69" w:rsidRDefault="005A6A69" w:rsidP="002316D6">
      <w:pPr>
        <w:spacing w:line="480" w:lineRule="auto"/>
        <w:rPr>
          <w:rFonts w:asciiTheme="majorBidi" w:hAnsiTheme="majorBidi" w:cstheme="majorBidi"/>
        </w:rPr>
      </w:pPr>
    </w:p>
    <w:p w14:paraId="532C9A76" w14:textId="77777777" w:rsidR="005A6A69" w:rsidRDefault="005A6A69" w:rsidP="002316D6">
      <w:pPr>
        <w:spacing w:line="480" w:lineRule="auto"/>
        <w:rPr>
          <w:rFonts w:asciiTheme="majorBidi" w:hAnsiTheme="majorBidi" w:cstheme="majorBidi"/>
        </w:rPr>
      </w:pPr>
    </w:p>
    <w:p w14:paraId="21B5A5F1" w14:textId="77777777" w:rsidR="005A6A69" w:rsidRDefault="005A6A69" w:rsidP="002316D6">
      <w:pPr>
        <w:spacing w:line="480" w:lineRule="auto"/>
        <w:rPr>
          <w:rFonts w:asciiTheme="majorBidi" w:hAnsiTheme="majorBidi" w:cstheme="majorBidi"/>
        </w:rPr>
      </w:pPr>
    </w:p>
    <w:p w14:paraId="6B1F371B" w14:textId="77777777" w:rsidR="005A6A69" w:rsidRDefault="005A6A69" w:rsidP="002316D6">
      <w:pPr>
        <w:spacing w:line="480" w:lineRule="auto"/>
        <w:rPr>
          <w:rFonts w:asciiTheme="majorBidi" w:hAnsiTheme="majorBidi" w:cstheme="majorBidi"/>
        </w:rPr>
      </w:pPr>
    </w:p>
    <w:p w14:paraId="2532B1B9" w14:textId="77777777" w:rsidR="005A6A69" w:rsidRDefault="005A6A69" w:rsidP="002316D6">
      <w:pPr>
        <w:spacing w:line="480" w:lineRule="auto"/>
        <w:rPr>
          <w:rFonts w:asciiTheme="majorBidi" w:hAnsiTheme="majorBidi" w:cstheme="majorBidi"/>
        </w:rPr>
      </w:pPr>
    </w:p>
    <w:p w14:paraId="2B270B6D" w14:textId="77777777" w:rsidR="005A6A69" w:rsidRDefault="005A6A69" w:rsidP="002316D6">
      <w:pPr>
        <w:spacing w:line="480" w:lineRule="auto"/>
        <w:rPr>
          <w:rFonts w:asciiTheme="majorBidi" w:hAnsiTheme="majorBidi" w:cstheme="majorBidi"/>
        </w:rPr>
      </w:pPr>
    </w:p>
    <w:p w14:paraId="31B504AA" w14:textId="77777777" w:rsidR="005A6A69" w:rsidRDefault="005A6A69" w:rsidP="002316D6">
      <w:pPr>
        <w:spacing w:line="480" w:lineRule="auto"/>
        <w:rPr>
          <w:rFonts w:asciiTheme="majorBidi" w:hAnsiTheme="majorBidi" w:cstheme="majorBidi"/>
        </w:rPr>
      </w:pPr>
    </w:p>
    <w:p w14:paraId="4E9E73F4" w14:textId="77777777" w:rsidR="005A6A69" w:rsidRDefault="005A6A69" w:rsidP="002316D6">
      <w:pPr>
        <w:spacing w:line="480" w:lineRule="auto"/>
        <w:rPr>
          <w:rFonts w:asciiTheme="majorBidi" w:hAnsiTheme="majorBidi" w:cstheme="majorBidi"/>
        </w:rPr>
      </w:pPr>
    </w:p>
    <w:p w14:paraId="5FB879FE" w14:textId="695361FA" w:rsidR="002316D6" w:rsidRPr="00B90600" w:rsidRDefault="002316D6" w:rsidP="005A6A69">
      <w:pPr>
        <w:spacing w:line="240" w:lineRule="auto"/>
        <w:rPr>
          <w:rFonts w:asciiTheme="majorBidi" w:hAnsiTheme="majorBidi" w:cstheme="majorBidi"/>
        </w:rPr>
      </w:pPr>
      <w:r w:rsidRPr="00B90600">
        <w:rPr>
          <w:rFonts w:asciiTheme="majorBidi" w:hAnsiTheme="majorBidi" w:cstheme="majorBidi"/>
        </w:rPr>
        <w:t xml:space="preserve">Summary of the nineteen </w:t>
      </w:r>
      <w:r w:rsidRPr="00B90600">
        <w:rPr>
          <w:rFonts w:asciiTheme="majorBidi" w:hAnsiTheme="majorBidi" w:cstheme="majorBidi"/>
          <w:i/>
          <w:iCs/>
        </w:rPr>
        <w:t>SNAPC4</w:t>
      </w:r>
      <w:r w:rsidRPr="00B90600">
        <w:rPr>
          <w:rFonts w:asciiTheme="majorBidi" w:hAnsiTheme="majorBidi" w:cstheme="majorBidi"/>
        </w:rPr>
        <w:t xml:space="preserve"> variants identified in fifteen affected individuals. For each variant, the genomic position, predicted protein change, zygosity, inheritance, and ACMG/AMP classification are reported. Variant interpretation followed ACMG/AMP and ClinGen guidelines, integrating population frequency (PM2), predicted or proven loss of function (PVS1), segregation or de novo status (PP1, PS2), functional or structural modeling data (PS3_supporting), domain conservation (PM1), and computational evidence (PP3). Truncating, splice-site, and multi-exon deletion variants were classified as pathogenic, whereas missense variants supported by multiple lines of in silico and structural evidence were considered likely pathogenic.</w:t>
      </w:r>
      <w:r w:rsidR="005A6A69">
        <w:rPr>
          <w:rFonts w:asciiTheme="majorBidi" w:hAnsiTheme="majorBidi" w:cstheme="majorBidi"/>
        </w:rPr>
        <w:t xml:space="preserve"> </w:t>
      </w:r>
      <w:r w:rsidRPr="00B90600">
        <w:rPr>
          <w:rFonts w:asciiTheme="majorBidi" w:hAnsiTheme="majorBidi" w:cstheme="majorBidi"/>
        </w:rPr>
        <w:t>Abbreviations:</w:t>
      </w:r>
      <w:r w:rsidR="00884A6E">
        <w:rPr>
          <w:rFonts w:asciiTheme="majorBidi" w:hAnsiTheme="majorBidi" w:cstheme="majorBidi"/>
        </w:rPr>
        <w:t xml:space="preserve"> </w:t>
      </w:r>
      <w:r w:rsidRPr="00B90600">
        <w:rPr>
          <w:rFonts w:asciiTheme="majorBidi" w:hAnsiTheme="majorBidi" w:cstheme="majorBidi"/>
        </w:rPr>
        <w:t xml:space="preserve">Hom, homozygous; CH, compound heterozygous; </w:t>
      </w:r>
      <w:proofErr w:type="spellStart"/>
      <w:r w:rsidRPr="00B90600">
        <w:rPr>
          <w:rFonts w:asciiTheme="majorBidi" w:hAnsiTheme="majorBidi" w:cstheme="majorBidi"/>
        </w:rPr>
        <w:t>LoF</w:t>
      </w:r>
      <w:proofErr w:type="spellEnd"/>
      <w:r w:rsidRPr="00B90600">
        <w:rPr>
          <w:rFonts w:asciiTheme="majorBidi" w:hAnsiTheme="majorBidi" w:cstheme="majorBidi"/>
        </w:rPr>
        <w:t>, loss of function; NMD, nonsense-mediated decay; ΔΔG, change in binding free energy.</w:t>
      </w:r>
    </w:p>
    <w:p w14:paraId="0CEC3360" w14:textId="64EBA8A5" w:rsidR="006B5923" w:rsidRDefault="006B5923" w:rsidP="002316D6">
      <w:pPr>
        <w:spacing w:line="480" w:lineRule="auto"/>
        <w:rPr>
          <w:rFonts w:asciiTheme="majorBidi" w:hAnsiTheme="majorBidi" w:cstheme="majorBidi"/>
        </w:rPr>
      </w:pPr>
    </w:p>
    <w:p w14:paraId="3FB1B8B4" w14:textId="77777777" w:rsidR="00095546" w:rsidRDefault="00095546" w:rsidP="002316D6">
      <w:pPr>
        <w:spacing w:line="480" w:lineRule="auto"/>
        <w:rPr>
          <w:rFonts w:asciiTheme="majorBidi" w:hAnsiTheme="majorBidi" w:cstheme="majorBidi"/>
        </w:rPr>
      </w:pPr>
    </w:p>
    <w:p w14:paraId="72C0AE4D" w14:textId="1750EF0D" w:rsidR="00095546" w:rsidRDefault="00095546" w:rsidP="002316D6">
      <w:pPr>
        <w:spacing w:line="480" w:lineRule="auto"/>
        <w:rPr>
          <w:rFonts w:asciiTheme="majorBidi" w:hAnsiTheme="majorBidi" w:cstheme="majorBidi"/>
        </w:rPr>
      </w:pPr>
    </w:p>
    <w:p w14:paraId="16EF7A66" w14:textId="77777777" w:rsidR="00095546" w:rsidRPr="00B90600" w:rsidRDefault="00095546" w:rsidP="002316D6">
      <w:pPr>
        <w:spacing w:line="480" w:lineRule="auto"/>
        <w:rPr>
          <w:rFonts w:asciiTheme="majorBidi" w:hAnsiTheme="majorBidi" w:cstheme="majorBidi"/>
        </w:rPr>
      </w:pPr>
    </w:p>
    <w:p w14:paraId="60AE2EB3" w14:textId="77777777" w:rsidR="00095546" w:rsidRDefault="005A6A69" w:rsidP="005A6A69">
      <w:pPr>
        <w:tabs>
          <w:tab w:val="left" w:pos="16121"/>
        </w:tabs>
        <w:spacing w:line="480" w:lineRule="auto"/>
        <w:jc w:val="both"/>
        <w:rPr>
          <w:rFonts w:asciiTheme="majorBidi" w:hAnsiTheme="majorBidi" w:cstheme="majorBidi"/>
        </w:rPr>
      </w:pPr>
      <w:r w:rsidRPr="00B90600">
        <w:rPr>
          <w:rFonts w:asciiTheme="majorBidi" w:hAnsiTheme="majorBidi" w:cstheme="majorBidi"/>
          <w:b/>
          <w:bCs/>
        </w:rPr>
        <w:lastRenderedPageBreak/>
        <w:t>Table S2.</w:t>
      </w:r>
      <w:r w:rsidRPr="00B90600">
        <w:rPr>
          <w:rFonts w:asciiTheme="majorBidi" w:hAnsiTheme="majorBidi" w:cstheme="majorBidi"/>
        </w:rPr>
        <w:t xml:space="preserve"> Structural and functional impact predictions for SN</w:t>
      </w:r>
      <w:r w:rsidR="00533ABD">
        <w:rPr>
          <w:rFonts w:asciiTheme="majorBidi" w:hAnsiTheme="majorBidi" w:cstheme="majorBidi"/>
        </w:rPr>
        <w:t>A</w:t>
      </w:r>
      <w:r w:rsidRPr="00B90600">
        <w:rPr>
          <w:rFonts w:asciiTheme="majorBidi" w:hAnsiTheme="majorBidi" w:cstheme="majorBidi"/>
        </w:rPr>
        <w:t>PC</w:t>
      </w:r>
      <w:r w:rsidR="00533ABD">
        <w:rPr>
          <w:rFonts w:asciiTheme="majorBidi" w:hAnsiTheme="majorBidi" w:cstheme="majorBidi"/>
        </w:rPr>
        <w:t>4</w:t>
      </w:r>
      <w:r w:rsidRPr="00B90600">
        <w:rPr>
          <w:rFonts w:asciiTheme="majorBidi" w:hAnsiTheme="majorBidi" w:cstheme="majorBidi"/>
        </w:rPr>
        <w:t xml:space="preserve"> variants. </w:t>
      </w:r>
    </w:p>
    <w:tbl>
      <w:tblPr>
        <w:tblStyle w:val="ListTable6Colorful"/>
        <w:tblpPr w:leftFromText="141" w:rightFromText="141" w:vertAnchor="text" w:horzAnchor="margin" w:tblpY="-141"/>
        <w:tblW w:w="29112" w:type="dxa"/>
        <w:tblLook w:val="04A0" w:firstRow="1" w:lastRow="0" w:firstColumn="1" w:lastColumn="0" w:noHBand="0" w:noVBand="1"/>
      </w:tblPr>
      <w:tblGrid>
        <w:gridCol w:w="3401"/>
        <w:gridCol w:w="5831"/>
        <w:gridCol w:w="4142"/>
        <w:gridCol w:w="6378"/>
        <w:gridCol w:w="9360"/>
      </w:tblGrid>
      <w:tr w:rsidR="00095546" w:rsidRPr="00B90600" w14:paraId="3D7D5B3B" w14:textId="77777777" w:rsidTr="00095546">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3401" w:type="dxa"/>
            <w:noWrap/>
            <w:hideMark/>
          </w:tcPr>
          <w:p w14:paraId="27CDCE81" w14:textId="77777777" w:rsidR="00095546" w:rsidRPr="00B90600" w:rsidRDefault="00095546" w:rsidP="00095546">
            <w:pPr>
              <w:jc w:val="center"/>
              <w:rPr>
                <w:rFonts w:asciiTheme="majorBidi" w:eastAsia="Times New Roman" w:hAnsiTheme="majorBidi" w:cstheme="majorBidi"/>
                <w:b w:val="0"/>
                <w:bCs w:val="0"/>
                <w:kern w:val="0"/>
                <w14:ligatures w14:val="none"/>
              </w:rPr>
            </w:pPr>
            <w:r w:rsidRPr="00B90600">
              <w:rPr>
                <w:rFonts w:asciiTheme="majorBidi" w:eastAsia="Times New Roman" w:hAnsiTheme="majorBidi" w:cstheme="majorBidi"/>
                <w:kern w:val="0"/>
                <w14:ligatures w14:val="none"/>
              </w:rPr>
              <w:t xml:space="preserve">Variant </w:t>
            </w:r>
          </w:p>
        </w:tc>
        <w:tc>
          <w:tcPr>
            <w:tcW w:w="5831" w:type="dxa"/>
            <w:noWrap/>
            <w:hideMark/>
          </w:tcPr>
          <w:p w14:paraId="1D77E349" w14:textId="77777777" w:rsidR="00095546" w:rsidRPr="00B90600" w:rsidRDefault="00095546" w:rsidP="00095546">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14:ligatures w14:val="none"/>
              </w:rPr>
            </w:pPr>
            <w:r w:rsidRPr="00B90600">
              <w:rPr>
                <w:rFonts w:asciiTheme="majorBidi" w:eastAsia="Times New Roman" w:hAnsiTheme="majorBidi" w:cstheme="majorBidi"/>
                <w:kern w:val="0"/>
                <w14:ligatures w14:val="none"/>
              </w:rPr>
              <w:t>ΔΔG (kcal/mol)</w:t>
            </w:r>
          </w:p>
        </w:tc>
        <w:tc>
          <w:tcPr>
            <w:tcW w:w="4142" w:type="dxa"/>
            <w:noWrap/>
            <w:hideMark/>
          </w:tcPr>
          <w:p w14:paraId="1B5738BF" w14:textId="77777777" w:rsidR="00095546" w:rsidRPr="00B90600" w:rsidRDefault="00095546" w:rsidP="00095546">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14:ligatures w14:val="none"/>
              </w:rPr>
            </w:pPr>
            <w:r w:rsidRPr="00B90600">
              <w:rPr>
                <w:rFonts w:asciiTheme="majorBidi" w:eastAsia="Times New Roman" w:hAnsiTheme="majorBidi" w:cstheme="majorBidi"/>
                <w:kern w:val="0"/>
                <w14:ligatures w14:val="none"/>
              </w:rPr>
              <w:t>SIFT score</w:t>
            </w:r>
          </w:p>
        </w:tc>
        <w:tc>
          <w:tcPr>
            <w:tcW w:w="6378" w:type="dxa"/>
            <w:noWrap/>
            <w:hideMark/>
          </w:tcPr>
          <w:p w14:paraId="7C28A6F6" w14:textId="77777777" w:rsidR="00095546" w:rsidRPr="00B90600" w:rsidRDefault="00095546" w:rsidP="00095546">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14:ligatures w14:val="none"/>
              </w:rPr>
            </w:pPr>
            <w:r w:rsidRPr="00B90600">
              <w:rPr>
                <w:rFonts w:asciiTheme="majorBidi" w:eastAsia="Times New Roman" w:hAnsiTheme="majorBidi" w:cstheme="majorBidi"/>
                <w:kern w:val="0"/>
                <w14:ligatures w14:val="none"/>
              </w:rPr>
              <w:t>PolyPhen-2 score</w:t>
            </w:r>
          </w:p>
        </w:tc>
        <w:tc>
          <w:tcPr>
            <w:tcW w:w="9360" w:type="dxa"/>
            <w:noWrap/>
            <w:hideMark/>
          </w:tcPr>
          <w:p w14:paraId="3E9A38AF" w14:textId="77777777" w:rsidR="00095546" w:rsidRPr="00B90600" w:rsidRDefault="00095546" w:rsidP="00095546">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14:ligatures w14:val="none"/>
              </w:rPr>
            </w:pPr>
            <w:r w:rsidRPr="00B90600">
              <w:rPr>
                <w:rFonts w:asciiTheme="majorBidi" w:eastAsia="Times New Roman" w:hAnsiTheme="majorBidi" w:cstheme="majorBidi"/>
                <w:kern w:val="0"/>
                <w14:ligatures w14:val="none"/>
              </w:rPr>
              <w:t>CADD PHRED-scaled score</w:t>
            </w:r>
          </w:p>
        </w:tc>
      </w:tr>
      <w:tr w:rsidR="00095546" w:rsidRPr="00B90600" w14:paraId="00E8843D" w14:textId="77777777" w:rsidTr="00095546">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3401" w:type="dxa"/>
            <w:noWrap/>
            <w:hideMark/>
          </w:tcPr>
          <w:p w14:paraId="0D21AF1E" w14:textId="77777777" w:rsidR="00095546" w:rsidRPr="00B90600" w:rsidRDefault="00095546" w:rsidP="00095546">
            <w:pPr>
              <w:jc w:val="center"/>
              <w:rPr>
                <w:rFonts w:asciiTheme="majorBidi" w:eastAsia="Times New Roman" w:hAnsiTheme="majorBidi" w:cstheme="majorBidi"/>
                <w:color w:val="000000"/>
                <w:kern w:val="0"/>
                <w14:ligatures w14:val="none"/>
              </w:rPr>
            </w:pPr>
            <w:r w:rsidRPr="00B90600">
              <w:rPr>
                <w:rFonts w:asciiTheme="majorBidi" w:eastAsia="Times New Roman" w:hAnsiTheme="majorBidi" w:cstheme="majorBidi"/>
                <w:color w:val="000000"/>
                <w:kern w:val="0"/>
                <w14:ligatures w14:val="none"/>
              </w:rPr>
              <w:t>D164H</w:t>
            </w:r>
          </w:p>
        </w:tc>
        <w:tc>
          <w:tcPr>
            <w:tcW w:w="5831" w:type="dxa"/>
            <w:noWrap/>
            <w:hideMark/>
          </w:tcPr>
          <w:p w14:paraId="6047CCB7" w14:textId="77777777" w:rsidR="00095546" w:rsidRPr="00B90600" w:rsidRDefault="00095546" w:rsidP="0009554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0.113</w:t>
            </w:r>
          </w:p>
        </w:tc>
        <w:tc>
          <w:tcPr>
            <w:tcW w:w="4142" w:type="dxa"/>
            <w:noWrap/>
            <w:hideMark/>
          </w:tcPr>
          <w:p w14:paraId="3D8578E0" w14:textId="77777777" w:rsidR="00095546" w:rsidRPr="00B90600" w:rsidRDefault="00095546" w:rsidP="0009554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0</w:t>
            </w:r>
          </w:p>
        </w:tc>
        <w:tc>
          <w:tcPr>
            <w:tcW w:w="6378" w:type="dxa"/>
            <w:noWrap/>
            <w:hideMark/>
          </w:tcPr>
          <w:p w14:paraId="447AEE89" w14:textId="77777777" w:rsidR="00095546" w:rsidRPr="00B90600" w:rsidRDefault="00095546" w:rsidP="0009554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0.953</w:t>
            </w:r>
          </w:p>
        </w:tc>
        <w:tc>
          <w:tcPr>
            <w:tcW w:w="9360" w:type="dxa"/>
            <w:noWrap/>
            <w:hideMark/>
          </w:tcPr>
          <w:p w14:paraId="3B1DCA59" w14:textId="77777777" w:rsidR="00095546" w:rsidRPr="00B90600" w:rsidRDefault="00095546" w:rsidP="0009554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27</w:t>
            </w:r>
          </w:p>
        </w:tc>
      </w:tr>
      <w:tr w:rsidR="00095546" w:rsidRPr="00B90600" w14:paraId="4C4A013E" w14:textId="77777777" w:rsidTr="00095546">
        <w:trPr>
          <w:trHeight w:val="562"/>
        </w:trPr>
        <w:tc>
          <w:tcPr>
            <w:cnfStyle w:val="001000000000" w:firstRow="0" w:lastRow="0" w:firstColumn="1" w:lastColumn="0" w:oddVBand="0" w:evenVBand="0" w:oddHBand="0" w:evenHBand="0" w:firstRowFirstColumn="0" w:firstRowLastColumn="0" w:lastRowFirstColumn="0" w:lastRowLastColumn="0"/>
            <w:tcW w:w="3401" w:type="dxa"/>
            <w:noWrap/>
          </w:tcPr>
          <w:p w14:paraId="7325CBB5" w14:textId="77777777" w:rsidR="00095546" w:rsidRPr="00B90600" w:rsidRDefault="00095546" w:rsidP="00095546">
            <w:pPr>
              <w:jc w:val="center"/>
              <w:rPr>
                <w:rFonts w:asciiTheme="majorBidi" w:eastAsia="Times New Roman" w:hAnsiTheme="majorBidi" w:cstheme="majorBidi"/>
                <w:color w:val="000000"/>
                <w:kern w:val="0"/>
                <w14:ligatures w14:val="none"/>
              </w:rPr>
            </w:pPr>
            <w:r w:rsidRPr="00B90600">
              <w:rPr>
                <w:rFonts w:asciiTheme="majorBidi" w:eastAsia="Times New Roman" w:hAnsiTheme="majorBidi" w:cstheme="majorBidi"/>
                <w:color w:val="000000"/>
                <w:kern w:val="0"/>
                <w14:ligatures w14:val="none"/>
              </w:rPr>
              <w:t>L305Q</w:t>
            </w:r>
          </w:p>
        </w:tc>
        <w:tc>
          <w:tcPr>
            <w:tcW w:w="5831" w:type="dxa"/>
            <w:noWrap/>
          </w:tcPr>
          <w:p w14:paraId="0C04DDC3" w14:textId="77777777" w:rsidR="00095546" w:rsidRPr="00B90600" w:rsidRDefault="00095546" w:rsidP="0009554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3.2094</w:t>
            </w:r>
          </w:p>
        </w:tc>
        <w:tc>
          <w:tcPr>
            <w:tcW w:w="4142" w:type="dxa"/>
            <w:noWrap/>
          </w:tcPr>
          <w:p w14:paraId="31BC3C5C" w14:textId="77777777" w:rsidR="00095546" w:rsidRPr="00B90600" w:rsidRDefault="00095546" w:rsidP="0009554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0</w:t>
            </w:r>
          </w:p>
        </w:tc>
        <w:tc>
          <w:tcPr>
            <w:tcW w:w="6378" w:type="dxa"/>
            <w:noWrap/>
          </w:tcPr>
          <w:p w14:paraId="1D6469F2" w14:textId="77777777" w:rsidR="00095546" w:rsidRPr="00B90600" w:rsidRDefault="00095546" w:rsidP="0009554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1</w:t>
            </w:r>
          </w:p>
        </w:tc>
        <w:tc>
          <w:tcPr>
            <w:tcW w:w="9360" w:type="dxa"/>
            <w:noWrap/>
          </w:tcPr>
          <w:p w14:paraId="30411832" w14:textId="77777777" w:rsidR="00095546" w:rsidRPr="00B90600" w:rsidRDefault="00095546" w:rsidP="0009554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24.7</w:t>
            </w:r>
          </w:p>
        </w:tc>
      </w:tr>
      <w:tr w:rsidR="00095546" w:rsidRPr="00B90600" w14:paraId="319C89EB" w14:textId="77777777" w:rsidTr="00095546">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3401" w:type="dxa"/>
            <w:noWrap/>
            <w:hideMark/>
          </w:tcPr>
          <w:p w14:paraId="4E1E8183" w14:textId="77777777" w:rsidR="00095546" w:rsidRPr="00B90600" w:rsidRDefault="00095546" w:rsidP="00095546">
            <w:pPr>
              <w:jc w:val="center"/>
              <w:rPr>
                <w:rFonts w:asciiTheme="majorBidi" w:eastAsia="Times New Roman" w:hAnsiTheme="majorBidi" w:cstheme="majorBidi"/>
                <w:color w:val="000000"/>
                <w:kern w:val="0"/>
                <w14:ligatures w14:val="none"/>
              </w:rPr>
            </w:pPr>
            <w:r w:rsidRPr="00B90600">
              <w:rPr>
                <w:rFonts w:asciiTheme="majorBidi" w:eastAsia="Times New Roman" w:hAnsiTheme="majorBidi" w:cstheme="majorBidi"/>
                <w:color w:val="000000"/>
                <w:kern w:val="0"/>
                <w14:ligatures w14:val="none"/>
              </w:rPr>
              <w:t>T358M</w:t>
            </w:r>
          </w:p>
        </w:tc>
        <w:tc>
          <w:tcPr>
            <w:tcW w:w="5831" w:type="dxa"/>
            <w:noWrap/>
            <w:hideMark/>
          </w:tcPr>
          <w:p w14:paraId="035B5E34" w14:textId="77777777" w:rsidR="00095546" w:rsidRPr="00B90600" w:rsidRDefault="00095546" w:rsidP="0009554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-0.1071</w:t>
            </w:r>
          </w:p>
        </w:tc>
        <w:tc>
          <w:tcPr>
            <w:tcW w:w="4142" w:type="dxa"/>
            <w:noWrap/>
            <w:hideMark/>
          </w:tcPr>
          <w:p w14:paraId="63399BAC" w14:textId="77777777" w:rsidR="00095546" w:rsidRPr="00B90600" w:rsidRDefault="00095546" w:rsidP="0009554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0</w:t>
            </w:r>
          </w:p>
        </w:tc>
        <w:tc>
          <w:tcPr>
            <w:tcW w:w="6378" w:type="dxa"/>
            <w:noWrap/>
            <w:hideMark/>
          </w:tcPr>
          <w:p w14:paraId="34160AD3" w14:textId="77777777" w:rsidR="00095546" w:rsidRPr="00B90600" w:rsidRDefault="00095546" w:rsidP="0009554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0.975</w:t>
            </w:r>
          </w:p>
        </w:tc>
        <w:tc>
          <w:tcPr>
            <w:tcW w:w="9360" w:type="dxa"/>
            <w:noWrap/>
            <w:hideMark/>
          </w:tcPr>
          <w:p w14:paraId="4CAA055C" w14:textId="77777777" w:rsidR="00095546" w:rsidRPr="00B90600" w:rsidRDefault="00095546" w:rsidP="0009554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24</w:t>
            </w:r>
          </w:p>
        </w:tc>
      </w:tr>
      <w:tr w:rsidR="00095546" w:rsidRPr="00B90600" w14:paraId="5FCCBF6D" w14:textId="77777777" w:rsidTr="00095546">
        <w:trPr>
          <w:trHeight w:val="562"/>
        </w:trPr>
        <w:tc>
          <w:tcPr>
            <w:cnfStyle w:val="001000000000" w:firstRow="0" w:lastRow="0" w:firstColumn="1" w:lastColumn="0" w:oddVBand="0" w:evenVBand="0" w:oddHBand="0" w:evenHBand="0" w:firstRowFirstColumn="0" w:firstRowLastColumn="0" w:lastRowFirstColumn="0" w:lastRowLastColumn="0"/>
            <w:tcW w:w="3401" w:type="dxa"/>
            <w:noWrap/>
          </w:tcPr>
          <w:p w14:paraId="5D63BAA3" w14:textId="77777777" w:rsidR="00095546" w:rsidRPr="00B90600" w:rsidRDefault="00095546" w:rsidP="00095546">
            <w:pPr>
              <w:jc w:val="center"/>
              <w:rPr>
                <w:rFonts w:asciiTheme="majorBidi" w:eastAsia="Times New Roman" w:hAnsiTheme="majorBidi" w:cstheme="majorBidi"/>
                <w:color w:val="000000"/>
                <w:kern w:val="0"/>
                <w14:ligatures w14:val="none"/>
              </w:rPr>
            </w:pPr>
            <w:bookmarkStart w:id="0" w:name="_Hlk211356418"/>
            <w:r w:rsidRPr="00B90600">
              <w:rPr>
                <w:rFonts w:asciiTheme="majorBidi" w:eastAsia="Times New Roman" w:hAnsiTheme="majorBidi" w:cstheme="majorBidi"/>
                <w:color w:val="000000"/>
                <w:kern w:val="0"/>
                <w14:ligatures w14:val="none"/>
              </w:rPr>
              <w:t>A415V</w:t>
            </w:r>
            <w:bookmarkEnd w:id="0"/>
          </w:p>
        </w:tc>
        <w:tc>
          <w:tcPr>
            <w:tcW w:w="5831" w:type="dxa"/>
            <w:noWrap/>
          </w:tcPr>
          <w:p w14:paraId="55FBD6E1" w14:textId="77777777" w:rsidR="00095546" w:rsidRPr="00B90600" w:rsidRDefault="00095546" w:rsidP="0009554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0.9475</w:t>
            </w:r>
          </w:p>
        </w:tc>
        <w:tc>
          <w:tcPr>
            <w:tcW w:w="4142" w:type="dxa"/>
            <w:noWrap/>
          </w:tcPr>
          <w:p w14:paraId="396F6382" w14:textId="77777777" w:rsidR="00095546" w:rsidRPr="00B90600" w:rsidRDefault="00095546" w:rsidP="0009554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0</w:t>
            </w:r>
          </w:p>
        </w:tc>
        <w:tc>
          <w:tcPr>
            <w:tcW w:w="6378" w:type="dxa"/>
            <w:noWrap/>
          </w:tcPr>
          <w:p w14:paraId="0149500A" w14:textId="77777777" w:rsidR="00095546" w:rsidRPr="00B90600" w:rsidRDefault="00095546" w:rsidP="0009554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1</w:t>
            </w:r>
          </w:p>
        </w:tc>
        <w:tc>
          <w:tcPr>
            <w:tcW w:w="9360" w:type="dxa"/>
            <w:noWrap/>
          </w:tcPr>
          <w:p w14:paraId="749052FE" w14:textId="77777777" w:rsidR="00095546" w:rsidRPr="00B90600" w:rsidRDefault="00095546" w:rsidP="0009554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28.9</w:t>
            </w:r>
          </w:p>
        </w:tc>
      </w:tr>
      <w:tr w:rsidR="00095546" w:rsidRPr="00B90600" w14:paraId="2EFAC5FE" w14:textId="77777777" w:rsidTr="00095546">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3401" w:type="dxa"/>
            <w:noWrap/>
            <w:hideMark/>
          </w:tcPr>
          <w:p w14:paraId="4CD8A638" w14:textId="77777777" w:rsidR="00095546" w:rsidRPr="00B90600" w:rsidRDefault="00095546" w:rsidP="00095546">
            <w:pPr>
              <w:jc w:val="center"/>
              <w:rPr>
                <w:rFonts w:asciiTheme="majorBidi" w:eastAsia="Times New Roman" w:hAnsiTheme="majorBidi" w:cstheme="majorBidi"/>
                <w:color w:val="000000"/>
                <w:kern w:val="0"/>
                <w14:ligatures w14:val="none"/>
              </w:rPr>
            </w:pPr>
            <w:r w:rsidRPr="00B90600">
              <w:rPr>
                <w:rFonts w:asciiTheme="majorBidi" w:eastAsia="Times New Roman" w:hAnsiTheme="majorBidi" w:cstheme="majorBidi"/>
                <w:color w:val="000000"/>
                <w:kern w:val="0"/>
                <w14:ligatures w14:val="none"/>
              </w:rPr>
              <w:t>D436N</w:t>
            </w:r>
          </w:p>
        </w:tc>
        <w:tc>
          <w:tcPr>
            <w:tcW w:w="5831" w:type="dxa"/>
            <w:noWrap/>
            <w:hideMark/>
          </w:tcPr>
          <w:p w14:paraId="2E6D8238" w14:textId="77777777" w:rsidR="00095546" w:rsidRPr="00B90600" w:rsidRDefault="00095546" w:rsidP="0009554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0.1467</w:t>
            </w:r>
          </w:p>
        </w:tc>
        <w:tc>
          <w:tcPr>
            <w:tcW w:w="4142" w:type="dxa"/>
            <w:noWrap/>
            <w:hideMark/>
          </w:tcPr>
          <w:p w14:paraId="3A2969F2" w14:textId="77777777" w:rsidR="00095546" w:rsidRPr="00B90600" w:rsidRDefault="00095546" w:rsidP="0009554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0</w:t>
            </w:r>
          </w:p>
        </w:tc>
        <w:tc>
          <w:tcPr>
            <w:tcW w:w="6378" w:type="dxa"/>
            <w:noWrap/>
            <w:hideMark/>
          </w:tcPr>
          <w:p w14:paraId="61D24D51" w14:textId="77777777" w:rsidR="00095546" w:rsidRPr="00B90600" w:rsidRDefault="00095546" w:rsidP="0009554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1</w:t>
            </w:r>
          </w:p>
        </w:tc>
        <w:tc>
          <w:tcPr>
            <w:tcW w:w="9360" w:type="dxa"/>
            <w:noWrap/>
            <w:hideMark/>
          </w:tcPr>
          <w:p w14:paraId="5BED058C" w14:textId="77777777" w:rsidR="00095546" w:rsidRPr="00B90600" w:rsidRDefault="00095546" w:rsidP="0009554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33</w:t>
            </w:r>
          </w:p>
        </w:tc>
      </w:tr>
      <w:tr w:rsidR="00095546" w:rsidRPr="00B90600" w14:paraId="5ADD294C" w14:textId="77777777" w:rsidTr="00095546">
        <w:trPr>
          <w:trHeight w:val="562"/>
        </w:trPr>
        <w:tc>
          <w:tcPr>
            <w:cnfStyle w:val="001000000000" w:firstRow="0" w:lastRow="0" w:firstColumn="1" w:lastColumn="0" w:oddVBand="0" w:evenVBand="0" w:oddHBand="0" w:evenHBand="0" w:firstRowFirstColumn="0" w:firstRowLastColumn="0" w:lastRowFirstColumn="0" w:lastRowLastColumn="0"/>
            <w:tcW w:w="3401" w:type="dxa"/>
            <w:noWrap/>
            <w:hideMark/>
          </w:tcPr>
          <w:p w14:paraId="658A7DF5" w14:textId="77777777" w:rsidR="00095546" w:rsidRPr="00B90600" w:rsidRDefault="00095546" w:rsidP="00095546">
            <w:pPr>
              <w:jc w:val="center"/>
              <w:rPr>
                <w:rFonts w:asciiTheme="majorBidi" w:eastAsia="Times New Roman" w:hAnsiTheme="majorBidi" w:cstheme="majorBidi"/>
                <w:color w:val="000000"/>
                <w:kern w:val="0"/>
                <w14:ligatures w14:val="none"/>
              </w:rPr>
            </w:pPr>
            <w:r w:rsidRPr="00B90600">
              <w:rPr>
                <w:rFonts w:asciiTheme="majorBidi" w:eastAsia="Times New Roman" w:hAnsiTheme="majorBidi" w:cstheme="majorBidi"/>
                <w:color w:val="000000"/>
                <w:kern w:val="0"/>
                <w14:ligatures w14:val="none"/>
              </w:rPr>
              <w:t>I479T</w:t>
            </w:r>
          </w:p>
        </w:tc>
        <w:tc>
          <w:tcPr>
            <w:tcW w:w="5831" w:type="dxa"/>
            <w:noWrap/>
            <w:hideMark/>
          </w:tcPr>
          <w:p w14:paraId="0D0F144C" w14:textId="77777777" w:rsidR="00095546" w:rsidRPr="00B90600" w:rsidRDefault="00095546" w:rsidP="0009554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2.3531</w:t>
            </w:r>
          </w:p>
        </w:tc>
        <w:tc>
          <w:tcPr>
            <w:tcW w:w="4142" w:type="dxa"/>
            <w:noWrap/>
            <w:hideMark/>
          </w:tcPr>
          <w:p w14:paraId="168A577E" w14:textId="77777777" w:rsidR="00095546" w:rsidRPr="00B90600" w:rsidRDefault="00095546" w:rsidP="0009554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0</w:t>
            </w:r>
          </w:p>
        </w:tc>
        <w:tc>
          <w:tcPr>
            <w:tcW w:w="6378" w:type="dxa"/>
            <w:noWrap/>
            <w:hideMark/>
          </w:tcPr>
          <w:p w14:paraId="544B32DF" w14:textId="77777777" w:rsidR="00095546" w:rsidRPr="00B90600" w:rsidRDefault="00095546" w:rsidP="0009554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0.913</w:t>
            </w:r>
          </w:p>
        </w:tc>
        <w:tc>
          <w:tcPr>
            <w:tcW w:w="9360" w:type="dxa"/>
            <w:noWrap/>
            <w:hideMark/>
          </w:tcPr>
          <w:p w14:paraId="63EB7465" w14:textId="77777777" w:rsidR="00095546" w:rsidRPr="00B90600" w:rsidRDefault="00095546" w:rsidP="0009554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27.4</w:t>
            </w:r>
          </w:p>
        </w:tc>
      </w:tr>
      <w:tr w:rsidR="00095546" w:rsidRPr="00B90600" w14:paraId="43962801" w14:textId="77777777" w:rsidTr="00095546">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3401" w:type="dxa"/>
            <w:noWrap/>
            <w:hideMark/>
          </w:tcPr>
          <w:p w14:paraId="718623F2" w14:textId="77777777" w:rsidR="00095546" w:rsidRPr="00B90600" w:rsidRDefault="00095546" w:rsidP="00095546">
            <w:pPr>
              <w:jc w:val="center"/>
              <w:rPr>
                <w:rFonts w:asciiTheme="majorBidi" w:eastAsia="Times New Roman" w:hAnsiTheme="majorBidi" w:cstheme="majorBidi"/>
                <w:color w:val="000000"/>
                <w:kern w:val="0"/>
                <w14:ligatures w14:val="none"/>
              </w:rPr>
            </w:pPr>
            <w:r w:rsidRPr="00B90600">
              <w:rPr>
                <w:rFonts w:asciiTheme="majorBidi" w:eastAsia="Times New Roman" w:hAnsiTheme="majorBidi" w:cstheme="majorBidi"/>
                <w:color w:val="000000"/>
                <w:kern w:val="0"/>
                <w14:ligatures w14:val="none"/>
              </w:rPr>
              <w:t>G804S</w:t>
            </w:r>
          </w:p>
        </w:tc>
        <w:tc>
          <w:tcPr>
            <w:tcW w:w="5831" w:type="dxa"/>
            <w:noWrap/>
            <w:hideMark/>
          </w:tcPr>
          <w:p w14:paraId="421DE4DD" w14:textId="77777777" w:rsidR="00095546" w:rsidRPr="00B90600" w:rsidRDefault="00095546" w:rsidP="0009554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0.051</w:t>
            </w:r>
          </w:p>
        </w:tc>
        <w:tc>
          <w:tcPr>
            <w:tcW w:w="4142" w:type="dxa"/>
            <w:noWrap/>
            <w:hideMark/>
          </w:tcPr>
          <w:p w14:paraId="0FE1C622" w14:textId="77777777" w:rsidR="00095546" w:rsidRPr="00B90600" w:rsidRDefault="00095546" w:rsidP="0009554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0</w:t>
            </w:r>
          </w:p>
        </w:tc>
        <w:tc>
          <w:tcPr>
            <w:tcW w:w="6378" w:type="dxa"/>
            <w:noWrap/>
            <w:hideMark/>
          </w:tcPr>
          <w:p w14:paraId="637AC3A4" w14:textId="77777777" w:rsidR="00095546" w:rsidRPr="00B90600" w:rsidRDefault="00095546" w:rsidP="0009554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0.999</w:t>
            </w:r>
          </w:p>
        </w:tc>
        <w:tc>
          <w:tcPr>
            <w:tcW w:w="9360" w:type="dxa"/>
            <w:noWrap/>
            <w:hideMark/>
          </w:tcPr>
          <w:p w14:paraId="77B05ABE" w14:textId="77777777" w:rsidR="00095546" w:rsidRPr="00B90600" w:rsidRDefault="00095546" w:rsidP="0009554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25.7</w:t>
            </w:r>
          </w:p>
        </w:tc>
      </w:tr>
      <w:tr w:rsidR="00095546" w:rsidRPr="00B90600" w14:paraId="4FDABAAC" w14:textId="77777777" w:rsidTr="00095546">
        <w:trPr>
          <w:trHeight w:val="562"/>
        </w:trPr>
        <w:tc>
          <w:tcPr>
            <w:cnfStyle w:val="001000000000" w:firstRow="0" w:lastRow="0" w:firstColumn="1" w:lastColumn="0" w:oddVBand="0" w:evenVBand="0" w:oddHBand="0" w:evenHBand="0" w:firstRowFirstColumn="0" w:firstRowLastColumn="0" w:lastRowFirstColumn="0" w:lastRowLastColumn="0"/>
            <w:tcW w:w="3401" w:type="dxa"/>
            <w:noWrap/>
            <w:hideMark/>
          </w:tcPr>
          <w:p w14:paraId="7289874D" w14:textId="77777777" w:rsidR="00095546" w:rsidRPr="00B90600" w:rsidRDefault="00095546" w:rsidP="00095546">
            <w:pPr>
              <w:jc w:val="center"/>
              <w:rPr>
                <w:rFonts w:asciiTheme="majorBidi" w:eastAsia="Times New Roman" w:hAnsiTheme="majorBidi" w:cstheme="majorBidi"/>
                <w:color w:val="000000"/>
                <w:kern w:val="0"/>
                <w14:ligatures w14:val="none"/>
              </w:rPr>
            </w:pPr>
            <w:r w:rsidRPr="00B90600">
              <w:rPr>
                <w:rFonts w:asciiTheme="majorBidi" w:eastAsia="Times New Roman" w:hAnsiTheme="majorBidi" w:cstheme="majorBidi"/>
                <w:color w:val="000000"/>
                <w:kern w:val="0"/>
                <w14:ligatures w14:val="none"/>
              </w:rPr>
              <w:t>S924F</w:t>
            </w:r>
          </w:p>
        </w:tc>
        <w:tc>
          <w:tcPr>
            <w:tcW w:w="5831" w:type="dxa"/>
            <w:noWrap/>
            <w:hideMark/>
          </w:tcPr>
          <w:p w14:paraId="2118861E" w14:textId="77777777" w:rsidR="00095546" w:rsidRPr="00B90600" w:rsidRDefault="00095546" w:rsidP="0009554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0.287</w:t>
            </w:r>
          </w:p>
        </w:tc>
        <w:tc>
          <w:tcPr>
            <w:tcW w:w="4142" w:type="dxa"/>
            <w:noWrap/>
            <w:hideMark/>
          </w:tcPr>
          <w:p w14:paraId="44DDEB2A" w14:textId="77777777" w:rsidR="00095546" w:rsidRPr="00B90600" w:rsidRDefault="00095546" w:rsidP="0009554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0</w:t>
            </w:r>
          </w:p>
        </w:tc>
        <w:tc>
          <w:tcPr>
            <w:tcW w:w="6378" w:type="dxa"/>
            <w:noWrap/>
            <w:hideMark/>
          </w:tcPr>
          <w:p w14:paraId="109381ED" w14:textId="77777777" w:rsidR="00095546" w:rsidRPr="00B90600" w:rsidRDefault="00095546" w:rsidP="0009554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0.98</w:t>
            </w:r>
          </w:p>
        </w:tc>
        <w:tc>
          <w:tcPr>
            <w:tcW w:w="9360" w:type="dxa"/>
            <w:noWrap/>
            <w:hideMark/>
          </w:tcPr>
          <w:p w14:paraId="05EC2882" w14:textId="77777777" w:rsidR="00095546" w:rsidRPr="00B90600" w:rsidRDefault="00095546" w:rsidP="0009554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23.1</w:t>
            </w:r>
          </w:p>
        </w:tc>
      </w:tr>
      <w:tr w:rsidR="00095546" w:rsidRPr="00B90600" w14:paraId="0370E804" w14:textId="77777777" w:rsidTr="00095546">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3401" w:type="dxa"/>
            <w:noWrap/>
          </w:tcPr>
          <w:p w14:paraId="15384236" w14:textId="77777777" w:rsidR="00095546" w:rsidRPr="00B90600" w:rsidRDefault="00095546" w:rsidP="00095546">
            <w:pPr>
              <w:jc w:val="center"/>
              <w:rPr>
                <w:rFonts w:asciiTheme="majorBidi" w:eastAsia="Times New Roman" w:hAnsiTheme="majorBidi" w:cstheme="majorBidi"/>
                <w:color w:val="000000"/>
                <w:kern w:val="0"/>
                <w14:ligatures w14:val="none"/>
              </w:rPr>
            </w:pPr>
            <w:r w:rsidRPr="00B90600">
              <w:rPr>
                <w:rFonts w:asciiTheme="majorBidi" w:eastAsia="Times New Roman" w:hAnsiTheme="majorBidi" w:cstheme="majorBidi"/>
                <w:color w:val="000000"/>
                <w:kern w:val="0"/>
                <w14:ligatures w14:val="none"/>
              </w:rPr>
              <w:t>P1375L</w:t>
            </w:r>
          </w:p>
        </w:tc>
        <w:tc>
          <w:tcPr>
            <w:tcW w:w="5831" w:type="dxa"/>
            <w:noWrap/>
          </w:tcPr>
          <w:p w14:paraId="2A50D069" w14:textId="77777777" w:rsidR="00095546" w:rsidRPr="00B90600" w:rsidRDefault="00095546" w:rsidP="0009554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0.2912</w:t>
            </w:r>
          </w:p>
        </w:tc>
        <w:tc>
          <w:tcPr>
            <w:tcW w:w="4142" w:type="dxa"/>
            <w:noWrap/>
          </w:tcPr>
          <w:p w14:paraId="795807DC" w14:textId="77777777" w:rsidR="00095546" w:rsidRPr="00B90600" w:rsidRDefault="00095546" w:rsidP="0009554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0</w:t>
            </w:r>
          </w:p>
        </w:tc>
        <w:tc>
          <w:tcPr>
            <w:tcW w:w="6378" w:type="dxa"/>
            <w:noWrap/>
          </w:tcPr>
          <w:p w14:paraId="41327A35" w14:textId="77777777" w:rsidR="00095546" w:rsidRPr="00B90600" w:rsidRDefault="00095546" w:rsidP="0009554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0.995</w:t>
            </w:r>
          </w:p>
        </w:tc>
        <w:tc>
          <w:tcPr>
            <w:tcW w:w="9360" w:type="dxa"/>
            <w:noWrap/>
          </w:tcPr>
          <w:p w14:paraId="488723B0" w14:textId="77777777" w:rsidR="00095546" w:rsidRPr="00B90600" w:rsidRDefault="00095546" w:rsidP="0009554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25.3</w:t>
            </w:r>
          </w:p>
        </w:tc>
      </w:tr>
      <w:tr w:rsidR="00095546" w:rsidRPr="00B90600" w14:paraId="306369AF" w14:textId="77777777" w:rsidTr="00095546">
        <w:trPr>
          <w:trHeight w:val="562"/>
        </w:trPr>
        <w:tc>
          <w:tcPr>
            <w:cnfStyle w:val="001000000000" w:firstRow="0" w:lastRow="0" w:firstColumn="1" w:lastColumn="0" w:oddVBand="0" w:evenVBand="0" w:oddHBand="0" w:evenHBand="0" w:firstRowFirstColumn="0" w:firstRowLastColumn="0" w:lastRowFirstColumn="0" w:lastRowLastColumn="0"/>
            <w:tcW w:w="3401" w:type="dxa"/>
            <w:noWrap/>
            <w:hideMark/>
          </w:tcPr>
          <w:p w14:paraId="1D818319" w14:textId="77777777" w:rsidR="00095546" w:rsidRPr="00B90600" w:rsidRDefault="00095546" w:rsidP="00095546">
            <w:pPr>
              <w:jc w:val="center"/>
              <w:rPr>
                <w:rFonts w:asciiTheme="majorBidi" w:eastAsia="Times New Roman" w:hAnsiTheme="majorBidi" w:cstheme="majorBidi"/>
                <w:color w:val="000000"/>
                <w:kern w:val="0"/>
                <w14:ligatures w14:val="none"/>
              </w:rPr>
            </w:pPr>
            <w:r w:rsidRPr="00B90600">
              <w:rPr>
                <w:rFonts w:asciiTheme="majorBidi" w:eastAsia="Times New Roman" w:hAnsiTheme="majorBidi" w:cstheme="majorBidi"/>
                <w:color w:val="000000"/>
                <w:kern w:val="0"/>
                <w14:ligatures w14:val="none"/>
              </w:rPr>
              <w:t>Q1428E</w:t>
            </w:r>
          </w:p>
        </w:tc>
        <w:tc>
          <w:tcPr>
            <w:tcW w:w="5831" w:type="dxa"/>
            <w:noWrap/>
            <w:hideMark/>
          </w:tcPr>
          <w:p w14:paraId="0C8F1EEA" w14:textId="77777777" w:rsidR="00095546" w:rsidRPr="00B90600" w:rsidRDefault="00095546" w:rsidP="0009554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-0.1765</w:t>
            </w:r>
          </w:p>
        </w:tc>
        <w:tc>
          <w:tcPr>
            <w:tcW w:w="4142" w:type="dxa"/>
            <w:noWrap/>
            <w:hideMark/>
          </w:tcPr>
          <w:p w14:paraId="69A1BFC3" w14:textId="77777777" w:rsidR="00095546" w:rsidRPr="00B90600" w:rsidRDefault="00095546" w:rsidP="0009554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0.1</w:t>
            </w:r>
          </w:p>
        </w:tc>
        <w:tc>
          <w:tcPr>
            <w:tcW w:w="6378" w:type="dxa"/>
            <w:noWrap/>
            <w:hideMark/>
          </w:tcPr>
          <w:p w14:paraId="7D4683FD" w14:textId="77777777" w:rsidR="00095546" w:rsidRPr="00B90600" w:rsidRDefault="00095546" w:rsidP="0009554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0.009</w:t>
            </w:r>
          </w:p>
        </w:tc>
        <w:tc>
          <w:tcPr>
            <w:tcW w:w="9360" w:type="dxa"/>
            <w:noWrap/>
            <w:hideMark/>
          </w:tcPr>
          <w:p w14:paraId="15426D2F" w14:textId="77777777" w:rsidR="00095546" w:rsidRPr="00B90600" w:rsidRDefault="00095546" w:rsidP="0009554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6.071</w:t>
            </w:r>
          </w:p>
        </w:tc>
      </w:tr>
      <w:tr w:rsidR="00095546" w:rsidRPr="00B90600" w14:paraId="401A847D" w14:textId="77777777" w:rsidTr="00095546">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3401" w:type="dxa"/>
            <w:noWrap/>
            <w:hideMark/>
          </w:tcPr>
          <w:p w14:paraId="70DA2E98" w14:textId="77777777" w:rsidR="00095546" w:rsidRPr="00B90600" w:rsidRDefault="00095546" w:rsidP="00095546">
            <w:pPr>
              <w:jc w:val="center"/>
              <w:rPr>
                <w:rFonts w:asciiTheme="majorBidi" w:eastAsia="Times New Roman" w:hAnsiTheme="majorBidi" w:cstheme="majorBidi"/>
                <w:color w:val="000000"/>
                <w:kern w:val="0"/>
                <w14:ligatures w14:val="none"/>
              </w:rPr>
            </w:pPr>
            <w:r w:rsidRPr="00B90600">
              <w:rPr>
                <w:rFonts w:asciiTheme="majorBidi" w:eastAsia="Times New Roman" w:hAnsiTheme="majorBidi" w:cstheme="majorBidi"/>
                <w:color w:val="000000"/>
                <w:kern w:val="0"/>
                <w14:ligatures w14:val="none"/>
              </w:rPr>
              <w:t>L1454H</w:t>
            </w:r>
          </w:p>
        </w:tc>
        <w:tc>
          <w:tcPr>
            <w:tcW w:w="5831" w:type="dxa"/>
            <w:noWrap/>
            <w:hideMark/>
          </w:tcPr>
          <w:p w14:paraId="7D3A7D1E" w14:textId="77777777" w:rsidR="00095546" w:rsidRPr="00B90600" w:rsidRDefault="00095546" w:rsidP="0009554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0.1221</w:t>
            </w:r>
          </w:p>
        </w:tc>
        <w:tc>
          <w:tcPr>
            <w:tcW w:w="4142" w:type="dxa"/>
            <w:noWrap/>
            <w:hideMark/>
          </w:tcPr>
          <w:p w14:paraId="47DEEA80" w14:textId="77777777" w:rsidR="00095546" w:rsidRPr="00B90600" w:rsidRDefault="00095546" w:rsidP="0009554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0</w:t>
            </w:r>
          </w:p>
        </w:tc>
        <w:tc>
          <w:tcPr>
            <w:tcW w:w="6378" w:type="dxa"/>
            <w:noWrap/>
            <w:hideMark/>
          </w:tcPr>
          <w:p w14:paraId="4DD6FB0E" w14:textId="77777777" w:rsidR="00095546" w:rsidRPr="00B90600" w:rsidRDefault="00095546" w:rsidP="0009554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0 (unknown)</w:t>
            </w:r>
          </w:p>
        </w:tc>
        <w:tc>
          <w:tcPr>
            <w:tcW w:w="9360" w:type="dxa"/>
            <w:noWrap/>
            <w:hideMark/>
          </w:tcPr>
          <w:p w14:paraId="4B6A17A9" w14:textId="77777777" w:rsidR="00095546" w:rsidRPr="00B90600" w:rsidRDefault="00095546" w:rsidP="0009554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B90600">
              <w:rPr>
                <w:rFonts w:asciiTheme="majorBidi" w:eastAsia="Times New Roman" w:hAnsiTheme="majorBidi" w:cstheme="majorBidi"/>
                <w:kern w:val="0"/>
                <w14:ligatures w14:val="none"/>
              </w:rPr>
              <w:t>18.21</w:t>
            </w:r>
          </w:p>
        </w:tc>
      </w:tr>
    </w:tbl>
    <w:p w14:paraId="74C8FB2A" w14:textId="77777777" w:rsidR="00095546" w:rsidRDefault="00095546" w:rsidP="005A6A69">
      <w:pPr>
        <w:tabs>
          <w:tab w:val="left" w:pos="16121"/>
        </w:tabs>
        <w:spacing w:line="480" w:lineRule="auto"/>
        <w:jc w:val="both"/>
        <w:rPr>
          <w:rFonts w:asciiTheme="majorBidi" w:hAnsiTheme="majorBidi" w:cstheme="majorBidi"/>
        </w:rPr>
      </w:pPr>
    </w:p>
    <w:p w14:paraId="60D6FBC5" w14:textId="77777777" w:rsidR="00EC0ACF" w:rsidRDefault="00EC0ACF" w:rsidP="005A6A69">
      <w:pPr>
        <w:tabs>
          <w:tab w:val="left" w:pos="16121"/>
        </w:tabs>
        <w:spacing w:line="480" w:lineRule="auto"/>
        <w:jc w:val="both"/>
        <w:rPr>
          <w:rFonts w:asciiTheme="majorBidi" w:hAnsiTheme="majorBidi" w:cstheme="majorBidi"/>
        </w:rPr>
      </w:pPr>
    </w:p>
    <w:p w14:paraId="4AE5843C" w14:textId="77777777" w:rsidR="00EC0ACF" w:rsidRDefault="00EC0ACF" w:rsidP="005A6A69">
      <w:pPr>
        <w:tabs>
          <w:tab w:val="left" w:pos="16121"/>
        </w:tabs>
        <w:spacing w:line="480" w:lineRule="auto"/>
        <w:jc w:val="both"/>
        <w:rPr>
          <w:rFonts w:asciiTheme="majorBidi" w:hAnsiTheme="majorBidi" w:cstheme="majorBidi"/>
        </w:rPr>
      </w:pPr>
    </w:p>
    <w:p w14:paraId="6CE35B2B" w14:textId="77777777" w:rsidR="00EC0ACF" w:rsidRDefault="00EC0ACF" w:rsidP="005A6A69">
      <w:pPr>
        <w:tabs>
          <w:tab w:val="left" w:pos="16121"/>
        </w:tabs>
        <w:spacing w:line="480" w:lineRule="auto"/>
        <w:jc w:val="both"/>
        <w:rPr>
          <w:rFonts w:asciiTheme="majorBidi" w:hAnsiTheme="majorBidi" w:cstheme="majorBidi"/>
        </w:rPr>
      </w:pPr>
    </w:p>
    <w:p w14:paraId="102A2232" w14:textId="77777777" w:rsidR="00EC0ACF" w:rsidRDefault="00EC0ACF" w:rsidP="005A6A69">
      <w:pPr>
        <w:tabs>
          <w:tab w:val="left" w:pos="16121"/>
        </w:tabs>
        <w:spacing w:line="480" w:lineRule="auto"/>
        <w:jc w:val="both"/>
        <w:rPr>
          <w:rFonts w:asciiTheme="majorBidi" w:hAnsiTheme="majorBidi" w:cstheme="majorBidi"/>
        </w:rPr>
      </w:pPr>
    </w:p>
    <w:p w14:paraId="1B547FBA" w14:textId="77777777" w:rsidR="00EC0ACF" w:rsidRDefault="00EC0ACF" w:rsidP="005A6A69">
      <w:pPr>
        <w:tabs>
          <w:tab w:val="left" w:pos="16121"/>
        </w:tabs>
        <w:spacing w:line="480" w:lineRule="auto"/>
        <w:jc w:val="both"/>
        <w:rPr>
          <w:rFonts w:asciiTheme="majorBidi" w:hAnsiTheme="majorBidi" w:cstheme="majorBidi"/>
        </w:rPr>
      </w:pPr>
    </w:p>
    <w:p w14:paraId="18090CE7" w14:textId="77777777" w:rsidR="00EC0ACF" w:rsidRDefault="00EC0ACF" w:rsidP="005A6A69">
      <w:pPr>
        <w:tabs>
          <w:tab w:val="left" w:pos="16121"/>
        </w:tabs>
        <w:spacing w:line="480" w:lineRule="auto"/>
        <w:jc w:val="both"/>
        <w:rPr>
          <w:rFonts w:asciiTheme="majorBidi" w:hAnsiTheme="majorBidi" w:cstheme="majorBidi"/>
        </w:rPr>
      </w:pPr>
    </w:p>
    <w:p w14:paraId="04B2D190" w14:textId="77777777" w:rsidR="00EC0ACF" w:rsidRDefault="00EC0ACF" w:rsidP="005A6A69">
      <w:pPr>
        <w:tabs>
          <w:tab w:val="left" w:pos="16121"/>
        </w:tabs>
        <w:spacing w:line="480" w:lineRule="auto"/>
        <w:jc w:val="both"/>
        <w:rPr>
          <w:rFonts w:asciiTheme="majorBidi" w:hAnsiTheme="majorBidi" w:cstheme="majorBidi"/>
        </w:rPr>
      </w:pPr>
    </w:p>
    <w:p w14:paraId="303DE22B" w14:textId="77777777" w:rsidR="00EC0ACF" w:rsidRDefault="00EC0ACF" w:rsidP="005A6A69">
      <w:pPr>
        <w:tabs>
          <w:tab w:val="left" w:pos="16121"/>
        </w:tabs>
        <w:spacing w:line="480" w:lineRule="auto"/>
        <w:jc w:val="both"/>
        <w:rPr>
          <w:rFonts w:asciiTheme="majorBidi" w:hAnsiTheme="majorBidi" w:cstheme="majorBidi"/>
        </w:rPr>
      </w:pPr>
    </w:p>
    <w:p w14:paraId="7C1AD864" w14:textId="77777777" w:rsidR="00EC0ACF" w:rsidRDefault="00EC0ACF" w:rsidP="005A6A69">
      <w:pPr>
        <w:tabs>
          <w:tab w:val="left" w:pos="16121"/>
        </w:tabs>
        <w:spacing w:line="480" w:lineRule="auto"/>
        <w:jc w:val="both"/>
        <w:rPr>
          <w:rFonts w:asciiTheme="majorBidi" w:hAnsiTheme="majorBidi" w:cstheme="majorBidi"/>
        </w:rPr>
      </w:pPr>
    </w:p>
    <w:p w14:paraId="262FAA75" w14:textId="511A617D" w:rsidR="005A6A69" w:rsidRPr="00B90600" w:rsidRDefault="005A6A69" w:rsidP="005A6A69">
      <w:pPr>
        <w:tabs>
          <w:tab w:val="left" w:pos="16121"/>
        </w:tabs>
        <w:spacing w:line="480" w:lineRule="auto"/>
        <w:jc w:val="both"/>
        <w:rPr>
          <w:rFonts w:asciiTheme="majorBidi" w:hAnsiTheme="majorBidi" w:cstheme="majorBidi"/>
        </w:rPr>
      </w:pPr>
      <w:r w:rsidRPr="00B90600">
        <w:rPr>
          <w:rFonts w:asciiTheme="majorBidi" w:hAnsiTheme="majorBidi" w:cstheme="majorBidi"/>
        </w:rPr>
        <w:t xml:space="preserve">ΔΔG values were calculated using </w:t>
      </w:r>
      <w:proofErr w:type="spellStart"/>
      <w:r w:rsidRPr="00B90600">
        <w:rPr>
          <w:rFonts w:asciiTheme="majorBidi" w:hAnsiTheme="majorBidi" w:cstheme="majorBidi"/>
        </w:rPr>
        <w:t>ThermoMPNN</w:t>
      </w:r>
      <w:proofErr w:type="spellEnd"/>
      <w:r w:rsidRPr="00B90600">
        <w:rPr>
          <w:rFonts w:asciiTheme="majorBidi" w:hAnsiTheme="majorBidi" w:cstheme="majorBidi"/>
        </w:rPr>
        <w:t>; positive values indicate protein destabilization, while negative values suggest increased stability. SIFT scores range from 0 to 1, with scores ≤0.05 interpreted as deleterious. PolyPhen-2 scores range from 0 to 1, with higher values indicating greater likelihood of damaging; scores greater than 0.908 are considered probably damaging. CADD PHRED-scaled scores reflect the deleteriousness of variants on a genome-wide scale; scores above 20 are considered potentially pathogenic.</w:t>
      </w:r>
    </w:p>
    <w:p w14:paraId="0DF804D4" w14:textId="77777777" w:rsidR="00BE3292" w:rsidRPr="00B90600" w:rsidRDefault="00BE3292" w:rsidP="006B5923">
      <w:pPr>
        <w:tabs>
          <w:tab w:val="left" w:pos="16121"/>
        </w:tabs>
        <w:spacing w:line="480" w:lineRule="auto"/>
        <w:jc w:val="both"/>
        <w:rPr>
          <w:rFonts w:asciiTheme="majorBidi" w:hAnsiTheme="majorBidi" w:cstheme="majorBidi"/>
        </w:rPr>
      </w:pPr>
    </w:p>
    <w:p w14:paraId="23E8C263" w14:textId="77777777" w:rsidR="00BE3292" w:rsidRPr="00B90600" w:rsidRDefault="00BE3292" w:rsidP="006B5923">
      <w:pPr>
        <w:tabs>
          <w:tab w:val="left" w:pos="16121"/>
        </w:tabs>
        <w:spacing w:line="480" w:lineRule="auto"/>
        <w:jc w:val="both"/>
        <w:rPr>
          <w:rFonts w:asciiTheme="majorBidi" w:hAnsiTheme="majorBidi" w:cstheme="majorBidi"/>
        </w:rPr>
      </w:pPr>
    </w:p>
    <w:p w14:paraId="4B2C2AA2" w14:textId="4FA681CA" w:rsidR="00BE3292" w:rsidRDefault="00BE3292" w:rsidP="006B5923">
      <w:pPr>
        <w:tabs>
          <w:tab w:val="left" w:pos="16121"/>
        </w:tabs>
        <w:spacing w:line="480" w:lineRule="auto"/>
        <w:jc w:val="both"/>
        <w:rPr>
          <w:rFonts w:asciiTheme="majorBidi" w:hAnsiTheme="majorBidi" w:cstheme="majorBidi"/>
        </w:rPr>
      </w:pPr>
    </w:p>
    <w:p w14:paraId="41CDF8A0" w14:textId="15C7EE97" w:rsidR="005A6A69" w:rsidRDefault="005A6A69" w:rsidP="006B5923">
      <w:pPr>
        <w:tabs>
          <w:tab w:val="left" w:pos="16121"/>
        </w:tabs>
        <w:spacing w:line="480" w:lineRule="auto"/>
        <w:jc w:val="both"/>
        <w:rPr>
          <w:rFonts w:asciiTheme="majorBidi" w:hAnsiTheme="majorBidi" w:cstheme="majorBidi"/>
        </w:rPr>
      </w:pPr>
    </w:p>
    <w:p w14:paraId="3218CFE1" w14:textId="7CEBA6FA" w:rsidR="005A6A69" w:rsidRDefault="005A6A69" w:rsidP="006B5923">
      <w:pPr>
        <w:tabs>
          <w:tab w:val="left" w:pos="16121"/>
        </w:tabs>
        <w:spacing w:line="480" w:lineRule="auto"/>
        <w:jc w:val="both"/>
        <w:rPr>
          <w:rFonts w:asciiTheme="majorBidi" w:hAnsiTheme="majorBidi" w:cstheme="majorBidi"/>
        </w:rPr>
      </w:pPr>
    </w:p>
    <w:p w14:paraId="7771C685" w14:textId="62D9C657" w:rsidR="005A6A69" w:rsidRDefault="005A6A69" w:rsidP="006B5923">
      <w:pPr>
        <w:tabs>
          <w:tab w:val="left" w:pos="16121"/>
        </w:tabs>
        <w:spacing w:line="480" w:lineRule="auto"/>
        <w:jc w:val="both"/>
        <w:rPr>
          <w:rFonts w:asciiTheme="majorBidi" w:hAnsiTheme="majorBidi" w:cstheme="majorBidi"/>
        </w:rPr>
      </w:pPr>
    </w:p>
    <w:p w14:paraId="579AD258" w14:textId="45DC07C3" w:rsidR="005A6A69" w:rsidRDefault="005A6A69" w:rsidP="006B5923">
      <w:pPr>
        <w:tabs>
          <w:tab w:val="left" w:pos="16121"/>
        </w:tabs>
        <w:spacing w:line="480" w:lineRule="auto"/>
        <w:jc w:val="both"/>
        <w:rPr>
          <w:rFonts w:asciiTheme="majorBidi" w:hAnsiTheme="majorBidi" w:cstheme="majorBidi"/>
        </w:rPr>
      </w:pPr>
    </w:p>
    <w:p w14:paraId="25228CD2" w14:textId="77777777" w:rsidR="00A74455" w:rsidRPr="00B90600" w:rsidRDefault="00A74455" w:rsidP="006B5923">
      <w:pPr>
        <w:tabs>
          <w:tab w:val="left" w:pos="16121"/>
        </w:tabs>
        <w:spacing w:line="480" w:lineRule="auto"/>
        <w:jc w:val="both"/>
        <w:rPr>
          <w:rFonts w:asciiTheme="majorBidi" w:hAnsiTheme="majorBidi" w:cstheme="majorBidi"/>
        </w:rPr>
      </w:pPr>
    </w:p>
    <w:p w14:paraId="72D6C081" w14:textId="24610971" w:rsidR="00BE3292" w:rsidRPr="005A6A69" w:rsidRDefault="005A6A69" w:rsidP="005A6A69">
      <w:pPr>
        <w:jc w:val="both"/>
        <w:rPr>
          <w:rFonts w:asciiTheme="majorBidi" w:eastAsia="Times New Roman" w:hAnsiTheme="majorBidi" w:cstheme="majorBidi"/>
          <w:color w:val="000000"/>
          <w:kern w:val="0"/>
          <w14:ligatures w14:val="none"/>
        </w:rPr>
      </w:pPr>
      <w:r w:rsidRPr="00B90600">
        <w:rPr>
          <w:rFonts w:asciiTheme="majorBidi" w:eastAsia="Times New Roman" w:hAnsiTheme="majorBidi" w:cstheme="majorBidi"/>
          <w:b/>
          <w:bCs/>
          <w:color w:val="000000"/>
          <w:kern w:val="0"/>
          <w14:ligatures w14:val="none"/>
        </w:rPr>
        <w:t>Table S3.</w:t>
      </w:r>
      <w:r w:rsidRPr="00B90600">
        <w:rPr>
          <w:rFonts w:asciiTheme="majorBidi" w:eastAsia="Times New Roman" w:hAnsiTheme="majorBidi" w:cstheme="majorBidi"/>
          <w:color w:val="000000"/>
          <w:kern w:val="0"/>
          <w14:ligatures w14:val="none"/>
        </w:rPr>
        <w:t xml:space="preserve"> Experimentally determined protein–protein complexes containing .</w:t>
      </w:r>
    </w:p>
    <w:tbl>
      <w:tblPr>
        <w:tblStyle w:val="ListTable6Colorful"/>
        <w:tblW w:w="29620" w:type="dxa"/>
        <w:tblLook w:val="04A0" w:firstRow="1" w:lastRow="0" w:firstColumn="1" w:lastColumn="0" w:noHBand="0" w:noVBand="1"/>
      </w:tblPr>
      <w:tblGrid>
        <w:gridCol w:w="11021"/>
        <w:gridCol w:w="3142"/>
        <w:gridCol w:w="4976"/>
        <w:gridCol w:w="3406"/>
        <w:gridCol w:w="7075"/>
      </w:tblGrid>
      <w:tr w:rsidR="00BE3292" w:rsidRPr="00B90600" w14:paraId="20ED0407" w14:textId="77777777" w:rsidTr="00D82CE3">
        <w:trPr>
          <w:cnfStyle w:val="100000000000" w:firstRow="1" w:lastRow="0" w:firstColumn="0" w:lastColumn="0" w:oddVBand="0" w:evenVBand="0" w:oddHBand="0"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11021" w:type="dxa"/>
          </w:tcPr>
          <w:p w14:paraId="6739FECF" w14:textId="77777777" w:rsidR="00BE3292" w:rsidRPr="00B90600" w:rsidRDefault="00BE3292" w:rsidP="00684280">
            <w:pPr>
              <w:jc w:val="center"/>
              <w:rPr>
                <w:rFonts w:asciiTheme="majorBidi" w:eastAsia="Times New Roman" w:hAnsiTheme="majorBidi" w:cstheme="majorBidi"/>
                <w:b w:val="0"/>
                <w:bCs w:val="0"/>
                <w:color w:val="000000"/>
                <w:kern w:val="0"/>
                <w:sz w:val="28"/>
                <w:szCs w:val="28"/>
                <w14:ligatures w14:val="none"/>
              </w:rPr>
            </w:pPr>
            <w:r w:rsidRPr="00B90600">
              <w:rPr>
                <w:rFonts w:asciiTheme="majorBidi" w:hAnsiTheme="majorBidi" w:cstheme="majorBidi"/>
                <w:sz w:val="28"/>
                <w:szCs w:val="28"/>
              </w:rPr>
              <w:t>Complex name</w:t>
            </w:r>
          </w:p>
        </w:tc>
        <w:tc>
          <w:tcPr>
            <w:tcW w:w="3142" w:type="dxa"/>
          </w:tcPr>
          <w:p w14:paraId="36F12C62" w14:textId="77777777" w:rsidR="00BE3292" w:rsidRPr="00B90600" w:rsidRDefault="00BE3292" w:rsidP="0068428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kern w:val="0"/>
                <w:sz w:val="28"/>
                <w:szCs w:val="28"/>
                <w14:ligatures w14:val="none"/>
              </w:rPr>
            </w:pPr>
            <w:r w:rsidRPr="00B90600">
              <w:rPr>
                <w:rFonts w:asciiTheme="majorBidi" w:hAnsiTheme="majorBidi" w:cstheme="majorBidi"/>
                <w:sz w:val="28"/>
                <w:szCs w:val="28"/>
              </w:rPr>
              <w:t>PDB ID</w:t>
            </w:r>
          </w:p>
        </w:tc>
        <w:tc>
          <w:tcPr>
            <w:tcW w:w="4976" w:type="dxa"/>
          </w:tcPr>
          <w:p w14:paraId="5D4075A1" w14:textId="77777777" w:rsidR="00BE3292" w:rsidRPr="00B90600" w:rsidRDefault="00BE3292" w:rsidP="0068428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kern w:val="0"/>
                <w:sz w:val="28"/>
                <w:szCs w:val="28"/>
                <w14:ligatures w14:val="none"/>
              </w:rPr>
            </w:pPr>
            <w:r w:rsidRPr="00B90600">
              <w:rPr>
                <w:rFonts w:asciiTheme="majorBidi" w:hAnsiTheme="majorBidi" w:cstheme="majorBidi"/>
                <w:sz w:val="28"/>
                <w:szCs w:val="28"/>
              </w:rPr>
              <w:t>Total number of subunits</w:t>
            </w:r>
          </w:p>
        </w:tc>
        <w:tc>
          <w:tcPr>
            <w:tcW w:w="3406" w:type="dxa"/>
          </w:tcPr>
          <w:p w14:paraId="0CED8D04" w14:textId="494F6EFA" w:rsidR="00BE3292" w:rsidRPr="00B90600" w:rsidRDefault="00533ABD" w:rsidP="0068428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kern w:val="0"/>
                <w:sz w:val="28"/>
                <w:szCs w:val="28"/>
                <w14:ligatures w14:val="none"/>
              </w:rPr>
            </w:pPr>
            <w:r>
              <w:rPr>
                <w:rFonts w:asciiTheme="majorBidi" w:hAnsiTheme="majorBidi" w:cstheme="majorBidi"/>
                <w:sz w:val="28"/>
                <w:szCs w:val="28"/>
              </w:rPr>
              <w:t>SNAPC4</w:t>
            </w:r>
            <w:r w:rsidR="00BE3292" w:rsidRPr="00B90600">
              <w:rPr>
                <w:rFonts w:asciiTheme="majorBidi" w:hAnsiTheme="majorBidi" w:cstheme="majorBidi"/>
                <w:sz w:val="28"/>
                <w:szCs w:val="28"/>
              </w:rPr>
              <w:t xml:space="preserve"> chain ID</w:t>
            </w:r>
          </w:p>
        </w:tc>
        <w:tc>
          <w:tcPr>
            <w:tcW w:w="7075" w:type="dxa"/>
          </w:tcPr>
          <w:p w14:paraId="104778AB" w14:textId="3ABDE91C" w:rsidR="00BE3292" w:rsidRPr="00B90600" w:rsidRDefault="00533ABD" w:rsidP="0068428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kern w:val="0"/>
                <w:sz w:val="28"/>
                <w:szCs w:val="28"/>
                <w14:ligatures w14:val="none"/>
              </w:rPr>
            </w:pPr>
            <w:r>
              <w:rPr>
                <w:rFonts w:asciiTheme="majorBidi" w:hAnsiTheme="majorBidi" w:cstheme="majorBidi"/>
                <w:sz w:val="28"/>
                <w:szCs w:val="28"/>
              </w:rPr>
              <w:t>SNAPC4</w:t>
            </w:r>
            <w:r w:rsidR="00BE3292" w:rsidRPr="00B90600">
              <w:rPr>
                <w:rFonts w:asciiTheme="majorBidi" w:hAnsiTheme="majorBidi" w:cstheme="majorBidi"/>
                <w:sz w:val="28"/>
                <w:szCs w:val="28"/>
              </w:rPr>
              <w:t xml:space="preserve"> residues present in structure</w:t>
            </w:r>
          </w:p>
        </w:tc>
      </w:tr>
      <w:tr w:rsidR="00BE3292" w:rsidRPr="00B90600" w14:paraId="714C0C8A" w14:textId="77777777" w:rsidTr="00D82CE3">
        <w:trPr>
          <w:cnfStyle w:val="000000100000" w:firstRow="0" w:lastRow="0" w:firstColumn="0" w:lastColumn="0" w:oddVBand="0" w:evenVBand="0" w:oddHBand="1" w:evenHBand="0" w:firstRowFirstColumn="0" w:firstRowLastColumn="0" w:lastRowFirstColumn="0" w:lastRowLastColumn="0"/>
          <w:trHeight w:val="1153"/>
        </w:trPr>
        <w:tc>
          <w:tcPr>
            <w:cnfStyle w:val="001000000000" w:firstRow="0" w:lastRow="0" w:firstColumn="1" w:lastColumn="0" w:oddVBand="0" w:evenVBand="0" w:oddHBand="0" w:evenHBand="0" w:firstRowFirstColumn="0" w:firstRowLastColumn="0" w:lastRowFirstColumn="0" w:lastRowLastColumn="0"/>
            <w:tcW w:w="11021" w:type="dxa"/>
          </w:tcPr>
          <w:p w14:paraId="3FC03418" w14:textId="77777777" w:rsidR="00BE3292" w:rsidRPr="00B90600" w:rsidRDefault="00BE3292" w:rsidP="00684280">
            <w:pPr>
              <w:jc w:val="center"/>
              <w:rPr>
                <w:rFonts w:asciiTheme="majorBidi" w:eastAsia="Times New Roman" w:hAnsiTheme="majorBidi" w:cstheme="majorBidi"/>
                <w:color w:val="000000"/>
                <w:kern w:val="0"/>
                <w:sz w:val="28"/>
                <w:szCs w:val="28"/>
                <w14:ligatures w14:val="none"/>
              </w:rPr>
            </w:pPr>
            <w:proofErr w:type="spellStart"/>
            <w:r w:rsidRPr="00B90600">
              <w:rPr>
                <w:rFonts w:asciiTheme="majorBidi" w:eastAsia="Times New Roman" w:hAnsiTheme="majorBidi" w:cstheme="majorBidi"/>
                <w:color w:val="000000"/>
                <w:kern w:val="0"/>
                <w:sz w:val="28"/>
                <w:szCs w:val="28"/>
                <w14:ligatures w14:val="none"/>
              </w:rPr>
              <w:t>SNAPc</w:t>
            </w:r>
            <w:proofErr w:type="spellEnd"/>
            <w:r w:rsidRPr="00B90600">
              <w:rPr>
                <w:rFonts w:asciiTheme="majorBidi" w:eastAsia="Times New Roman" w:hAnsiTheme="majorBidi" w:cstheme="majorBidi"/>
                <w:color w:val="000000"/>
                <w:kern w:val="0"/>
                <w:sz w:val="28"/>
                <w:szCs w:val="28"/>
                <w14:ligatures w14:val="none"/>
              </w:rPr>
              <w:t>-containing RNA polymerase II pre-initiation complex bound to U1 snRNA promoter</w:t>
            </w:r>
          </w:p>
        </w:tc>
        <w:tc>
          <w:tcPr>
            <w:tcW w:w="3142" w:type="dxa"/>
          </w:tcPr>
          <w:p w14:paraId="4B9B555C" w14:textId="77777777" w:rsidR="00BE3292" w:rsidRPr="00B90600" w:rsidRDefault="00BE3292" w:rsidP="0068428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7ZXE</w:t>
            </w:r>
          </w:p>
        </w:tc>
        <w:tc>
          <w:tcPr>
            <w:tcW w:w="4976" w:type="dxa"/>
          </w:tcPr>
          <w:p w14:paraId="21267FB1" w14:textId="77777777" w:rsidR="00BE3292" w:rsidRPr="00B90600" w:rsidRDefault="00BE3292" w:rsidP="0068428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10</w:t>
            </w:r>
          </w:p>
        </w:tc>
        <w:tc>
          <w:tcPr>
            <w:tcW w:w="3406" w:type="dxa"/>
          </w:tcPr>
          <w:p w14:paraId="5CFD77E6" w14:textId="77777777" w:rsidR="00BE3292" w:rsidRPr="00B90600" w:rsidRDefault="00BE3292" w:rsidP="0068428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c</w:t>
            </w:r>
          </w:p>
        </w:tc>
        <w:tc>
          <w:tcPr>
            <w:tcW w:w="7075" w:type="dxa"/>
          </w:tcPr>
          <w:p w14:paraId="02EDA127" w14:textId="77777777" w:rsidR="00BE3292" w:rsidRPr="00B90600" w:rsidRDefault="00BE3292" w:rsidP="0068428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81-398</w:t>
            </w:r>
          </w:p>
        </w:tc>
      </w:tr>
      <w:tr w:rsidR="00BE3292" w:rsidRPr="00B90600" w14:paraId="76BBF5E9" w14:textId="77777777" w:rsidTr="00D82CE3">
        <w:trPr>
          <w:trHeight w:val="782"/>
        </w:trPr>
        <w:tc>
          <w:tcPr>
            <w:cnfStyle w:val="001000000000" w:firstRow="0" w:lastRow="0" w:firstColumn="1" w:lastColumn="0" w:oddVBand="0" w:evenVBand="0" w:oddHBand="0" w:evenHBand="0" w:firstRowFirstColumn="0" w:firstRowLastColumn="0" w:lastRowFirstColumn="0" w:lastRowLastColumn="0"/>
            <w:tcW w:w="11021" w:type="dxa"/>
          </w:tcPr>
          <w:p w14:paraId="0D89ECE5" w14:textId="77777777" w:rsidR="00BE3292" w:rsidRPr="00B90600" w:rsidRDefault="00BE3292" w:rsidP="00684280">
            <w:pPr>
              <w:jc w:val="center"/>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RNA polymerase III pre-initiation complex closed DNA 1</w:t>
            </w:r>
          </w:p>
        </w:tc>
        <w:tc>
          <w:tcPr>
            <w:tcW w:w="3142" w:type="dxa"/>
          </w:tcPr>
          <w:p w14:paraId="7F51C0D0" w14:textId="77777777" w:rsidR="00BE3292" w:rsidRPr="00B90600" w:rsidRDefault="00BE3292" w:rsidP="0068428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8ITY</w:t>
            </w:r>
          </w:p>
        </w:tc>
        <w:tc>
          <w:tcPr>
            <w:tcW w:w="4976" w:type="dxa"/>
          </w:tcPr>
          <w:p w14:paraId="7E5EF188" w14:textId="77777777" w:rsidR="00BE3292" w:rsidRPr="00B90600" w:rsidRDefault="00BE3292" w:rsidP="0068428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25</w:t>
            </w:r>
          </w:p>
        </w:tc>
        <w:tc>
          <w:tcPr>
            <w:tcW w:w="3406" w:type="dxa"/>
          </w:tcPr>
          <w:p w14:paraId="1B64E5EB" w14:textId="77777777" w:rsidR="00BE3292" w:rsidRPr="00B90600" w:rsidRDefault="00BE3292" w:rsidP="0068428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4</w:t>
            </w:r>
          </w:p>
        </w:tc>
        <w:tc>
          <w:tcPr>
            <w:tcW w:w="7075" w:type="dxa"/>
          </w:tcPr>
          <w:p w14:paraId="08D5376D" w14:textId="77777777" w:rsidR="00BE3292" w:rsidRPr="00B90600" w:rsidRDefault="00BE3292" w:rsidP="0068428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149-513</w:t>
            </w:r>
          </w:p>
        </w:tc>
      </w:tr>
      <w:tr w:rsidR="00BE3292" w:rsidRPr="00B90600" w14:paraId="71ACD846" w14:textId="77777777" w:rsidTr="00D82CE3">
        <w:trPr>
          <w:cnfStyle w:val="000000100000" w:firstRow="0" w:lastRow="0" w:firstColumn="0" w:lastColumn="0" w:oddVBand="0" w:evenVBand="0" w:oddHBand="1"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11021" w:type="dxa"/>
          </w:tcPr>
          <w:p w14:paraId="23D5D705" w14:textId="77777777" w:rsidR="00BE3292" w:rsidRPr="00B90600" w:rsidRDefault="00BE3292" w:rsidP="00684280">
            <w:pPr>
              <w:jc w:val="center"/>
              <w:rPr>
                <w:rFonts w:asciiTheme="majorBidi" w:eastAsia="Times New Roman" w:hAnsiTheme="majorBidi" w:cstheme="majorBidi"/>
                <w:color w:val="000000"/>
                <w:kern w:val="0"/>
                <w:sz w:val="28"/>
                <w:szCs w:val="28"/>
                <w14:ligatures w14:val="none"/>
              </w:rPr>
            </w:pPr>
            <w:proofErr w:type="spellStart"/>
            <w:r w:rsidRPr="00B90600">
              <w:rPr>
                <w:rFonts w:asciiTheme="majorBidi" w:eastAsia="Times New Roman" w:hAnsiTheme="majorBidi" w:cstheme="majorBidi"/>
                <w:color w:val="000000"/>
                <w:kern w:val="0"/>
                <w:sz w:val="28"/>
                <w:szCs w:val="28"/>
                <w14:ligatures w14:val="none"/>
              </w:rPr>
              <w:t>SNAPc:TBP</w:t>
            </w:r>
            <w:proofErr w:type="spellEnd"/>
            <w:r w:rsidRPr="00B90600">
              <w:rPr>
                <w:rFonts w:asciiTheme="majorBidi" w:eastAsia="Times New Roman" w:hAnsiTheme="majorBidi" w:cstheme="majorBidi"/>
                <w:color w:val="000000"/>
                <w:kern w:val="0"/>
                <w:sz w:val="28"/>
                <w:szCs w:val="28"/>
                <w14:ligatures w14:val="none"/>
              </w:rPr>
              <w:t>–TFIIA–TFIIB sub-complex bound to U5 snRNA</w:t>
            </w:r>
            <w:r w:rsidRPr="00B90600">
              <w:rPr>
                <w:rFonts w:asciiTheme="majorBidi" w:eastAsia="Times New Roman" w:hAnsiTheme="majorBidi" w:cstheme="majorBidi"/>
                <w:color w:val="000000"/>
                <w:kern w:val="0"/>
                <w:sz w:val="28"/>
                <w:szCs w:val="28"/>
                <w:rtl/>
                <w14:ligatures w14:val="none"/>
              </w:rPr>
              <w:t xml:space="preserve"> </w:t>
            </w:r>
            <w:r w:rsidRPr="00B90600">
              <w:rPr>
                <w:rFonts w:asciiTheme="majorBidi" w:eastAsia="Times New Roman" w:hAnsiTheme="majorBidi" w:cstheme="majorBidi"/>
                <w:color w:val="000000"/>
                <w:kern w:val="0"/>
                <w:sz w:val="28"/>
                <w:szCs w:val="28"/>
                <w14:ligatures w14:val="none"/>
              </w:rPr>
              <w:t>promoter</w:t>
            </w:r>
          </w:p>
        </w:tc>
        <w:tc>
          <w:tcPr>
            <w:tcW w:w="3142" w:type="dxa"/>
          </w:tcPr>
          <w:p w14:paraId="5DA69988" w14:textId="77777777" w:rsidR="00BE3292" w:rsidRPr="00B90600" w:rsidRDefault="00BE3292" w:rsidP="0068428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7ZWC</w:t>
            </w:r>
          </w:p>
        </w:tc>
        <w:tc>
          <w:tcPr>
            <w:tcW w:w="4976" w:type="dxa"/>
          </w:tcPr>
          <w:p w14:paraId="5B5CD185" w14:textId="77777777" w:rsidR="00BE3292" w:rsidRPr="00B90600" w:rsidRDefault="00BE3292" w:rsidP="0068428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10</w:t>
            </w:r>
          </w:p>
        </w:tc>
        <w:tc>
          <w:tcPr>
            <w:tcW w:w="3406" w:type="dxa"/>
          </w:tcPr>
          <w:p w14:paraId="12DEB05D" w14:textId="77777777" w:rsidR="00BE3292" w:rsidRPr="00B90600" w:rsidRDefault="00BE3292" w:rsidP="0068428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c</w:t>
            </w:r>
          </w:p>
        </w:tc>
        <w:tc>
          <w:tcPr>
            <w:tcW w:w="7075" w:type="dxa"/>
          </w:tcPr>
          <w:p w14:paraId="0420997C" w14:textId="77777777" w:rsidR="00BE3292" w:rsidRPr="00B90600" w:rsidRDefault="00BE3292" w:rsidP="0068428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81-398</w:t>
            </w:r>
          </w:p>
        </w:tc>
      </w:tr>
      <w:tr w:rsidR="00BE3292" w:rsidRPr="00B90600" w14:paraId="4D2FD34D" w14:textId="77777777" w:rsidTr="00D82CE3">
        <w:trPr>
          <w:trHeight w:val="782"/>
        </w:trPr>
        <w:tc>
          <w:tcPr>
            <w:cnfStyle w:val="001000000000" w:firstRow="0" w:lastRow="0" w:firstColumn="1" w:lastColumn="0" w:oddVBand="0" w:evenVBand="0" w:oddHBand="0" w:evenHBand="0" w:firstRowFirstColumn="0" w:firstRowLastColumn="0" w:lastRowFirstColumn="0" w:lastRowLastColumn="0"/>
            <w:tcW w:w="11021" w:type="dxa"/>
          </w:tcPr>
          <w:p w14:paraId="0EF1F868" w14:textId="77777777" w:rsidR="00BE3292" w:rsidRPr="00B90600" w:rsidRDefault="00BE3292" w:rsidP="00684280">
            <w:pPr>
              <w:jc w:val="center"/>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RNA polymerase III pre-initiation complex melting complex 1</w:t>
            </w:r>
          </w:p>
        </w:tc>
        <w:tc>
          <w:tcPr>
            <w:tcW w:w="3142" w:type="dxa"/>
          </w:tcPr>
          <w:p w14:paraId="73D374BC" w14:textId="77777777" w:rsidR="00BE3292" w:rsidRPr="00B90600" w:rsidRDefault="00BE3292" w:rsidP="0068428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8IUE</w:t>
            </w:r>
          </w:p>
        </w:tc>
        <w:tc>
          <w:tcPr>
            <w:tcW w:w="4976" w:type="dxa"/>
          </w:tcPr>
          <w:p w14:paraId="12325107" w14:textId="77777777" w:rsidR="00BE3292" w:rsidRPr="00B90600" w:rsidRDefault="00BE3292" w:rsidP="0068428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25</w:t>
            </w:r>
          </w:p>
        </w:tc>
        <w:tc>
          <w:tcPr>
            <w:tcW w:w="3406" w:type="dxa"/>
          </w:tcPr>
          <w:p w14:paraId="2F5B2F6B" w14:textId="77777777" w:rsidR="00BE3292" w:rsidRPr="00B90600" w:rsidRDefault="00BE3292" w:rsidP="0068428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4</w:t>
            </w:r>
          </w:p>
        </w:tc>
        <w:tc>
          <w:tcPr>
            <w:tcW w:w="7075" w:type="dxa"/>
          </w:tcPr>
          <w:p w14:paraId="5836E659" w14:textId="77777777" w:rsidR="00BE3292" w:rsidRPr="00B90600" w:rsidRDefault="00BE3292" w:rsidP="0068428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149-513</w:t>
            </w:r>
          </w:p>
        </w:tc>
      </w:tr>
      <w:tr w:rsidR="00BE3292" w:rsidRPr="00B90600" w14:paraId="71B80619" w14:textId="77777777" w:rsidTr="00D82CE3">
        <w:trPr>
          <w:cnfStyle w:val="000000100000" w:firstRow="0" w:lastRow="0" w:firstColumn="0" w:lastColumn="0" w:oddVBand="0" w:evenVBand="0" w:oddHBand="1"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11021" w:type="dxa"/>
          </w:tcPr>
          <w:p w14:paraId="3ECA0B30" w14:textId="77777777" w:rsidR="00BE3292" w:rsidRPr="00B90600" w:rsidRDefault="00BE3292" w:rsidP="00684280">
            <w:pPr>
              <w:jc w:val="center"/>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RNA polymerase III pre-initiation complex open complex 1</w:t>
            </w:r>
          </w:p>
        </w:tc>
        <w:tc>
          <w:tcPr>
            <w:tcW w:w="3142" w:type="dxa"/>
          </w:tcPr>
          <w:p w14:paraId="681BFE96" w14:textId="77777777" w:rsidR="00BE3292" w:rsidRPr="00B90600" w:rsidRDefault="00BE3292" w:rsidP="0068428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8IUH</w:t>
            </w:r>
          </w:p>
        </w:tc>
        <w:tc>
          <w:tcPr>
            <w:tcW w:w="4976" w:type="dxa"/>
          </w:tcPr>
          <w:p w14:paraId="1502ABA5" w14:textId="77777777" w:rsidR="00BE3292" w:rsidRPr="00B90600" w:rsidRDefault="00BE3292" w:rsidP="0068428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25</w:t>
            </w:r>
          </w:p>
        </w:tc>
        <w:tc>
          <w:tcPr>
            <w:tcW w:w="3406" w:type="dxa"/>
          </w:tcPr>
          <w:p w14:paraId="227F82AE" w14:textId="77777777" w:rsidR="00BE3292" w:rsidRPr="00B90600" w:rsidRDefault="00BE3292" w:rsidP="0068428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4</w:t>
            </w:r>
          </w:p>
        </w:tc>
        <w:tc>
          <w:tcPr>
            <w:tcW w:w="7075" w:type="dxa"/>
          </w:tcPr>
          <w:p w14:paraId="10C5075C" w14:textId="77777777" w:rsidR="00BE3292" w:rsidRPr="00B90600" w:rsidRDefault="00BE3292" w:rsidP="0068428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149-513</w:t>
            </w:r>
          </w:p>
        </w:tc>
      </w:tr>
      <w:tr w:rsidR="00BE3292" w:rsidRPr="00B90600" w14:paraId="330458BD" w14:textId="77777777" w:rsidTr="00D82CE3">
        <w:trPr>
          <w:trHeight w:val="760"/>
        </w:trPr>
        <w:tc>
          <w:tcPr>
            <w:cnfStyle w:val="001000000000" w:firstRow="0" w:lastRow="0" w:firstColumn="1" w:lastColumn="0" w:oddVBand="0" w:evenVBand="0" w:oddHBand="0" w:evenHBand="0" w:firstRowFirstColumn="0" w:firstRowLastColumn="0" w:lastRowFirstColumn="0" w:lastRowLastColumn="0"/>
            <w:tcW w:w="11021" w:type="dxa"/>
          </w:tcPr>
          <w:p w14:paraId="3BCED755" w14:textId="77777777" w:rsidR="00BE3292" w:rsidRPr="00B90600" w:rsidRDefault="00BE3292" w:rsidP="00684280">
            <w:pPr>
              <w:jc w:val="center"/>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RNA polymerase III class III open pre-initiation complex 1</w:t>
            </w:r>
          </w:p>
        </w:tc>
        <w:tc>
          <w:tcPr>
            <w:tcW w:w="3142" w:type="dxa"/>
          </w:tcPr>
          <w:p w14:paraId="0927A13D" w14:textId="77777777" w:rsidR="00BE3292" w:rsidRPr="00B90600" w:rsidRDefault="00BE3292" w:rsidP="0068428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9FSO</w:t>
            </w:r>
          </w:p>
        </w:tc>
        <w:tc>
          <w:tcPr>
            <w:tcW w:w="4976" w:type="dxa"/>
          </w:tcPr>
          <w:p w14:paraId="50614DF7" w14:textId="77777777" w:rsidR="00BE3292" w:rsidRPr="00B90600" w:rsidRDefault="00BE3292" w:rsidP="0068428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25</w:t>
            </w:r>
          </w:p>
        </w:tc>
        <w:tc>
          <w:tcPr>
            <w:tcW w:w="3406" w:type="dxa"/>
          </w:tcPr>
          <w:p w14:paraId="3FF8EE66" w14:textId="77777777" w:rsidR="00BE3292" w:rsidRPr="00B90600" w:rsidRDefault="00BE3292" w:rsidP="0068428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W</w:t>
            </w:r>
          </w:p>
        </w:tc>
        <w:tc>
          <w:tcPr>
            <w:tcW w:w="7075" w:type="dxa"/>
          </w:tcPr>
          <w:p w14:paraId="4BDE8796" w14:textId="77777777" w:rsidR="00BE3292" w:rsidRPr="00B90600" w:rsidRDefault="00BE3292" w:rsidP="0068428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142-383</w:t>
            </w:r>
          </w:p>
        </w:tc>
      </w:tr>
      <w:tr w:rsidR="00BE3292" w:rsidRPr="00B90600" w14:paraId="28BC59F5" w14:textId="77777777" w:rsidTr="00D82CE3">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11021" w:type="dxa"/>
          </w:tcPr>
          <w:p w14:paraId="48CD1CEE" w14:textId="77777777" w:rsidR="00BE3292" w:rsidRPr="00B90600" w:rsidRDefault="00BE3292" w:rsidP="00684280">
            <w:pPr>
              <w:jc w:val="center"/>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RNA polymerase III class III open pre-initiation complex 2</w:t>
            </w:r>
          </w:p>
        </w:tc>
        <w:tc>
          <w:tcPr>
            <w:tcW w:w="3142" w:type="dxa"/>
          </w:tcPr>
          <w:p w14:paraId="7FDBC13B" w14:textId="77777777" w:rsidR="00BE3292" w:rsidRPr="00B90600" w:rsidRDefault="00BE3292" w:rsidP="0068428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9FSP</w:t>
            </w:r>
          </w:p>
        </w:tc>
        <w:tc>
          <w:tcPr>
            <w:tcW w:w="4976" w:type="dxa"/>
          </w:tcPr>
          <w:p w14:paraId="2C90EE6B" w14:textId="77777777" w:rsidR="00BE3292" w:rsidRPr="00B90600" w:rsidRDefault="00BE3292" w:rsidP="0068428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25</w:t>
            </w:r>
          </w:p>
        </w:tc>
        <w:tc>
          <w:tcPr>
            <w:tcW w:w="3406" w:type="dxa"/>
          </w:tcPr>
          <w:p w14:paraId="4F174D9F" w14:textId="77777777" w:rsidR="00BE3292" w:rsidRPr="00B90600" w:rsidRDefault="00BE3292" w:rsidP="0068428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W</w:t>
            </w:r>
          </w:p>
        </w:tc>
        <w:tc>
          <w:tcPr>
            <w:tcW w:w="7075" w:type="dxa"/>
          </w:tcPr>
          <w:p w14:paraId="4C09A2EE" w14:textId="77777777" w:rsidR="00BE3292" w:rsidRPr="00B90600" w:rsidRDefault="00BE3292" w:rsidP="0068428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142-383</w:t>
            </w:r>
          </w:p>
        </w:tc>
      </w:tr>
      <w:tr w:rsidR="00BE3292" w:rsidRPr="00B90600" w14:paraId="2A2444CF" w14:textId="77777777" w:rsidTr="00D82CE3">
        <w:trPr>
          <w:trHeight w:val="760"/>
        </w:trPr>
        <w:tc>
          <w:tcPr>
            <w:cnfStyle w:val="001000000000" w:firstRow="0" w:lastRow="0" w:firstColumn="1" w:lastColumn="0" w:oddVBand="0" w:evenVBand="0" w:oddHBand="0" w:evenHBand="0" w:firstRowFirstColumn="0" w:firstRowLastColumn="0" w:lastRowFirstColumn="0" w:lastRowLastColumn="0"/>
            <w:tcW w:w="11021" w:type="dxa"/>
          </w:tcPr>
          <w:p w14:paraId="5CD3C925" w14:textId="77777777" w:rsidR="00BE3292" w:rsidRPr="00B90600" w:rsidRDefault="00BE3292" w:rsidP="00684280">
            <w:pPr>
              <w:jc w:val="center"/>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RNA polymerase III class III melting pre-initiation complex</w:t>
            </w:r>
          </w:p>
        </w:tc>
        <w:tc>
          <w:tcPr>
            <w:tcW w:w="3142" w:type="dxa"/>
          </w:tcPr>
          <w:p w14:paraId="43D872AC" w14:textId="77777777" w:rsidR="00BE3292" w:rsidRPr="00B90600" w:rsidRDefault="00BE3292" w:rsidP="0068428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9FSQ</w:t>
            </w:r>
          </w:p>
        </w:tc>
        <w:tc>
          <w:tcPr>
            <w:tcW w:w="4976" w:type="dxa"/>
          </w:tcPr>
          <w:p w14:paraId="61B40F58" w14:textId="77777777" w:rsidR="00BE3292" w:rsidRPr="00B90600" w:rsidRDefault="00BE3292" w:rsidP="0068428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25</w:t>
            </w:r>
          </w:p>
        </w:tc>
        <w:tc>
          <w:tcPr>
            <w:tcW w:w="3406" w:type="dxa"/>
          </w:tcPr>
          <w:p w14:paraId="53BD7B29" w14:textId="77777777" w:rsidR="00BE3292" w:rsidRPr="00B90600" w:rsidRDefault="00BE3292" w:rsidP="0068428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W</w:t>
            </w:r>
          </w:p>
        </w:tc>
        <w:tc>
          <w:tcPr>
            <w:tcW w:w="7075" w:type="dxa"/>
          </w:tcPr>
          <w:p w14:paraId="272AA5B8" w14:textId="77777777" w:rsidR="00BE3292" w:rsidRPr="00B90600" w:rsidRDefault="00BE3292" w:rsidP="0068428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142-383</w:t>
            </w:r>
          </w:p>
        </w:tc>
      </w:tr>
      <w:tr w:rsidR="00BE3292" w:rsidRPr="00B90600" w14:paraId="56802B0E" w14:textId="77777777" w:rsidTr="00D82CE3">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11021" w:type="dxa"/>
          </w:tcPr>
          <w:p w14:paraId="4C707F2F" w14:textId="77777777" w:rsidR="00BE3292" w:rsidRPr="00B90600" w:rsidRDefault="00BE3292" w:rsidP="00684280">
            <w:pPr>
              <w:jc w:val="center"/>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RNA polymerase III class III open mini pre-initiation complex 1</w:t>
            </w:r>
          </w:p>
        </w:tc>
        <w:tc>
          <w:tcPr>
            <w:tcW w:w="3142" w:type="dxa"/>
          </w:tcPr>
          <w:p w14:paraId="12CBFA94" w14:textId="77777777" w:rsidR="00BE3292" w:rsidRPr="00B90600" w:rsidRDefault="00BE3292" w:rsidP="0068428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9FSR</w:t>
            </w:r>
          </w:p>
        </w:tc>
        <w:tc>
          <w:tcPr>
            <w:tcW w:w="4976" w:type="dxa"/>
          </w:tcPr>
          <w:p w14:paraId="3658C4B3" w14:textId="77777777" w:rsidR="00BE3292" w:rsidRPr="00B90600" w:rsidRDefault="00BE3292" w:rsidP="0068428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25</w:t>
            </w:r>
          </w:p>
        </w:tc>
        <w:tc>
          <w:tcPr>
            <w:tcW w:w="3406" w:type="dxa"/>
          </w:tcPr>
          <w:p w14:paraId="067EE511" w14:textId="77777777" w:rsidR="00BE3292" w:rsidRPr="00B90600" w:rsidRDefault="00BE3292" w:rsidP="0068428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W</w:t>
            </w:r>
          </w:p>
        </w:tc>
        <w:tc>
          <w:tcPr>
            <w:tcW w:w="7075" w:type="dxa"/>
          </w:tcPr>
          <w:p w14:paraId="4D266F14" w14:textId="77777777" w:rsidR="00BE3292" w:rsidRPr="00B90600" w:rsidRDefault="00BE3292" w:rsidP="0068428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142-383</w:t>
            </w:r>
          </w:p>
        </w:tc>
      </w:tr>
      <w:tr w:rsidR="00BE3292" w:rsidRPr="00B90600" w14:paraId="7511C4B8" w14:textId="77777777" w:rsidTr="00D82CE3">
        <w:trPr>
          <w:trHeight w:val="760"/>
        </w:trPr>
        <w:tc>
          <w:tcPr>
            <w:cnfStyle w:val="001000000000" w:firstRow="0" w:lastRow="0" w:firstColumn="1" w:lastColumn="0" w:oddVBand="0" w:evenVBand="0" w:oddHBand="0" w:evenHBand="0" w:firstRowFirstColumn="0" w:firstRowLastColumn="0" w:lastRowFirstColumn="0" w:lastRowLastColumn="0"/>
            <w:tcW w:w="11021" w:type="dxa"/>
          </w:tcPr>
          <w:p w14:paraId="0E009B4B" w14:textId="77777777" w:rsidR="00BE3292" w:rsidRPr="00B90600" w:rsidRDefault="00BE3292" w:rsidP="00684280">
            <w:pPr>
              <w:jc w:val="center"/>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RNA polymerase III class III open mini pre-initiation complex 2</w:t>
            </w:r>
          </w:p>
        </w:tc>
        <w:tc>
          <w:tcPr>
            <w:tcW w:w="3142" w:type="dxa"/>
          </w:tcPr>
          <w:p w14:paraId="4852529B" w14:textId="77777777" w:rsidR="00BE3292" w:rsidRPr="00B90600" w:rsidRDefault="00BE3292" w:rsidP="0068428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9FSS</w:t>
            </w:r>
          </w:p>
        </w:tc>
        <w:tc>
          <w:tcPr>
            <w:tcW w:w="4976" w:type="dxa"/>
          </w:tcPr>
          <w:p w14:paraId="1937CD4B" w14:textId="77777777" w:rsidR="00BE3292" w:rsidRPr="00B90600" w:rsidRDefault="00BE3292" w:rsidP="0068428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25</w:t>
            </w:r>
          </w:p>
        </w:tc>
        <w:tc>
          <w:tcPr>
            <w:tcW w:w="3406" w:type="dxa"/>
          </w:tcPr>
          <w:p w14:paraId="0CCB6694" w14:textId="77777777" w:rsidR="00BE3292" w:rsidRPr="00B90600" w:rsidRDefault="00BE3292" w:rsidP="0068428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W</w:t>
            </w:r>
          </w:p>
        </w:tc>
        <w:tc>
          <w:tcPr>
            <w:tcW w:w="7075" w:type="dxa"/>
          </w:tcPr>
          <w:p w14:paraId="722AF54F" w14:textId="77777777" w:rsidR="00BE3292" w:rsidRPr="00B90600" w:rsidRDefault="00BE3292" w:rsidP="0068428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8"/>
                <w:szCs w:val="28"/>
                <w14:ligatures w14:val="none"/>
              </w:rPr>
            </w:pPr>
            <w:r w:rsidRPr="00B90600">
              <w:rPr>
                <w:rFonts w:asciiTheme="majorBidi" w:eastAsia="Times New Roman" w:hAnsiTheme="majorBidi" w:cstheme="majorBidi"/>
                <w:color w:val="000000"/>
                <w:kern w:val="0"/>
                <w:sz w:val="28"/>
                <w:szCs w:val="28"/>
                <w14:ligatures w14:val="none"/>
              </w:rPr>
              <w:t>142-383</w:t>
            </w:r>
          </w:p>
        </w:tc>
      </w:tr>
    </w:tbl>
    <w:p w14:paraId="35004A95" w14:textId="77777777" w:rsidR="00BE3292" w:rsidRPr="00B90600" w:rsidRDefault="00BE3292" w:rsidP="006B5923">
      <w:pPr>
        <w:tabs>
          <w:tab w:val="left" w:pos="16121"/>
        </w:tabs>
        <w:spacing w:line="480" w:lineRule="auto"/>
        <w:jc w:val="both"/>
        <w:rPr>
          <w:rFonts w:asciiTheme="majorBidi" w:hAnsiTheme="majorBidi" w:cstheme="majorBidi"/>
        </w:rPr>
      </w:pPr>
    </w:p>
    <w:p w14:paraId="3A2A360D" w14:textId="77777777" w:rsidR="003C4658" w:rsidRPr="00B90600" w:rsidRDefault="003C4658" w:rsidP="006B5923">
      <w:pPr>
        <w:tabs>
          <w:tab w:val="left" w:pos="16121"/>
        </w:tabs>
        <w:spacing w:line="480" w:lineRule="auto"/>
        <w:jc w:val="both"/>
        <w:rPr>
          <w:rFonts w:asciiTheme="majorBidi" w:hAnsiTheme="majorBidi" w:cstheme="majorBidi"/>
        </w:rPr>
      </w:pPr>
    </w:p>
    <w:p w14:paraId="621539DE" w14:textId="77777777" w:rsidR="003C4658" w:rsidRPr="00B90600" w:rsidRDefault="003C4658" w:rsidP="006B5923">
      <w:pPr>
        <w:tabs>
          <w:tab w:val="left" w:pos="16121"/>
        </w:tabs>
        <w:spacing w:line="480" w:lineRule="auto"/>
        <w:jc w:val="both"/>
        <w:rPr>
          <w:rFonts w:asciiTheme="majorBidi" w:hAnsiTheme="majorBidi" w:cstheme="majorBidi"/>
        </w:rPr>
      </w:pPr>
    </w:p>
    <w:p w14:paraId="0A29DC08" w14:textId="77777777" w:rsidR="003C4658" w:rsidRPr="00B90600" w:rsidRDefault="003C4658" w:rsidP="006B5923">
      <w:pPr>
        <w:tabs>
          <w:tab w:val="left" w:pos="16121"/>
        </w:tabs>
        <w:spacing w:line="480" w:lineRule="auto"/>
        <w:jc w:val="both"/>
        <w:rPr>
          <w:rFonts w:asciiTheme="majorBidi" w:hAnsiTheme="majorBidi" w:cstheme="majorBidi"/>
        </w:rPr>
      </w:pPr>
    </w:p>
    <w:p w14:paraId="05A14AC3" w14:textId="56C84332" w:rsidR="003C4658" w:rsidRDefault="003C4658" w:rsidP="006B5923">
      <w:pPr>
        <w:tabs>
          <w:tab w:val="left" w:pos="16121"/>
        </w:tabs>
        <w:spacing w:line="480" w:lineRule="auto"/>
        <w:jc w:val="both"/>
        <w:rPr>
          <w:rFonts w:asciiTheme="majorBidi" w:hAnsiTheme="majorBidi" w:cstheme="majorBidi"/>
        </w:rPr>
      </w:pPr>
    </w:p>
    <w:p w14:paraId="6A1D72B1" w14:textId="77777777" w:rsidR="005A6A69" w:rsidRDefault="005A6A69" w:rsidP="005A6A69">
      <w:pPr>
        <w:spacing w:line="480" w:lineRule="auto"/>
        <w:jc w:val="both"/>
        <w:rPr>
          <w:rFonts w:asciiTheme="majorBidi" w:eastAsia="Times New Roman" w:hAnsiTheme="majorBidi" w:cstheme="majorBidi"/>
          <w:b/>
          <w:bCs/>
          <w:color w:val="000000"/>
          <w:kern w:val="0"/>
          <w14:ligatures w14:val="none"/>
        </w:rPr>
      </w:pPr>
    </w:p>
    <w:p w14:paraId="65173F51" w14:textId="2186C484" w:rsidR="003C4658" w:rsidRPr="005A6A69" w:rsidRDefault="005A6A69" w:rsidP="005A6A69">
      <w:pPr>
        <w:spacing w:line="480" w:lineRule="auto"/>
        <w:jc w:val="both"/>
        <w:rPr>
          <w:rFonts w:asciiTheme="majorBidi" w:eastAsia="Times New Roman" w:hAnsiTheme="majorBidi" w:cstheme="majorBidi"/>
          <w:color w:val="000000"/>
          <w:kern w:val="0"/>
          <w14:ligatures w14:val="none"/>
        </w:rPr>
      </w:pPr>
      <w:r w:rsidRPr="00B90600">
        <w:rPr>
          <w:rFonts w:asciiTheme="majorBidi" w:eastAsia="Times New Roman" w:hAnsiTheme="majorBidi" w:cstheme="majorBidi"/>
          <w:b/>
          <w:bCs/>
          <w:color w:val="000000"/>
          <w:kern w:val="0"/>
          <w14:ligatures w14:val="none"/>
        </w:rPr>
        <w:t>Table S4.</w:t>
      </w:r>
      <w:r w:rsidRPr="00B90600">
        <w:rPr>
          <w:rFonts w:asciiTheme="majorBidi" w:eastAsia="Times New Roman" w:hAnsiTheme="majorBidi" w:cstheme="majorBidi"/>
          <w:color w:val="000000"/>
          <w:kern w:val="0"/>
          <w14:ligatures w14:val="none"/>
        </w:rPr>
        <w:t xml:space="preserve"> Predicted change in protein–protein interaction affinity (</w:t>
      </w:r>
      <w:proofErr w:type="spellStart"/>
      <w:r w:rsidRPr="00B90600">
        <w:rPr>
          <w:rFonts w:asciiTheme="majorBidi" w:eastAsia="Times New Roman" w:hAnsiTheme="majorBidi" w:cstheme="majorBidi"/>
          <w:color w:val="000000"/>
          <w:kern w:val="0"/>
          <w14:ligatures w14:val="none"/>
        </w:rPr>
        <w:t>ΔΔG</w:t>
      </w:r>
      <w:r w:rsidRPr="00B90600">
        <w:rPr>
          <w:rFonts w:asciiTheme="majorBidi" w:eastAsia="Times New Roman" w:hAnsiTheme="majorBidi" w:cstheme="majorBidi"/>
          <w:color w:val="000000"/>
          <w:kern w:val="0"/>
          <w:vertAlign w:val="superscript"/>
          <w14:ligatures w14:val="none"/>
        </w:rPr>
        <w:t>Affinity</w:t>
      </w:r>
      <w:proofErr w:type="spellEnd"/>
      <w:r w:rsidRPr="00B90600">
        <w:rPr>
          <w:rFonts w:asciiTheme="majorBidi" w:eastAsia="Times New Roman" w:hAnsiTheme="majorBidi" w:cstheme="majorBidi"/>
          <w:color w:val="000000"/>
          <w:kern w:val="0"/>
          <w14:ligatures w14:val="none"/>
        </w:rPr>
        <w:t xml:space="preserve">, kcal/mol) for </w:t>
      </w:r>
      <w:r w:rsidR="00533ABD">
        <w:rPr>
          <w:rFonts w:asciiTheme="majorBidi" w:eastAsia="Times New Roman" w:hAnsiTheme="majorBidi" w:cstheme="majorBidi"/>
          <w:color w:val="000000"/>
          <w:kern w:val="0"/>
          <w14:ligatures w14:val="none"/>
        </w:rPr>
        <w:t>SNAPC4</w:t>
      </w:r>
      <w:r w:rsidRPr="00B90600">
        <w:rPr>
          <w:rFonts w:asciiTheme="majorBidi" w:eastAsia="Times New Roman" w:hAnsiTheme="majorBidi" w:cstheme="majorBidi"/>
          <w:color w:val="000000"/>
          <w:kern w:val="0"/>
          <w14:ligatures w14:val="none"/>
        </w:rPr>
        <w:t xml:space="preserve"> variants in selected complexes. Negative values indicate reduced affinity.</w:t>
      </w:r>
    </w:p>
    <w:tbl>
      <w:tblPr>
        <w:tblStyle w:val="ListTable6Colorful"/>
        <w:tblW w:w="20410" w:type="dxa"/>
        <w:tblLook w:val="04A0" w:firstRow="1" w:lastRow="0" w:firstColumn="1" w:lastColumn="0" w:noHBand="0" w:noVBand="1"/>
      </w:tblPr>
      <w:tblGrid>
        <w:gridCol w:w="5102"/>
        <w:gridCol w:w="2744"/>
        <w:gridCol w:w="6092"/>
        <w:gridCol w:w="6472"/>
      </w:tblGrid>
      <w:tr w:rsidR="003C4658" w:rsidRPr="00B90600" w14:paraId="2D90101B" w14:textId="77777777" w:rsidTr="00A74455">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5102" w:type="dxa"/>
          </w:tcPr>
          <w:p w14:paraId="3A6957F1" w14:textId="77777777" w:rsidR="003C4658" w:rsidRPr="00B90600" w:rsidRDefault="003C4658" w:rsidP="00684280">
            <w:pPr>
              <w:jc w:val="center"/>
              <w:rPr>
                <w:rFonts w:asciiTheme="majorBidi" w:eastAsia="Times New Roman" w:hAnsiTheme="majorBidi" w:cstheme="majorBidi"/>
                <w:b w:val="0"/>
                <w:bCs w:val="0"/>
                <w:color w:val="000000"/>
                <w:kern w:val="0"/>
                <w14:ligatures w14:val="none"/>
              </w:rPr>
            </w:pPr>
            <w:r w:rsidRPr="00B90600">
              <w:rPr>
                <w:rFonts w:asciiTheme="majorBidi" w:hAnsiTheme="majorBidi" w:cstheme="majorBidi"/>
              </w:rPr>
              <w:t>Complex name</w:t>
            </w:r>
          </w:p>
        </w:tc>
        <w:tc>
          <w:tcPr>
            <w:tcW w:w="2744" w:type="dxa"/>
          </w:tcPr>
          <w:p w14:paraId="765F89C5" w14:textId="77777777" w:rsidR="003C4658" w:rsidRPr="00B90600" w:rsidRDefault="003C4658" w:rsidP="0068428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kern w:val="0"/>
                <w14:ligatures w14:val="none"/>
              </w:rPr>
            </w:pPr>
            <w:r w:rsidRPr="00B90600">
              <w:rPr>
                <w:rFonts w:asciiTheme="majorBidi" w:hAnsiTheme="majorBidi" w:cstheme="majorBidi"/>
              </w:rPr>
              <w:t>Variant</w:t>
            </w:r>
          </w:p>
        </w:tc>
        <w:tc>
          <w:tcPr>
            <w:tcW w:w="6092" w:type="dxa"/>
          </w:tcPr>
          <w:p w14:paraId="4A3546DF" w14:textId="77777777" w:rsidR="003C4658" w:rsidRPr="00B90600" w:rsidRDefault="003C4658" w:rsidP="0068428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14:ligatures w14:val="none"/>
              </w:rPr>
            </w:pPr>
            <w:proofErr w:type="spellStart"/>
            <w:r w:rsidRPr="00B90600">
              <w:rPr>
                <w:rFonts w:asciiTheme="majorBidi" w:eastAsia="Times New Roman" w:hAnsiTheme="majorBidi" w:cstheme="majorBidi"/>
                <w:kern w:val="0"/>
                <w14:ligatures w14:val="none"/>
              </w:rPr>
              <w:t>ΔΔG</w:t>
            </w:r>
            <w:r w:rsidRPr="00B90600">
              <w:rPr>
                <w:rFonts w:asciiTheme="majorBidi" w:eastAsia="Times New Roman" w:hAnsiTheme="majorBidi" w:cstheme="majorBidi"/>
                <w:kern w:val="0"/>
                <w:vertAlign w:val="superscript"/>
                <w14:ligatures w14:val="none"/>
              </w:rPr>
              <w:t>Affinity</w:t>
            </w:r>
            <w:proofErr w:type="spellEnd"/>
            <w:r w:rsidRPr="00B90600">
              <w:rPr>
                <w:rFonts w:asciiTheme="majorBidi" w:eastAsia="Times New Roman" w:hAnsiTheme="majorBidi" w:cstheme="majorBidi"/>
                <w:kern w:val="0"/>
                <w14:ligatures w14:val="none"/>
              </w:rPr>
              <w:t xml:space="preserve"> (mCSM-PPI2)</w:t>
            </w:r>
          </w:p>
        </w:tc>
        <w:tc>
          <w:tcPr>
            <w:tcW w:w="6472" w:type="dxa"/>
          </w:tcPr>
          <w:p w14:paraId="78ECC009" w14:textId="77777777" w:rsidR="003C4658" w:rsidRPr="00B90600" w:rsidRDefault="003C4658" w:rsidP="0068428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14:ligatures w14:val="none"/>
              </w:rPr>
            </w:pPr>
            <w:proofErr w:type="spellStart"/>
            <w:r w:rsidRPr="00B90600">
              <w:rPr>
                <w:rFonts w:asciiTheme="majorBidi" w:eastAsia="Times New Roman" w:hAnsiTheme="majorBidi" w:cstheme="majorBidi"/>
                <w:kern w:val="0"/>
                <w14:ligatures w14:val="none"/>
              </w:rPr>
              <w:t>ΔΔG</w:t>
            </w:r>
            <w:r w:rsidRPr="00B90600">
              <w:rPr>
                <w:rFonts w:asciiTheme="majorBidi" w:eastAsia="Times New Roman" w:hAnsiTheme="majorBidi" w:cstheme="majorBidi"/>
                <w:kern w:val="0"/>
                <w:vertAlign w:val="superscript"/>
                <w14:ligatures w14:val="none"/>
              </w:rPr>
              <w:t>Affinity</w:t>
            </w:r>
            <w:proofErr w:type="spellEnd"/>
            <w:r w:rsidRPr="00B90600">
              <w:rPr>
                <w:rFonts w:asciiTheme="majorBidi" w:eastAsia="Times New Roman" w:hAnsiTheme="majorBidi" w:cstheme="majorBidi"/>
                <w:kern w:val="0"/>
                <w14:ligatures w14:val="none"/>
              </w:rPr>
              <w:t xml:space="preserve"> (</w:t>
            </w:r>
            <w:proofErr w:type="spellStart"/>
            <w:r w:rsidRPr="00B90600">
              <w:rPr>
                <w:rFonts w:asciiTheme="majorBidi" w:eastAsia="Times New Roman" w:hAnsiTheme="majorBidi" w:cstheme="majorBidi"/>
                <w:kern w:val="0"/>
                <w14:ligatures w14:val="none"/>
              </w:rPr>
              <w:t>DDMut</w:t>
            </w:r>
            <w:proofErr w:type="spellEnd"/>
            <w:r w:rsidRPr="00B90600">
              <w:rPr>
                <w:rFonts w:asciiTheme="majorBidi" w:eastAsia="Times New Roman" w:hAnsiTheme="majorBidi" w:cstheme="majorBidi"/>
                <w:kern w:val="0"/>
                <w14:ligatures w14:val="none"/>
              </w:rPr>
              <w:t>-PPI)</w:t>
            </w:r>
          </w:p>
        </w:tc>
      </w:tr>
      <w:tr w:rsidR="00A74455" w:rsidRPr="00B90600" w14:paraId="1B096976" w14:textId="77777777" w:rsidTr="00A74455">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5102" w:type="dxa"/>
            <w:vMerge w:val="restart"/>
          </w:tcPr>
          <w:p w14:paraId="0AC6B8F3" w14:textId="77777777" w:rsidR="003C4658" w:rsidRPr="00B90600" w:rsidRDefault="003C4658" w:rsidP="00684280">
            <w:pPr>
              <w:jc w:val="center"/>
              <w:rPr>
                <w:rFonts w:asciiTheme="majorBidi" w:eastAsia="Times New Roman" w:hAnsiTheme="majorBidi" w:cstheme="majorBidi"/>
                <w:color w:val="000000"/>
                <w:kern w:val="0"/>
                <w14:ligatures w14:val="none"/>
              </w:rPr>
            </w:pPr>
            <w:proofErr w:type="spellStart"/>
            <w:r w:rsidRPr="00B90600">
              <w:rPr>
                <w:rFonts w:asciiTheme="majorBidi" w:eastAsia="Times New Roman" w:hAnsiTheme="majorBidi" w:cstheme="majorBidi"/>
                <w:color w:val="000000"/>
                <w:kern w:val="0"/>
                <w14:ligatures w14:val="none"/>
              </w:rPr>
              <w:t>SNAPc</w:t>
            </w:r>
            <w:proofErr w:type="spellEnd"/>
            <w:r w:rsidRPr="00B90600">
              <w:rPr>
                <w:rFonts w:asciiTheme="majorBidi" w:eastAsia="Times New Roman" w:hAnsiTheme="majorBidi" w:cstheme="majorBidi"/>
                <w:color w:val="000000"/>
                <w:kern w:val="0"/>
                <w14:ligatures w14:val="none"/>
              </w:rPr>
              <w:t>-containing RNA polymerase II pre-initiation complex bound to U1 snRNA promoter</w:t>
            </w:r>
          </w:p>
        </w:tc>
        <w:tc>
          <w:tcPr>
            <w:tcW w:w="2744" w:type="dxa"/>
          </w:tcPr>
          <w:p w14:paraId="04B1ED4A" w14:textId="77777777" w:rsidR="003C4658" w:rsidRPr="00B90600" w:rsidRDefault="003C4658" w:rsidP="0068428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B90600">
              <w:rPr>
                <w:rFonts w:asciiTheme="majorBidi" w:hAnsiTheme="majorBidi" w:cstheme="majorBidi"/>
              </w:rPr>
              <w:t>D164H</w:t>
            </w:r>
          </w:p>
        </w:tc>
        <w:tc>
          <w:tcPr>
            <w:tcW w:w="6092" w:type="dxa"/>
          </w:tcPr>
          <w:p w14:paraId="38E8ED66" w14:textId="77777777" w:rsidR="003C4658" w:rsidRPr="00B90600" w:rsidRDefault="003C4658" w:rsidP="0068428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B90600">
              <w:rPr>
                <w:rFonts w:asciiTheme="majorBidi" w:hAnsiTheme="majorBidi" w:cstheme="majorBidi"/>
              </w:rPr>
              <w:t>-1.053</w:t>
            </w:r>
          </w:p>
        </w:tc>
        <w:tc>
          <w:tcPr>
            <w:tcW w:w="6472" w:type="dxa"/>
          </w:tcPr>
          <w:p w14:paraId="5AE840C3" w14:textId="77777777" w:rsidR="003C4658" w:rsidRPr="00B90600" w:rsidRDefault="003C4658" w:rsidP="0068428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B90600">
              <w:rPr>
                <w:rFonts w:asciiTheme="majorBidi" w:hAnsiTheme="majorBidi" w:cstheme="majorBidi"/>
              </w:rPr>
              <w:t>-0.477</w:t>
            </w:r>
          </w:p>
        </w:tc>
      </w:tr>
      <w:tr w:rsidR="003C4658" w:rsidRPr="00B90600" w14:paraId="1768BBA7" w14:textId="77777777" w:rsidTr="00A74455">
        <w:trPr>
          <w:trHeight w:val="775"/>
        </w:trPr>
        <w:tc>
          <w:tcPr>
            <w:cnfStyle w:val="001000000000" w:firstRow="0" w:lastRow="0" w:firstColumn="1" w:lastColumn="0" w:oddVBand="0" w:evenVBand="0" w:oddHBand="0" w:evenHBand="0" w:firstRowFirstColumn="0" w:firstRowLastColumn="0" w:lastRowFirstColumn="0" w:lastRowLastColumn="0"/>
            <w:tcW w:w="5102" w:type="dxa"/>
            <w:vMerge/>
          </w:tcPr>
          <w:p w14:paraId="531F8791" w14:textId="77777777" w:rsidR="003C4658" w:rsidRPr="00B90600" w:rsidRDefault="003C4658" w:rsidP="00684280">
            <w:pPr>
              <w:jc w:val="center"/>
              <w:rPr>
                <w:rFonts w:asciiTheme="majorBidi" w:eastAsia="Times New Roman" w:hAnsiTheme="majorBidi" w:cstheme="majorBidi"/>
                <w:color w:val="000000"/>
                <w:kern w:val="0"/>
                <w14:ligatures w14:val="none"/>
              </w:rPr>
            </w:pPr>
          </w:p>
        </w:tc>
        <w:tc>
          <w:tcPr>
            <w:tcW w:w="2744" w:type="dxa"/>
          </w:tcPr>
          <w:p w14:paraId="7BA0AC40" w14:textId="77777777" w:rsidR="003C4658" w:rsidRPr="00B90600" w:rsidRDefault="003C4658" w:rsidP="0068428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B90600">
              <w:rPr>
                <w:rFonts w:asciiTheme="majorBidi" w:hAnsiTheme="majorBidi" w:cstheme="majorBidi"/>
              </w:rPr>
              <w:t>L305Q</w:t>
            </w:r>
          </w:p>
        </w:tc>
        <w:tc>
          <w:tcPr>
            <w:tcW w:w="6092" w:type="dxa"/>
          </w:tcPr>
          <w:p w14:paraId="5DFD06A3" w14:textId="77777777" w:rsidR="003C4658" w:rsidRPr="00B90600" w:rsidRDefault="003C4658" w:rsidP="0068428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B90600">
              <w:rPr>
                <w:rFonts w:asciiTheme="majorBidi" w:hAnsiTheme="majorBidi" w:cstheme="majorBidi"/>
              </w:rPr>
              <w:t>-0.425</w:t>
            </w:r>
          </w:p>
        </w:tc>
        <w:tc>
          <w:tcPr>
            <w:tcW w:w="6472" w:type="dxa"/>
          </w:tcPr>
          <w:p w14:paraId="4EF490ED" w14:textId="77777777" w:rsidR="003C4658" w:rsidRPr="00B90600" w:rsidRDefault="003C4658" w:rsidP="0068428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B90600">
              <w:rPr>
                <w:rFonts w:asciiTheme="majorBidi" w:hAnsiTheme="majorBidi" w:cstheme="majorBidi"/>
              </w:rPr>
              <w:t>-0.442</w:t>
            </w:r>
          </w:p>
        </w:tc>
      </w:tr>
      <w:tr w:rsidR="00A74455" w:rsidRPr="00B90600" w14:paraId="533B1012" w14:textId="77777777" w:rsidTr="00A74455">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5102" w:type="dxa"/>
            <w:vMerge/>
          </w:tcPr>
          <w:p w14:paraId="27F3AA32" w14:textId="77777777" w:rsidR="003C4658" w:rsidRPr="00B90600" w:rsidRDefault="003C4658" w:rsidP="00684280">
            <w:pPr>
              <w:jc w:val="center"/>
              <w:rPr>
                <w:rFonts w:asciiTheme="majorBidi" w:eastAsia="Times New Roman" w:hAnsiTheme="majorBidi" w:cstheme="majorBidi"/>
                <w:color w:val="000000"/>
                <w:kern w:val="0"/>
                <w14:ligatures w14:val="none"/>
              </w:rPr>
            </w:pPr>
          </w:p>
        </w:tc>
        <w:tc>
          <w:tcPr>
            <w:tcW w:w="2744" w:type="dxa"/>
          </w:tcPr>
          <w:p w14:paraId="49D5004D" w14:textId="77777777" w:rsidR="003C4658" w:rsidRPr="00B90600" w:rsidRDefault="003C4658" w:rsidP="0068428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B90600">
              <w:rPr>
                <w:rFonts w:asciiTheme="majorBidi" w:hAnsiTheme="majorBidi" w:cstheme="majorBidi"/>
              </w:rPr>
              <w:t>T358M</w:t>
            </w:r>
          </w:p>
        </w:tc>
        <w:tc>
          <w:tcPr>
            <w:tcW w:w="6092" w:type="dxa"/>
          </w:tcPr>
          <w:p w14:paraId="0B797666" w14:textId="77777777" w:rsidR="003C4658" w:rsidRPr="00B90600" w:rsidRDefault="003C4658" w:rsidP="0068428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B90600">
              <w:rPr>
                <w:rFonts w:asciiTheme="majorBidi" w:hAnsiTheme="majorBidi" w:cstheme="majorBidi"/>
              </w:rPr>
              <w:t>-0.046</w:t>
            </w:r>
          </w:p>
        </w:tc>
        <w:tc>
          <w:tcPr>
            <w:tcW w:w="6472" w:type="dxa"/>
          </w:tcPr>
          <w:p w14:paraId="4DBFD429" w14:textId="77777777" w:rsidR="003C4658" w:rsidRPr="00B90600" w:rsidRDefault="003C4658" w:rsidP="0068428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B90600">
              <w:rPr>
                <w:rFonts w:asciiTheme="majorBidi" w:hAnsiTheme="majorBidi" w:cstheme="majorBidi"/>
              </w:rPr>
              <w:t>-0.146</w:t>
            </w:r>
          </w:p>
        </w:tc>
      </w:tr>
      <w:tr w:rsidR="003C4658" w:rsidRPr="00B90600" w14:paraId="2FE21279" w14:textId="77777777" w:rsidTr="00A74455">
        <w:trPr>
          <w:trHeight w:val="664"/>
        </w:trPr>
        <w:tc>
          <w:tcPr>
            <w:cnfStyle w:val="001000000000" w:firstRow="0" w:lastRow="0" w:firstColumn="1" w:lastColumn="0" w:oddVBand="0" w:evenVBand="0" w:oddHBand="0" w:evenHBand="0" w:firstRowFirstColumn="0" w:firstRowLastColumn="0" w:lastRowFirstColumn="0" w:lastRowLastColumn="0"/>
            <w:tcW w:w="5102" w:type="dxa"/>
            <w:vMerge w:val="restart"/>
          </w:tcPr>
          <w:p w14:paraId="1BE460F4" w14:textId="77777777" w:rsidR="003C4658" w:rsidRPr="00B90600" w:rsidRDefault="003C4658" w:rsidP="00684280">
            <w:pPr>
              <w:jc w:val="center"/>
              <w:rPr>
                <w:rFonts w:asciiTheme="majorBidi" w:eastAsia="Times New Roman" w:hAnsiTheme="majorBidi" w:cstheme="majorBidi"/>
                <w:color w:val="000000"/>
                <w:kern w:val="0"/>
                <w14:ligatures w14:val="none"/>
              </w:rPr>
            </w:pPr>
            <w:proofErr w:type="spellStart"/>
            <w:r w:rsidRPr="00B90600">
              <w:rPr>
                <w:rFonts w:asciiTheme="majorBidi" w:eastAsia="Times New Roman" w:hAnsiTheme="majorBidi" w:cstheme="majorBidi"/>
                <w:color w:val="000000"/>
                <w:kern w:val="0"/>
                <w14:ligatures w14:val="none"/>
              </w:rPr>
              <w:t>SNAPc:TBP</w:t>
            </w:r>
            <w:proofErr w:type="spellEnd"/>
            <w:r w:rsidRPr="00B90600">
              <w:rPr>
                <w:rFonts w:asciiTheme="majorBidi" w:eastAsia="Times New Roman" w:hAnsiTheme="majorBidi" w:cstheme="majorBidi"/>
                <w:color w:val="000000"/>
                <w:kern w:val="0"/>
                <w14:ligatures w14:val="none"/>
              </w:rPr>
              <w:t xml:space="preserve">–TFIIA–TFIIB sub-complex bound to U5 snRNA promoter </w:t>
            </w:r>
          </w:p>
        </w:tc>
        <w:tc>
          <w:tcPr>
            <w:tcW w:w="2744" w:type="dxa"/>
          </w:tcPr>
          <w:p w14:paraId="23681F06" w14:textId="77777777" w:rsidR="003C4658" w:rsidRPr="00B90600" w:rsidRDefault="003C4658" w:rsidP="0068428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B90600">
              <w:rPr>
                <w:rFonts w:asciiTheme="majorBidi" w:hAnsiTheme="majorBidi" w:cstheme="majorBidi"/>
              </w:rPr>
              <w:t>D164H</w:t>
            </w:r>
          </w:p>
        </w:tc>
        <w:tc>
          <w:tcPr>
            <w:tcW w:w="6092" w:type="dxa"/>
          </w:tcPr>
          <w:p w14:paraId="6C7AED5D" w14:textId="77777777" w:rsidR="003C4658" w:rsidRPr="00B90600" w:rsidRDefault="003C4658" w:rsidP="0068428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B90600">
              <w:rPr>
                <w:rFonts w:asciiTheme="majorBidi" w:hAnsiTheme="majorBidi" w:cstheme="majorBidi"/>
              </w:rPr>
              <w:t>-0.226</w:t>
            </w:r>
          </w:p>
        </w:tc>
        <w:tc>
          <w:tcPr>
            <w:tcW w:w="6472" w:type="dxa"/>
          </w:tcPr>
          <w:p w14:paraId="42F0EDDD" w14:textId="77777777" w:rsidR="003C4658" w:rsidRPr="00B90600" w:rsidRDefault="003C4658" w:rsidP="0068428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B90600">
              <w:rPr>
                <w:rFonts w:asciiTheme="majorBidi" w:hAnsiTheme="majorBidi" w:cstheme="majorBidi"/>
              </w:rPr>
              <w:t>-0.396</w:t>
            </w:r>
          </w:p>
        </w:tc>
      </w:tr>
      <w:tr w:rsidR="00A74455" w:rsidRPr="00B90600" w14:paraId="112FC3B1" w14:textId="77777777" w:rsidTr="00A74455">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5102" w:type="dxa"/>
            <w:vMerge/>
          </w:tcPr>
          <w:p w14:paraId="0EEB87F9" w14:textId="77777777" w:rsidR="003C4658" w:rsidRPr="00B90600" w:rsidRDefault="003C4658" w:rsidP="00684280">
            <w:pPr>
              <w:jc w:val="center"/>
              <w:rPr>
                <w:rFonts w:asciiTheme="majorBidi" w:eastAsia="Times New Roman" w:hAnsiTheme="majorBidi" w:cstheme="majorBidi"/>
                <w:color w:val="000000"/>
                <w:kern w:val="0"/>
                <w14:ligatures w14:val="none"/>
              </w:rPr>
            </w:pPr>
          </w:p>
        </w:tc>
        <w:tc>
          <w:tcPr>
            <w:tcW w:w="2744" w:type="dxa"/>
          </w:tcPr>
          <w:p w14:paraId="7CCC1107" w14:textId="77777777" w:rsidR="003C4658" w:rsidRPr="00B90600" w:rsidRDefault="003C4658" w:rsidP="0068428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B90600">
              <w:rPr>
                <w:rFonts w:asciiTheme="majorBidi" w:hAnsiTheme="majorBidi" w:cstheme="majorBidi"/>
              </w:rPr>
              <w:t>L305Q</w:t>
            </w:r>
          </w:p>
        </w:tc>
        <w:tc>
          <w:tcPr>
            <w:tcW w:w="6092" w:type="dxa"/>
          </w:tcPr>
          <w:p w14:paraId="3BB634E0" w14:textId="77777777" w:rsidR="003C4658" w:rsidRPr="00B90600" w:rsidRDefault="003C4658" w:rsidP="0068428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B90600">
              <w:rPr>
                <w:rFonts w:asciiTheme="majorBidi" w:hAnsiTheme="majorBidi" w:cstheme="majorBidi"/>
              </w:rPr>
              <w:t>-0.391</w:t>
            </w:r>
          </w:p>
        </w:tc>
        <w:tc>
          <w:tcPr>
            <w:tcW w:w="6472" w:type="dxa"/>
          </w:tcPr>
          <w:p w14:paraId="58174E9D" w14:textId="77777777" w:rsidR="003C4658" w:rsidRPr="00B90600" w:rsidRDefault="003C4658" w:rsidP="0068428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B90600">
              <w:rPr>
                <w:rFonts w:asciiTheme="majorBidi" w:hAnsiTheme="majorBidi" w:cstheme="majorBidi"/>
              </w:rPr>
              <w:t>-0.331</w:t>
            </w:r>
          </w:p>
        </w:tc>
      </w:tr>
      <w:tr w:rsidR="003C4658" w:rsidRPr="00B90600" w14:paraId="59637361" w14:textId="77777777" w:rsidTr="00A74455">
        <w:trPr>
          <w:trHeight w:val="1043"/>
        </w:trPr>
        <w:tc>
          <w:tcPr>
            <w:cnfStyle w:val="001000000000" w:firstRow="0" w:lastRow="0" w:firstColumn="1" w:lastColumn="0" w:oddVBand="0" w:evenVBand="0" w:oddHBand="0" w:evenHBand="0" w:firstRowFirstColumn="0" w:firstRowLastColumn="0" w:lastRowFirstColumn="0" w:lastRowLastColumn="0"/>
            <w:tcW w:w="5102" w:type="dxa"/>
            <w:vMerge/>
          </w:tcPr>
          <w:p w14:paraId="70730AEE" w14:textId="77777777" w:rsidR="003C4658" w:rsidRPr="00B90600" w:rsidRDefault="003C4658" w:rsidP="00684280">
            <w:pPr>
              <w:jc w:val="center"/>
              <w:rPr>
                <w:rFonts w:asciiTheme="majorBidi" w:eastAsia="Times New Roman" w:hAnsiTheme="majorBidi" w:cstheme="majorBidi"/>
                <w:color w:val="000000"/>
                <w:kern w:val="0"/>
                <w14:ligatures w14:val="none"/>
              </w:rPr>
            </w:pPr>
          </w:p>
        </w:tc>
        <w:tc>
          <w:tcPr>
            <w:tcW w:w="2744" w:type="dxa"/>
          </w:tcPr>
          <w:p w14:paraId="08773E0E" w14:textId="77777777" w:rsidR="003C4658" w:rsidRPr="00B90600" w:rsidRDefault="003C4658" w:rsidP="0068428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B90600">
              <w:rPr>
                <w:rFonts w:asciiTheme="majorBidi" w:hAnsiTheme="majorBidi" w:cstheme="majorBidi"/>
              </w:rPr>
              <w:t>T358M</w:t>
            </w:r>
          </w:p>
        </w:tc>
        <w:tc>
          <w:tcPr>
            <w:tcW w:w="6092" w:type="dxa"/>
          </w:tcPr>
          <w:p w14:paraId="619460A5" w14:textId="77777777" w:rsidR="003C4658" w:rsidRPr="00B90600" w:rsidRDefault="003C4658" w:rsidP="0068428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B90600">
              <w:rPr>
                <w:rFonts w:asciiTheme="majorBidi" w:hAnsiTheme="majorBidi" w:cstheme="majorBidi"/>
              </w:rPr>
              <w:t>-0.157</w:t>
            </w:r>
          </w:p>
        </w:tc>
        <w:tc>
          <w:tcPr>
            <w:tcW w:w="6472" w:type="dxa"/>
          </w:tcPr>
          <w:p w14:paraId="144C97AD" w14:textId="77777777" w:rsidR="003C4658" w:rsidRPr="00B90600" w:rsidRDefault="003C4658" w:rsidP="0068428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B90600">
              <w:rPr>
                <w:rFonts w:asciiTheme="majorBidi" w:hAnsiTheme="majorBidi" w:cstheme="majorBidi"/>
              </w:rPr>
              <w:t>-0.064</w:t>
            </w:r>
          </w:p>
        </w:tc>
      </w:tr>
    </w:tbl>
    <w:p w14:paraId="361E4894" w14:textId="77777777" w:rsidR="003C4658" w:rsidRPr="00B90600" w:rsidRDefault="003C4658" w:rsidP="006B5923">
      <w:pPr>
        <w:tabs>
          <w:tab w:val="left" w:pos="16121"/>
        </w:tabs>
        <w:spacing w:line="480" w:lineRule="auto"/>
        <w:jc w:val="both"/>
        <w:rPr>
          <w:rFonts w:asciiTheme="majorBidi" w:hAnsiTheme="majorBidi" w:cstheme="majorBidi"/>
        </w:rPr>
      </w:pPr>
    </w:p>
    <w:p w14:paraId="553A3D04" w14:textId="77777777" w:rsidR="005A6A69" w:rsidRDefault="005A6A69" w:rsidP="005A6A69">
      <w:pPr>
        <w:ind w:left="360"/>
        <w:rPr>
          <w:rFonts w:asciiTheme="majorBidi" w:hAnsiTheme="majorBidi" w:cstheme="majorBidi"/>
          <w:b/>
          <w:bCs/>
          <w:sz w:val="28"/>
          <w:szCs w:val="28"/>
        </w:rPr>
      </w:pPr>
    </w:p>
    <w:p w14:paraId="5A8ABE05" w14:textId="77777777" w:rsidR="005A6A69" w:rsidRDefault="005A6A69" w:rsidP="005A6A69">
      <w:pPr>
        <w:ind w:left="360"/>
        <w:rPr>
          <w:rFonts w:asciiTheme="majorBidi" w:hAnsiTheme="majorBidi" w:cstheme="majorBidi"/>
          <w:b/>
          <w:bCs/>
          <w:sz w:val="28"/>
          <w:szCs w:val="28"/>
        </w:rPr>
      </w:pPr>
    </w:p>
    <w:p w14:paraId="3E435C33" w14:textId="77777777" w:rsidR="005A6A69" w:rsidRDefault="005A6A69" w:rsidP="005A6A69">
      <w:pPr>
        <w:ind w:left="360"/>
        <w:rPr>
          <w:rFonts w:asciiTheme="majorBidi" w:hAnsiTheme="majorBidi" w:cstheme="majorBidi"/>
          <w:b/>
          <w:bCs/>
          <w:sz w:val="28"/>
          <w:szCs w:val="28"/>
        </w:rPr>
      </w:pPr>
    </w:p>
    <w:p w14:paraId="3D1E74AF" w14:textId="77777777" w:rsidR="005A6A69" w:rsidRDefault="005A6A69" w:rsidP="005A6A69">
      <w:pPr>
        <w:ind w:left="360"/>
        <w:rPr>
          <w:rFonts w:asciiTheme="majorBidi" w:hAnsiTheme="majorBidi" w:cstheme="majorBidi"/>
          <w:b/>
          <w:bCs/>
          <w:sz w:val="28"/>
          <w:szCs w:val="28"/>
        </w:rPr>
      </w:pPr>
    </w:p>
    <w:p w14:paraId="49BEEE67" w14:textId="77777777" w:rsidR="005A6A69" w:rsidRDefault="005A6A69" w:rsidP="005A6A69">
      <w:pPr>
        <w:ind w:left="360"/>
        <w:rPr>
          <w:rFonts w:asciiTheme="majorBidi" w:hAnsiTheme="majorBidi" w:cstheme="majorBidi"/>
          <w:b/>
          <w:bCs/>
          <w:sz w:val="28"/>
          <w:szCs w:val="28"/>
        </w:rPr>
      </w:pPr>
    </w:p>
    <w:p w14:paraId="17CC01E4" w14:textId="77777777" w:rsidR="005A6A69" w:rsidRDefault="005A6A69" w:rsidP="005A6A69">
      <w:pPr>
        <w:ind w:left="360"/>
        <w:rPr>
          <w:rFonts w:asciiTheme="majorBidi" w:hAnsiTheme="majorBidi" w:cstheme="majorBidi"/>
          <w:b/>
          <w:bCs/>
          <w:sz w:val="28"/>
          <w:szCs w:val="28"/>
        </w:rPr>
      </w:pPr>
    </w:p>
    <w:p w14:paraId="7B75AB93" w14:textId="77777777" w:rsidR="005A6A69" w:rsidRDefault="005A6A69" w:rsidP="005A6A69">
      <w:pPr>
        <w:ind w:left="360"/>
        <w:rPr>
          <w:rFonts w:asciiTheme="majorBidi" w:hAnsiTheme="majorBidi" w:cstheme="majorBidi"/>
          <w:b/>
          <w:bCs/>
          <w:sz w:val="28"/>
          <w:szCs w:val="28"/>
        </w:rPr>
      </w:pPr>
    </w:p>
    <w:p w14:paraId="0A877CB8" w14:textId="77777777" w:rsidR="005A6A69" w:rsidRDefault="005A6A69" w:rsidP="005A6A69">
      <w:pPr>
        <w:ind w:left="360"/>
        <w:rPr>
          <w:rFonts w:asciiTheme="majorBidi" w:hAnsiTheme="majorBidi" w:cstheme="majorBidi"/>
          <w:b/>
          <w:bCs/>
          <w:sz w:val="28"/>
          <w:szCs w:val="28"/>
        </w:rPr>
      </w:pPr>
    </w:p>
    <w:p w14:paraId="41D1680C" w14:textId="77777777" w:rsidR="005A6A69" w:rsidRDefault="005A6A69" w:rsidP="005A6A69">
      <w:pPr>
        <w:ind w:left="360"/>
        <w:rPr>
          <w:rFonts w:asciiTheme="majorBidi" w:hAnsiTheme="majorBidi" w:cstheme="majorBidi"/>
          <w:b/>
          <w:bCs/>
          <w:sz w:val="28"/>
          <w:szCs w:val="28"/>
        </w:rPr>
      </w:pPr>
    </w:p>
    <w:p w14:paraId="7C06A325" w14:textId="77777777" w:rsidR="005A6A69" w:rsidRDefault="005A6A69" w:rsidP="005A6A69">
      <w:pPr>
        <w:ind w:left="360"/>
        <w:rPr>
          <w:rFonts w:asciiTheme="majorBidi" w:hAnsiTheme="majorBidi" w:cstheme="majorBidi"/>
          <w:b/>
          <w:bCs/>
          <w:sz w:val="28"/>
          <w:szCs w:val="28"/>
        </w:rPr>
      </w:pPr>
    </w:p>
    <w:p w14:paraId="130328DE" w14:textId="77777777" w:rsidR="005A6A69" w:rsidRDefault="005A6A69" w:rsidP="005A6A69">
      <w:pPr>
        <w:ind w:left="360"/>
        <w:rPr>
          <w:rFonts w:asciiTheme="majorBidi" w:hAnsiTheme="majorBidi" w:cstheme="majorBidi"/>
          <w:b/>
          <w:bCs/>
          <w:sz w:val="28"/>
          <w:szCs w:val="28"/>
        </w:rPr>
      </w:pPr>
    </w:p>
    <w:p w14:paraId="69D3238F" w14:textId="77777777" w:rsidR="005A6A69" w:rsidRDefault="005A6A69" w:rsidP="005A6A69">
      <w:pPr>
        <w:ind w:left="360"/>
        <w:rPr>
          <w:rFonts w:asciiTheme="majorBidi" w:hAnsiTheme="majorBidi" w:cstheme="majorBidi"/>
          <w:b/>
          <w:bCs/>
          <w:sz w:val="28"/>
          <w:szCs w:val="28"/>
        </w:rPr>
      </w:pPr>
    </w:p>
    <w:p w14:paraId="759C3D66" w14:textId="77777777" w:rsidR="005A6A69" w:rsidRDefault="005A6A69" w:rsidP="005A6A69">
      <w:pPr>
        <w:ind w:left="360"/>
        <w:rPr>
          <w:rFonts w:asciiTheme="majorBidi" w:hAnsiTheme="majorBidi" w:cstheme="majorBidi"/>
          <w:b/>
          <w:bCs/>
          <w:sz w:val="28"/>
          <w:szCs w:val="28"/>
        </w:rPr>
        <w:sectPr w:rsidR="005A6A69" w:rsidSect="00B02D6D">
          <w:pgSz w:w="31680" w:h="15120" w:orient="landscape" w:code="7"/>
          <w:pgMar w:top="1080" w:right="446" w:bottom="360" w:left="547" w:header="720" w:footer="720" w:gutter="0"/>
          <w:cols w:space="720"/>
          <w:docGrid w:linePitch="360"/>
        </w:sectPr>
      </w:pPr>
    </w:p>
    <w:p w14:paraId="6E8BF64B" w14:textId="7D69B113" w:rsidR="005A6A69" w:rsidRPr="005A6A69" w:rsidRDefault="00CE7C7E" w:rsidP="005A6A69">
      <w:pPr>
        <w:ind w:left="360"/>
        <w:rPr>
          <w:rFonts w:asciiTheme="majorBidi" w:hAnsiTheme="majorBidi" w:cstheme="majorBidi"/>
          <w:b/>
          <w:bCs/>
          <w:sz w:val="28"/>
          <w:szCs w:val="28"/>
        </w:rPr>
      </w:pPr>
      <w:r>
        <w:rPr>
          <w:rFonts w:asciiTheme="majorBidi" w:hAnsiTheme="majorBidi" w:cstheme="majorBidi"/>
          <w:b/>
          <w:bCs/>
          <w:sz w:val="28"/>
          <w:szCs w:val="28"/>
        </w:rPr>
        <w:lastRenderedPageBreak/>
        <w:t>4</w:t>
      </w:r>
      <w:r w:rsidR="005A6A69" w:rsidRPr="00887CB0">
        <w:rPr>
          <w:rFonts w:asciiTheme="majorBidi" w:hAnsiTheme="majorBidi" w:cstheme="majorBidi"/>
          <w:b/>
          <w:bCs/>
          <w:sz w:val="28"/>
          <w:szCs w:val="28"/>
        </w:rPr>
        <w:t>. Supplemental Figure</w:t>
      </w:r>
    </w:p>
    <w:p w14:paraId="1CDECED4" w14:textId="4B1E52F3" w:rsidR="005A6A69" w:rsidRDefault="00E45F49" w:rsidP="005A6A69">
      <w:pPr>
        <w:pStyle w:val="Heading2"/>
        <w:spacing w:line="240" w:lineRule="auto"/>
        <w:contextualSpacing/>
        <w:rPr>
          <w:rStyle w:val="Strong"/>
          <w:rFonts w:ascii="Times New Roman" w:hAnsi="Times New Roman" w:cs="Times New Roman"/>
          <w:b w:val="0"/>
          <w:bCs w:val="0"/>
          <w:color w:val="000000"/>
          <w:sz w:val="24"/>
          <w:szCs w:val="24"/>
        </w:rPr>
      </w:pPr>
      <w:r>
        <w:rPr>
          <w:noProof/>
        </w:rPr>
        <w:drawing>
          <wp:inline distT="0" distB="0" distL="0" distR="0" wp14:anchorId="2D2D42B8" wp14:editId="7195A6CF">
            <wp:extent cx="8686800" cy="6080760"/>
            <wp:effectExtent l="0" t="0" r="0" b="0"/>
            <wp:docPr id="1129459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86800" cy="6080760"/>
                    </a:xfrm>
                    <a:prstGeom prst="rect">
                      <a:avLst/>
                    </a:prstGeom>
                    <a:noFill/>
                    <a:ln>
                      <a:noFill/>
                    </a:ln>
                  </pic:spPr>
                </pic:pic>
              </a:graphicData>
            </a:graphic>
          </wp:inline>
        </w:drawing>
      </w:r>
    </w:p>
    <w:p w14:paraId="2AB15AC8" w14:textId="77777777" w:rsidR="005A6A69" w:rsidRDefault="005A6A69" w:rsidP="005A6A69">
      <w:pPr>
        <w:pStyle w:val="Heading2"/>
        <w:spacing w:line="240" w:lineRule="auto"/>
        <w:contextualSpacing/>
        <w:rPr>
          <w:rStyle w:val="Strong"/>
          <w:rFonts w:ascii="Times New Roman" w:hAnsi="Times New Roman" w:cs="Times New Roman"/>
          <w:color w:val="000000"/>
          <w:sz w:val="24"/>
          <w:szCs w:val="24"/>
          <w:highlight w:val="yellow"/>
        </w:rPr>
      </w:pPr>
    </w:p>
    <w:p w14:paraId="24C83A84" w14:textId="6AED85DD" w:rsidR="00887CB0" w:rsidRPr="00887CB0" w:rsidRDefault="00887CB0" w:rsidP="00887CB0">
      <w:pPr>
        <w:rPr>
          <w:rFonts w:ascii="Times New Roman" w:eastAsia="Times New Roman" w:hAnsi="Times New Roman" w:cs="Times New Roman"/>
          <w:b/>
          <w:bCs/>
          <w:color w:val="000000"/>
          <w:kern w:val="0"/>
          <w14:ligatures w14:val="none"/>
        </w:rPr>
      </w:pPr>
      <w:r w:rsidRPr="00887CB0">
        <w:rPr>
          <w:rFonts w:ascii="Times New Roman" w:eastAsia="Times New Roman" w:hAnsi="Times New Roman" w:cs="Times New Roman"/>
          <w:b/>
          <w:bCs/>
          <w:color w:val="000000"/>
          <w:kern w:val="0"/>
          <w14:ligatures w14:val="none"/>
        </w:rPr>
        <w:t xml:space="preserve">Figure S1. </w:t>
      </w:r>
      <w:r w:rsidR="00140330" w:rsidRPr="0073554B">
        <w:rPr>
          <w:rFonts w:asciiTheme="majorBidi" w:eastAsia="Times New Roman" w:hAnsiTheme="majorBidi" w:cstheme="majorBidi"/>
          <w:b/>
          <w:bCs/>
          <w:color w:val="000000"/>
          <w:kern w:val="0"/>
          <w14:ligatures w14:val="none"/>
        </w:rPr>
        <w:t xml:space="preserve">Schematic representation of SNPC4 protein domains and location of selected </w:t>
      </w:r>
      <w:r w:rsidR="00EF64AF">
        <w:rPr>
          <w:rFonts w:asciiTheme="majorBidi" w:eastAsia="Times New Roman" w:hAnsiTheme="majorBidi" w:cstheme="majorBidi"/>
          <w:b/>
          <w:bCs/>
          <w:color w:val="000000"/>
          <w:kern w:val="0"/>
          <w14:ligatures w14:val="none"/>
        </w:rPr>
        <w:t xml:space="preserve">missense </w:t>
      </w:r>
      <w:r w:rsidR="00140330" w:rsidRPr="0073554B">
        <w:rPr>
          <w:rFonts w:asciiTheme="majorBidi" w:eastAsia="Times New Roman" w:hAnsiTheme="majorBidi" w:cstheme="majorBidi"/>
          <w:b/>
          <w:bCs/>
          <w:color w:val="000000"/>
          <w:kern w:val="0"/>
          <w14:ligatures w14:val="none"/>
        </w:rPr>
        <w:t>variants.</w:t>
      </w:r>
    </w:p>
    <w:p w14:paraId="1F4E5561" w14:textId="4E2DBD62" w:rsidR="00140330" w:rsidRPr="00040FE7" w:rsidRDefault="00E45F49" w:rsidP="00E45F49">
      <w:pPr>
        <w:spacing w:line="480" w:lineRule="auto"/>
        <w:rPr>
          <w:rFonts w:asciiTheme="majorBidi" w:eastAsia="Times New Roman" w:hAnsiTheme="majorBidi" w:cstheme="majorBidi"/>
          <w:color w:val="000000"/>
          <w:kern w:val="0"/>
          <w14:ligatures w14:val="none"/>
        </w:rPr>
      </w:pPr>
      <w:r w:rsidRPr="00E45F49">
        <w:rPr>
          <w:rFonts w:asciiTheme="majorBidi" w:eastAsia="Times New Roman" w:hAnsiTheme="majorBidi" w:cstheme="majorBidi"/>
          <w:b/>
          <w:bCs/>
          <w:color w:val="000000"/>
          <w:kern w:val="0"/>
          <w14:ligatures w14:val="none"/>
        </w:rPr>
        <w:t>(A)</w:t>
      </w:r>
      <w:r>
        <w:rPr>
          <w:rFonts w:asciiTheme="majorBidi" w:eastAsia="Times New Roman" w:hAnsiTheme="majorBidi" w:cstheme="majorBidi"/>
          <w:color w:val="000000"/>
          <w:kern w:val="0"/>
          <w14:ligatures w14:val="none"/>
        </w:rPr>
        <w:t xml:space="preserve"> </w:t>
      </w:r>
      <w:r w:rsidR="002B49AD">
        <w:rPr>
          <w:rFonts w:asciiTheme="majorBidi" w:eastAsia="Times New Roman" w:hAnsiTheme="majorBidi" w:cstheme="majorBidi"/>
          <w:color w:val="000000"/>
          <w:kern w:val="0"/>
          <w14:ligatures w14:val="none"/>
        </w:rPr>
        <w:t>Missense v</w:t>
      </w:r>
      <w:r w:rsidR="00E53604" w:rsidRPr="00817B1E">
        <w:rPr>
          <w:rFonts w:asciiTheme="majorBidi" w:eastAsia="Times New Roman" w:hAnsiTheme="majorBidi" w:cstheme="majorBidi"/>
          <w:color w:val="000000"/>
          <w:kern w:val="0"/>
          <w14:ligatures w14:val="none"/>
        </w:rPr>
        <w:t xml:space="preserve">ariants located within the annotated </w:t>
      </w:r>
      <w:proofErr w:type="spellStart"/>
      <w:r w:rsidR="00E53604" w:rsidRPr="00817B1E">
        <w:rPr>
          <w:rFonts w:asciiTheme="majorBidi" w:eastAsia="Times New Roman" w:hAnsiTheme="majorBidi" w:cstheme="majorBidi"/>
          <w:color w:val="000000"/>
          <w:kern w:val="0"/>
          <w14:ligatures w14:val="none"/>
        </w:rPr>
        <w:t>Myb</w:t>
      </w:r>
      <w:proofErr w:type="spellEnd"/>
      <w:r w:rsidR="00E53604" w:rsidRPr="00817B1E">
        <w:rPr>
          <w:rFonts w:asciiTheme="majorBidi" w:eastAsia="Times New Roman" w:hAnsiTheme="majorBidi" w:cstheme="majorBidi"/>
          <w:color w:val="000000"/>
          <w:kern w:val="0"/>
          <w14:ligatures w14:val="none"/>
        </w:rPr>
        <w:t xml:space="preserve">-like and HTH </w:t>
      </w:r>
      <w:proofErr w:type="spellStart"/>
      <w:r w:rsidR="00E53604" w:rsidRPr="00817B1E">
        <w:rPr>
          <w:rFonts w:asciiTheme="majorBidi" w:eastAsia="Times New Roman" w:hAnsiTheme="majorBidi" w:cstheme="majorBidi"/>
          <w:color w:val="000000"/>
          <w:kern w:val="0"/>
          <w14:ligatures w14:val="none"/>
        </w:rPr>
        <w:t>Myb</w:t>
      </w:r>
      <w:proofErr w:type="spellEnd"/>
      <w:r w:rsidR="00E53604" w:rsidRPr="00817B1E">
        <w:rPr>
          <w:rFonts w:asciiTheme="majorBidi" w:eastAsia="Times New Roman" w:hAnsiTheme="majorBidi" w:cstheme="majorBidi"/>
          <w:color w:val="000000"/>
          <w:kern w:val="0"/>
          <w14:ligatures w14:val="none"/>
        </w:rPr>
        <w:t>-type domains, as well as within the SNAPC2-binding region of the full-length SNAPC4 protein, are highlighted.</w:t>
      </w:r>
      <w:r w:rsidR="00140330" w:rsidRPr="00040FE7">
        <w:rPr>
          <w:rFonts w:asciiTheme="majorBidi" w:eastAsia="Times New Roman" w:hAnsiTheme="majorBidi" w:cstheme="majorBidi"/>
          <w:color w:val="000000"/>
          <w:kern w:val="0"/>
          <w14:ligatures w14:val="none"/>
        </w:rPr>
        <w:t xml:space="preserve"> The positions of the variants p.(Leu305Gln), p.(Thr358Met), p.(Ala415Val), p.(Asp436Asn), p.(Ile479Thr), and p.(Pro1375Leu) are shown relative to these domains.</w:t>
      </w:r>
      <w:r>
        <w:rPr>
          <w:rFonts w:asciiTheme="majorBidi" w:eastAsia="Times New Roman" w:hAnsiTheme="majorBidi" w:cstheme="majorBidi"/>
          <w:color w:val="000000"/>
          <w:kern w:val="0"/>
          <w14:ligatures w14:val="none"/>
        </w:rPr>
        <w:t xml:space="preserve"> </w:t>
      </w:r>
      <w:r w:rsidRPr="00E45F49">
        <w:rPr>
          <w:rFonts w:asciiTheme="majorBidi" w:eastAsia="Times New Roman" w:hAnsiTheme="majorBidi" w:cstheme="majorBidi"/>
          <w:b/>
          <w:bCs/>
          <w:color w:val="000000"/>
          <w:kern w:val="0"/>
          <w14:ligatures w14:val="none"/>
        </w:rPr>
        <w:t>(B)</w:t>
      </w:r>
      <w:r>
        <w:rPr>
          <w:rFonts w:asciiTheme="majorBidi" w:eastAsia="Times New Roman" w:hAnsiTheme="majorBidi" w:cstheme="majorBidi"/>
          <w:color w:val="000000"/>
          <w:kern w:val="0"/>
          <w14:ligatures w14:val="none"/>
        </w:rPr>
        <w:t xml:space="preserve"> </w:t>
      </w:r>
      <w:r w:rsidRPr="00E45F49">
        <w:rPr>
          <w:rFonts w:asciiTheme="majorBidi" w:eastAsia="Times New Roman" w:hAnsiTheme="majorBidi" w:cstheme="majorBidi"/>
          <w:color w:val="000000"/>
          <w:kern w:val="0"/>
          <w14:ligatures w14:val="none"/>
        </w:rPr>
        <w:t xml:space="preserve">Location of DNA-binding H-T-H motifs within SNPC4. Variants p.(Asp436Asn) and p.(Ile479Thr) are situated within conserved H-T-H motifs involved in DNA interaction. Domain annotations were extracted from </w:t>
      </w:r>
      <w:proofErr w:type="spellStart"/>
      <w:r w:rsidRPr="00E45F49">
        <w:rPr>
          <w:rFonts w:asciiTheme="majorBidi" w:eastAsia="Times New Roman" w:hAnsiTheme="majorBidi" w:cstheme="majorBidi"/>
          <w:color w:val="000000"/>
          <w:kern w:val="0"/>
          <w14:ligatures w14:val="none"/>
        </w:rPr>
        <w:t>UniProt</w:t>
      </w:r>
      <w:proofErr w:type="spellEnd"/>
      <w:r w:rsidRPr="00E45F49">
        <w:rPr>
          <w:rFonts w:asciiTheme="majorBidi" w:eastAsia="Times New Roman" w:hAnsiTheme="majorBidi" w:cstheme="majorBidi"/>
          <w:color w:val="000000"/>
          <w:kern w:val="0"/>
          <w14:ligatures w14:val="none"/>
        </w:rPr>
        <w:t xml:space="preserve"> (accession Q5SXM2)</w:t>
      </w:r>
      <w:r>
        <w:rPr>
          <w:rFonts w:asciiTheme="majorBidi" w:eastAsia="Times New Roman" w:hAnsiTheme="majorBidi" w:cstheme="majorBidi"/>
          <w:color w:val="000000"/>
          <w:kern w:val="0"/>
          <w14:ligatures w14:val="none"/>
        </w:rPr>
        <w:t xml:space="preserve">. </w:t>
      </w:r>
    </w:p>
    <w:p w14:paraId="370D85B6" w14:textId="1CCF6B7D" w:rsidR="0087440A" w:rsidRDefault="0087440A" w:rsidP="00887CB0">
      <w:pPr>
        <w:rPr>
          <w:rFonts w:ascii="Times New Roman" w:eastAsia="Times New Roman" w:hAnsi="Times New Roman" w:cs="Times New Roman"/>
          <w:color w:val="000000"/>
          <w:kern w:val="0"/>
          <w14:ligatures w14:val="none"/>
        </w:rPr>
      </w:pPr>
    </w:p>
    <w:p w14:paraId="1BA5F996" w14:textId="0D6E6106" w:rsidR="0087440A" w:rsidRPr="00CE7C7E" w:rsidRDefault="00CE7C7E" w:rsidP="00CE7C7E">
      <w:pPr>
        <w:ind w:left="360"/>
        <w:rPr>
          <w:rFonts w:asciiTheme="majorBidi" w:hAnsiTheme="majorBidi" w:cstheme="majorBidi"/>
          <w:b/>
          <w:bCs/>
          <w:sz w:val="28"/>
          <w:szCs w:val="28"/>
        </w:rPr>
      </w:pPr>
      <w:r>
        <w:rPr>
          <w:rFonts w:asciiTheme="majorBidi" w:hAnsiTheme="majorBidi" w:cstheme="majorBidi"/>
          <w:b/>
          <w:bCs/>
          <w:sz w:val="28"/>
          <w:szCs w:val="28"/>
        </w:rPr>
        <w:t xml:space="preserve">5.  </w:t>
      </w:r>
      <w:r w:rsidR="0087440A" w:rsidRPr="00CE7C7E">
        <w:rPr>
          <w:rFonts w:asciiTheme="majorBidi" w:hAnsiTheme="majorBidi" w:cstheme="majorBidi"/>
          <w:b/>
          <w:bCs/>
          <w:sz w:val="28"/>
          <w:szCs w:val="28"/>
        </w:rPr>
        <w:t>Supplemental Videos</w:t>
      </w:r>
    </w:p>
    <w:p w14:paraId="0C6E7951" w14:textId="77777777" w:rsidR="0087440A" w:rsidRPr="0087440A" w:rsidRDefault="0087440A" w:rsidP="0087440A">
      <w:pPr>
        <w:pStyle w:val="ListParagraph"/>
        <w:rPr>
          <w:rFonts w:asciiTheme="majorBidi" w:hAnsiTheme="majorBidi" w:cstheme="majorBidi"/>
          <w:b/>
          <w:bCs/>
          <w:sz w:val="28"/>
          <w:szCs w:val="28"/>
        </w:rPr>
      </w:pPr>
    </w:p>
    <w:p w14:paraId="2014097C" w14:textId="77777777" w:rsidR="0087440A" w:rsidRPr="0087440A" w:rsidRDefault="0087440A" w:rsidP="0087440A">
      <w:pPr>
        <w:rPr>
          <w:rFonts w:asciiTheme="majorBidi" w:hAnsiTheme="majorBidi" w:cstheme="majorBidi"/>
          <w:b/>
          <w:bCs/>
        </w:rPr>
      </w:pPr>
      <w:r w:rsidRPr="0087440A">
        <w:rPr>
          <w:rFonts w:asciiTheme="majorBidi" w:hAnsiTheme="majorBidi" w:cstheme="majorBidi"/>
          <w:b/>
          <w:bCs/>
        </w:rPr>
        <w:t>Supplementary Movie 1. Spontaneous locomotion in wild-type zebrafish larvae.</w:t>
      </w:r>
    </w:p>
    <w:p w14:paraId="3BBC8CD9" w14:textId="33E7071D" w:rsidR="0087440A" w:rsidRDefault="0087440A" w:rsidP="0087440A">
      <w:pPr>
        <w:rPr>
          <w:rFonts w:asciiTheme="majorBidi" w:hAnsiTheme="majorBidi" w:cstheme="majorBidi"/>
        </w:rPr>
      </w:pPr>
      <w:r w:rsidRPr="0087440A">
        <w:rPr>
          <w:rFonts w:asciiTheme="majorBidi" w:hAnsiTheme="majorBidi" w:cstheme="majorBidi"/>
        </w:rPr>
        <w:t>Representative video of wild-type (WT) zebrafish larvae at 5 days post-fertilization (</w:t>
      </w:r>
      <w:proofErr w:type="spellStart"/>
      <w:r w:rsidRPr="0087440A">
        <w:rPr>
          <w:rFonts w:asciiTheme="majorBidi" w:hAnsiTheme="majorBidi" w:cstheme="majorBidi"/>
        </w:rPr>
        <w:t>dpf</w:t>
      </w:r>
      <w:proofErr w:type="spellEnd"/>
      <w:r w:rsidRPr="0087440A">
        <w:rPr>
          <w:rFonts w:asciiTheme="majorBidi" w:hAnsiTheme="majorBidi" w:cstheme="majorBidi"/>
        </w:rPr>
        <w:t>) showing normal spontaneous locomotor activity.</w:t>
      </w:r>
    </w:p>
    <w:p w14:paraId="4108B6EE" w14:textId="77777777" w:rsidR="0087440A" w:rsidRPr="0087440A" w:rsidRDefault="0087440A" w:rsidP="0087440A">
      <w:pPr>
        <w:rPr>
          <w:rFonts w:asciiTheme="majorBidi" w:hAnsiTheme="majorBidi" w:cstheme="majorBidi"/>
        </w:rPr>
      </w:pPr>
    </w:p>
    <w:p w14:paraId="4B744084" w14:textId="77777777" w:rsidR="0087440A" w:rsidRPr="0087440A" w:rsidRDefault="0087440A" w:rsidP="0087440A">
      <w:pPr>
        <w:rPr>
          <w:rFonts w:asciiTheme="majorBidi" w:hAnsiTheme="majorBidi" w:cstheme="majorBidi"/>
          <w:b/>
          <w:bCs/>
        </w:rPr>
      </w:pPr>
      <w:r w:rsidRPr="0087440A">
        <w:rPr>
          <w:rFonts w:asciiTheme="majorBidi" w:hAnsiTheme="majorBidi" w:cstheme="majorBidi"/>
          <w:b/>
          <w:bCs/>
        </w:rPr>
        <w:t xml:space="preserve">Supplementary Movie 2. Reduced locomotor activity in </w:t>
      </w:r>
      <w:r w:rsidRPr="00DA5ADB">
        <w:rPr>
          <w:rFonts w:asciiTheme="majorBidi" w:hAnsiTheme="majorBidi" w:cstheme="majorBidi"/>
          <w:b/>
          <w:bCs/>
          <w:i/>
          <w:iCs/>
        </w:rPr>
        <w:t>snapc4</w:t>
      </w:r>
      <w:r w:rsidRPr="00DA5ADB">
        <w:rPr>
          <w:rFonts w:asciiTheme="majorBidi" w:hAnsiTheme="majorBidi" w:cstheme="majorBidi"/>
          <w:b/>
          <w:bCs/>
          <w:i/>
          <w:iCs/>
          <w:vertAlign w:val="superscript"/>
        </w:rPr>
        <w:t>s445</w:t>
      </w:r>
      <w:r w:rsidRPr="0087440A">
        <w:rPr>
          <w:rFonts w:asciiTheme="majorBidi" w:hAnsiTheme="majorBidi" w:cstheme="majorBidi"/>
          <w:b/>
          <w:bCs/>
        </w:rPr>
        <w:t xml:space="preserve"> mutant larvae.</w:t>
      </w:r>
    </w:p>
    <w:p w14:paraId="36B85FA7" w14:textId="5E8CE3B1" w:rsidR="0087440A" w:rsidRDefault="0087440A" w:rsidP="0087440A">
      <w:pPr>
        <w:rPr>
          <w:rFonts w:asciiTheme="majorBidi" w:hAnsiTheme="majorBidi" w:cstheme="majorBidi"/>
        </w:rPr>
      </w:pPr>
      <w:r w:rsidRPr="0087440A">
        <w:rPr>
          <w:rFonts w:asciiTheme="majorBidi" w:hAnsiTheme="majorBidi" w:cstheme="majorBidi"/>
        </w:rPr>
        <w:t xml:space="preserve">Representative video of </w:t>
      </w:r>
      <w:r w:rsidRPr="00DA5ADB">
        <w:rPr>
          <w:rFonts w:asciiTheme="majorBidi" w:hAnsiTheme="majorBidi" w:cstheme="majorBidi"/>
          <w:i/>
          <w:iCs/>
        </w:rPr>
        <w:t>snapc4</w:t>
      </w:r>
      <w:r w:rsidRPr="00DA5ADB">
        <w:rPr>
          <w:rFonts w:asciiTheme="majorBidi" w:hAnsiTheme="majorBidi" w:cstheme="majorBidi"/>
          <w:i/>
          <w:iCs/>
          <w:vertAlign w:val="superscript"/>
        </w:rPr>
        <w:t>s445</w:t>
      </w:r>
      <w:r w:rsidRPr="0087440A">
        <w:rPr>
          <w:rFonts w:asciiTheme="majorBidi" w:hAnsiTheme="majorBidi" w:cstheme="majorBidi"/>
        </w:rPr>
        <w:t xml:space="preserve"> mutant zebrafish larvae at 5 days post-fertilization (</w:t>
      </w:r>
      <w:proofErr w:type="spellStart"/>
      <w:r w:rsidRPr="0087440A">
        <w:rPr>
          <w:rFonts w:asciiTheme="majorBidi" w:hAnsiTheme="majorBidi" w:cstheme="majorBidi"/>
        </w:rPr>
        <w:t>dpf</w:t>
      </w:r>
      <w:proofErr w:type="spellEnd"/>
      <w:r w:rsidRPr="0087440A">
        <w:rPr>
          <w:rFonts w:asciiTheme="majorBidi" w:hAnsiTheme="majorBidi" w:cstheme="majorBidi"/>
        </w:rPr>
        <w:t>) showing markedly reduced spontaneous locomotion compared to WT controls.</w:t>
      </w:r>
    </w:p>
    <w:p w14:paraId="5E07E633" w14:textId="701717C1" w:rsidR="00CE7C7E" w:rsidRDefault="00CE7C7E" w:rsidP="0087440A">
      <w:pPr>
        <w:rPr>
          <w:rFonts w:asciiTheme="majorBidi" w:hAnsiTheme="majorBidi" w:cstheme="majorBidi"/>
        </w:rPr>
      </w:pPr>
    </w:p>
    <w:p w14:paraId="40F7302A" w14:textId="792DB266" w:rsidR="00CE7C7E" w:rsidRDefault="00CE7C7E" w:rsidP="00CE7C7E">
      <w:pPr>
        <w:pStyle w:val="ListParagraph"/>
        <w:numPr>
          <w:ilvl w:val="0"/>
          <w:numId w:val="1"/>
        </w:numPr>
        <w:rPr>
          <w:rFonts w:asciiTheme="majorBidi" w:hAnsiTheme="majorBidi" w:cstheme="majorBidi"/>
          <w:b/>
          <w:bCs/>
          <w:sz w:val="28"/>
          <w:szCs w:val="28"/>
        </w:rPr>
      </w:pPr>
      <w:r w:rsidRPr="00CE7C7E">
        <w:rPr>
          <w:rFonts w:asciiTheme="majorBidi" w:hAnsiTheme="majorBidi" w:cstheme="majorBidi"/>
          <w:b/>
          <w:bCs/>
          <w:sz w:val="28"/>
          <w:szCs w:val="28"/>
        </w:rPr>
        <w:t>Supplemental References</w:t>
      </w:r>
    </w:p>
    <w:p w14:paraId="320E0CF0" w14:textId="62A881AA" w:rsidR="00CE7C7E" w:rsidRPr="00CE7C7E" w:rsidRDefault="00CE7C7E" w:rsidP="00CE7C7E">
      <w:pPr>
        <w:pStyle w:val="ListParagraph"/>
        <w:numPr>
          <w:ilvl w:val="0"/>
          <w:numId w:val="9"/>
        </w:numPr>
        <w:spacing w:line="240" w:lineRule="auto"/>
        <w:rPr>
          <w:rFonts w:asciiTheme="majorBidi" w:hAnsiTheme="majorBidi" w:cstheme="majorBidi"/>
        </w:rPr>
      </w:pPr>
      <w:r w:rsidRPr="00CE7C7E">
        <w:rPr>
          <w:rFonts w:asciiTheme="majorBidi" w:hAnsiTheme="majorBidi" w:cstheme="majorBidi"/>
        </w:rPr>
        <w:t xml:space="preserve">Aspromonte MC, Bellini M, Gasparini A, Carraro M, </w:t>
      </w:r>
      <w:proofErr w:type="spellStart"/>
      <w:r w:rsidRPr="00CE7C7E">
        <w:rPr>
          <w:rFonts w:asciiTheme="majorBidi" w:hAnsiTheme="majorBidi" w:cstheme="majorBidi"/>
        </w:rPr>
        <w:t>Bettella</w:t>
      </w:r>
      <w:proofErr w:type="spellEnd"/>
      <w:r w:rsidRPr="00CE7C7E">
        <w:rPr>
          <w:rFonts w:asciiTheme="majorBidi" w:hAnsiTheme="majorBidi" w:cstheme="majorBidi"/>
        </w:rPr>
        <w:t xml:space="preserve"> E, Polli R, Cesca F, </w:t>
      </w:r>
      <w:proofErr w:type="spellStart"/>
      <w:r w:rsidRPr="00CE7C7E">
        <w:rPr>
          <w:rFonts w:asciiTheme="majorBidi" w:hAnsiTheme="majorBidi" w:cstheme="majorBidi"/>
        </w:rPr>
        <w:t>Bigoni</w:t>
      </w:r>
      <w:proofErr w:type="spellEnd"/>
      <w:r w:rsidRPr="00CE7C7E">
        <w:rPr>
          <w:rFonts w:asciiTheme="majorBidi" w:hAnsiTheme="majorBidi" w:cstheme="majorBidi"/>
        </w:rPr>
        <w:t xml:space="preserve"> S, Boni S, Carlet O, Negrin S, </w:t>
      </w:r>
      <w:proofErr w:type="spellStart"/>
      <w:r w:rsidRPr="00CE7C7E">
        <w:rPr>
          <w:rFonts w:asciiTheme="majorBidi" w:hAnsiTheme="majorBidi" w:cstheme="majorBidi"/>
        </w:rPr>
        <w:t>Mammi</w:t>
      </w:r>
      <w:proofErr w:type="spellEnd"/>
      <w:r w:rsidRPr="00CE7C7E">
        <w:rPr>
          <w:rFonts w:asciiTheme="majorBidi" w:hAnsiTheme="majorBidi" w:cstheme="majorBidi"/>
        </w:rPr>
        <w:t xml:space="preserve"> I, Milani D, Peron A, Sartori S, </w:t>
      </w:r>
      <w:proofErr w:type="spellStart"/>
      <w:r w:rsidRPr="00CE7C7E">
        <w:rPr>
          <w:rFonts w:asciiTheme="majorBidi" w:hAnsiTheme="majorBidi" w:cstheme="majorBidi"/>
        </w:rPr>
        <w:t>Toldo</w:t>
      </w:r>
      <w:proofErr w:type="spellEnd"/>
      <w:r w:rsidRPr="00CE7C7E">
        <w:rPr>
          <w:rFonts w:asciiTheme="majorBidi" w:hAnsiTheme="majorBidi" w:cstheme="majorBidi"/>
        </w:rPr>
        <w:t xml:space="preserve"> I, Soli F, </w:t>
      </w:r>
      <w:proofErr w:type="spellStart"/>
      <w:r w:rsidRPr="00CE7C7E">
        <w:rPr>
          <w:rFonts w:asciiTheme="majorBidi" w:hAnsiTheme="majorBidi" w:cstheme="majorBidi"/>
        </w:rPr>
        <w:t>Turolla</w:t>
      </w:r>
      <w:proofErr w:type="spellEnd"/>
      <w:r w:rsidRPr="00CE7C7E">
        <w:rPr>
          <w:rFonts w:asciiTheme="majorBidi" w:hAnsiTheme="majorBidi" w:cstheme="majorBidi"/>
        </w:rPr>
        <w:t xml:space="preserve"> L, </w:t>
      </w:r>
      <w:proofErr w:type="spellStart"/>
      <w:r w:rsidRPr="00CE7C7E">
        <w:rPr>
          <w:rFonts w:asciiTheme="majorBidi" w:hAnsiTheme="majorBidi" w:cstheme="majorBidi"/>
        </w:rPr>
        <w:t>Stanzial</w:t>
      </w:r>
      <w:proofErr w:type="spellEnd"/>
      <w:r w:rsidRPr="00CE7C7E">
        <w:rPr>
          <w:rFonts w:asciiTheme="majorBidi" w:hAnsiTheme="majorBidi" w:cstheme="majorBidi"/>
        </w:rPr>
        <w:t xml:space="preserve"> F, </w:t>
      </w:r>
      <w:proofErr w:type="spellStart"/>
      <w:r w:rsidRPr="00CE7C7E">
        <w:rPr>
          <w:rFonts w:asciiTheme="majorBidi" w:hAnsiTheme="majorBidi" w:cstheme="majorBidi"/>
        </w:rPr>
        <w:t>Benedicenti</w:t>
      </w:r>
      <w:proofErr w:type="spellEnd"/>
      <w:r w:rsidRPr="00CE7C7E">
        <w:rPr>
          <w:rFonts w:asciiTheme="majorBidi" w:hAnsiTheme="majorBidi" w:cstheme="majorBidi"/>
        </w:rPr>
        <w:t xml:space="preserve"> F, Marino-</w:t>
      </w:r>
      <w:proofErr w:type="spellStart"/>
      <w:r w:rsidRPr="00CE7C7E">
        <w:rPr>
          <w:rFonts w:asciiTheme="majorBidi" w:hAnsiTheme="majorBidi" w:cstheme="majorBidi"/>
        </w:rPr>
        <w:t>Buslje</w:t>
      </w:r>
      <w:proofErr w:type="spellEnd"/>
      <w:r w:rsidRPr="00CE7C7E">
        <w:rPr>
          <w:rFonts w:asciiTheme="majorBidi" w:hAnsiTheme="majorBidi" w:cstheme="majorBidi"/>
        </w:rPr>
        <w:t xml:space="preserve"> C, </w:t>
      </w:r>
      <w:proofErr w:type="spellStart"/>
      <w:r w:rsidRPr="00CE7C7E">
        <w:rPr>
          <w:rFonts w:asciiTheme="majorBidi" w:hAnsiTheme="majorBidi" w:cstheme="majorBidi"/>
        </w:rPr>
        <w:t>Tosatto</w:t>
      </w:r>
      <w:proofErr w:type="spellEnd"/>
      <w:r w:rsidRPr="00CE7C7E">
        <w:rPr>
          <w:rFonts w:asciiTheme="majorBidi" w:hAnsiTheme="majorBidi" w:cstheme="majorBidi"/>
        </w:rPr>
        <w:t xml:space="preserve"> SCE, Murgia A, Leonardi E. Characterization of intellectual disability and autism comorbidity through gene panel sequencing. Hum </w:t>
      </w:r>
      <w:proofErr w:type="spellStart"/>
      <w:r w:rsidRPr="00CE7C7E">
        <w:rPr>
          <w:rFonts w:asciiTheme="majorBidi" w:hAnsiTheme="majorBidi" w:cstheme="majorBidi"/>
        </w:rPr>
        <w:t>Mutat</w:t>
      </w:r>
      <w:proofErr w:type="spellEnd"/>
      <w:r w:rsidRPr="00CE7C7E">
        <w:rPr>
          <w:rFonts w:asciiTheme="majorBidi" w:hAnsiTheme="majorBidi" w:cstheme="majorBidi"/>
        </w:rPr>
        <w:t xml:space="preserve">. 2019 Sep;40(9):1346-1363. </w:t>
      </w:r>
      <w:proofErr w:type="spellStart"/>
      <w:r w:rsidRPr="00CE7C7E">
        <w:rPr>
          <w:rFonts w:asciiTheme="majorBidi" w:hAnsiTheme="majorBidi" w:cstheme="majorBidi"/>
        </w:rPr>
        <w:t>doi</w:t>
      </w:r>
      <w:proofErr w:type="spellEnd"/>
      <w:r w:rsidRPr="00CE7C7E">
        <w:rPr>
          <w:rFonts w:asciiTheme="majorBidi" w:hAnsiTheme="majorBidi" w:cstheme="majorBidi"/>
        </w:rPr>
        <w:t xml:space="preserve">: 10.1002/humu.23822. </w:t>
      </w:r>
      <w:proofErr w:type="spellStart"/>
      <w:r w:rsidRPr="00CE7C7E">
        <w:rPr>
          <w:rFonts w:asciiTheme="majorBidi" w:hAnsiTheme="majorBidi" w:cstheme="majorBidi"/>
        </w:rPr>
        <w:t>Epub</w:t>
      </w:r>
      <w:proofErr w:type="spellEnd"/>
      <w:r w:rsidRPr="00CE7C7E">
        <w:rPr>
          <w:rFonts w:asciiTheme="majorBidi" w:hAnsiTheme="majorBidi" w:cstheme="majorBidi"/>
        </w:rPr>
        <w:t xml:space="preserve"> 2019 Aug 2. Erratum in: Hum </w:t>
      </w:r>
      <w:proofErr w:type="spellStart"/>
      <w:r w:rsidRPr="00CE7C7E">
        <w:rPr>
          <w:rFonts w:asciiTheme="majorBidi" w:hAnsiTheme="majorBidi" w:cstheme="majorBidi"/>
        </w:rPr>
        <w:t>Mutat</w:t>
      </w:r>
      <w:proofErr w:type="spellEnd"/>
      <w:r w:rsidRPr="00CE7C7E">
        <w:rPr>
          <w:rFonts w:asciiTheme="majorBidi" w:hAnsiTheme="majorBidi" w:cstheme="majorBidi"/>
        </w:rPr>
        <w:t>. 2020 Jun;41(6):1183.</w:t>
      </w:r>
    </w:p>
    <w:p w14:paraId="5AC19691" w14:textId="75834772" w:rsidR="00CE7C7E" w:rsidRPr="00CE7C7E" w:rsidRDefault="00CE7C7E" w:rsidP="00CE7C7E">
      <w:pPr>
        <w:pStyle w:val="ListParagraph"/>
        <w:numPr>
          <w:ilvl w:val="0"/>
          <w:numId w:val="9"/>
        </w:numPr>
        <w:spacing w:line="240" w:lineRule="auto"/>
        <w:rPr>
          <w:rFonts w:asciiTheme="majorBidi" w:hAnsiTheme="majorBidi" w:cstheme="majorBidi"/>
        </w:rPr>
      </w:pPr>
      <w:r w:rsidRPr="00CE7C7E">
        <w:rPr>
          <w:rFonts w:asciiTheme="majorBidi" w:hAnsiTheme="majorBidi" w:cstheme="majorBidi"/>
        </w:rPr>
        <w:t xml:space="preserve">Bowling KM, Thompson ML, Amaral MD, Finnila CR, Hiatt SM, Engel KL, Cochran JN, Brothers KB, East KM, Gray DE, Kelley WV, Lamb NE, Lose EJ, Rich CA, Simmons S, Whittle JS, Weaver BT, Nesmith AS, Myers RM, Barsh GS, </w:t>
      </w:r>
      <w:proofErr w:type="spellStart"/>
      <w:r w:rsidRPr="00CE7C7E">
        <w:rPr>
          <w:rFonts w:asciiTheme="majorBidi" w:hAnsiTheme="majorBidi" w:cstheme="majorBidi"/>
        </w:rPr>
        <w:t>Bebin</w:t>
      </w:r>
      <w:proofErr w:type="spellEnd"/>
      <w:r w:rsidRPr="00CE7C7E">
        <w:rPr>
          <w:rFonts w:asciiTheme="majorBidi" w:hAnsiTheme="majorBidi" w:cstheme="majorBidi"/>
        </w:rPr>
        <w:t xml:space="preserve"> EM, Cooper GM. Genomic diagnosis for children with intellectual disability and/or developmental delay. Genome Med. 2017 May 30;9(1):43. </w:t>
      </w:r>
      <w:proofErr w:type="spellStart"/>
      <w:r w:rsidRPr="00CE7C7E">
        <w:rPr>
          <w:rFonts w:asciiTheme="majorBidi" w:hAnsiTheme="majorBidi" w:cstheme="majorBidi"/>
        </w:rPr>
        <w:t>doi</w:t>
      </w:r>
      <w:proofErr w:type="spellEnd"/>
      <w:r w:rsidRPr="00CE7C7E">
        <w:rPr>
          <w:rFonts w:asciiTheme="majorBidi" w:hAnsiTheme="majorBidi" w:cstheme="majorBidi"/>
        </w:rPr>
        <w:t>: 10.1186/s13073-017-0433-1.</w:t>
      </w:r>
    </w:p>
    <w:p w14:paraId="32FD25C0" w14:textId="4858E7CF" w:rsidR="00CE7C7E" w:rsidRPr="00CE7C7E" w:rsidRDefault="00CE7C7E" w:rsidP="00CE7C7E">
      <w:pPr>
        <w:pStyle w:val="ListParagraph"/>
        <w:numPr>
          <w:ilvl w:val="0"/>
          <w:numId w:val="9"/>
        </w:numPr>
        <w:spacing w:line="240" w:lineRule="auto"/>
        <w:rPr>
          <w:rFonts w:asciiTheme="majorBidi" w:hAnsiTheme="majorBidi" w:cstheme="majorBidi"/>
        </w:rPr>
      </w:pPr>
      <w:r w:rsidRPr="00CE7C7E">
        <w:rPr>
          <w:rFonts w:asciiTheme="majorBidi" w:hAnsiTheme="majorBidi" w:cstheme="majorBidi"/>
        </w:rPr>
        <w:t xml:space="preserve">Harripaul R, Noor A, Ayub M, Vincent JB. The Use of Next-Generation Sequencing for Research and Diagnostics for Intellectual Disability. Cold Spring Harb </w:t>
      </w:r>
      <w:proofErr w:type="spellStart"/>
      <w:r w:rsidRPr="00CE7C7E">
        <w:rPr>
          <w:rFonts w:asciiTheme="majorBidi" w:hAnsiTheme="majorBidi" w:cstheme="majorBidi"/>
        </w:rPr>
        <w:t>Perspect</w:t>
      </w:r>
      <w:proofErr w:type="spellEnd"/>
      <w:r w:rsidRPr="00CE7C7E">
        <w:rPr>
          <w:rFonts w:asciiTheme="majorBidi" w:hAnsiTheme="majorBidi" w:cstheme="majorBidi"/>
        </w:rPr>
        <w:t xml:space="preserve"> Med. 2017 Mar 1;7(3):a026864. </w:t>
      </w:r>
      <w:proofErr w:type="spellStart"/>
      <w:r w:rsidRPr="00CE7C7E">
        <w:rPr>
          <w:rFonts w:asciiTheme="majorBidi" w:hAnsiTheme="majorBidi" w:cstheme="majorBidi"/>
        </w:rPr>
        <w:t>doi</w:t>
      </w:r>
      <w:proofErr w:type="spellEnd"/>
      <w:r w:rsidRPr="00CE7C7E">
        <w:rPr>
          <w:rFonts w:asciiTheme="majorBidi" w:hAnsiTheme="majorBidi" w:cstheme="majorBidi"/>
        </w:rPr>
        <w:t>: 10.1101/cshperspect.a026864. PMID: 28250017; PMCID: PMC5334248.</w:t>
      </w:r>
    </w:p>
    <w:p w14:paraId="2FEF1705" w14:textId="47BE244D" w:rsidR="00CE7C7E" w:rsidRPr="00CE7C7E" w:rsidRDefault="00CE7C7E" w:rsidP="00CE7C7E">
      <w:pPr>
        <w:pStyle w:val="ListParagraph"/>
        <w:numPr>
          <w:ilvl w:val="0"/>
          <w:numId w:val="9"/>
        </w:numPr>
        <w:spacing w:line="240" w:lineRule="auto"/>
        <w:rPr>
          <w:rFonts w:asciiTheme="majorBidi" w:hAnsiTheme="majorBidi" w:cstheme="majorBidi"/>
        </w:rPr>
      </w:pPr>
      <w:r w:rsidRPr="00CE7C7E">
        <w:rPr>
          <w:rFonts w:asciiTheme="majorBidi" w:hAnsiTheme="majorBidi" w:cstheme="majorBidi"/>
        </w:rPr>
        <w:t xml:space="preserve">Murdock DR, Dai H, Burrage LC, Rosenfeld JA, Ketkar S, Müller MF, </w:t>
      </w:r>
      <w:proofErr w:type="spellStart"/>
      <w:r w:rsidRPr="00CE7C7E">
        <w:rPr>
          <w:rFonts w:asciiTheme="majorBidi" w:hAnsiTheme="majorBidi" w:cstheme="majorBidi"/>
        </w:rPr>
        <w:t>Yépez</w:t>
      </w:r>
      <w:proofErr w:type="spellEnd"/>
      <w:r w:rsidRPr="00CE7C7E">
        <w:rPr>
          <w:rFonts w:asciiTheme="majorBidi" w:hAnsiTheme="majorBidi" w:cstheme="majorBidi"/>
        </w:rPr>
        <w:t xml:space="preserve"> VA, </w:t>
      </w:r>
      <w:proofErr w:type="spellStart"/>
      <w:r w:rsidRPr="00CE7C7E">
        <w:rPr>
          <w:rFonts w:asciiTheme="majorBidi" w:hAnsiTheme="majorBidi" w:cstheme="majorBidi"/>
        </w:rPr>
        <w:t>Gagneur</w:t>
      </w:r>
      <w:proofErr w:type="spellEnd"/>
      <w:r w:rsidRPr="00CE7C7E">
        <w:rPr>
          <w:rFonts w:asciiTheme="majorBidi" w:hAnsiTheme="majorBidi" w:cstheme="majorBidi"/>
        </w:rPr>
        <w:t xml:space="preserve"> J, Liu P, Chen S, Jain M, Zapata G, Bacino CA, Chao HT, Moretti P, Craigen WJ, Hanchard NA; Undiagnosed Diseases Network, Lee B. Transcriptome-directed analysis for Mendelian disease diagnosis overcomes limitations of conventional genomic testing. J Clin Invest. 2021 Jan 4;131(1):e141500. </w:t>
      </w:r>
      <w:proofErr w:type="spellStart"/>
      <w:r w:rsidRPr="00CE7C7E">
        <w:rPr>
          <w:rFonts w:asciiTheme="majorBidi" w:hAnsiTheme="majorBidi" w:cstheme="majorBidi"/>
        </w:rPr>
        <w:t>doi</w:t>
      </w:r>
      <w:proofErr w:type="spellEnd"/>
      <w:r w:rsidRPr="00CE7C7E">
        <w:rPr>
          <w:rFonts w:asciiTheme="majorBidi" w:hAnsiTheme="majorBidi" w:cstheme="majorBidi"/>
        </w:rPr>
        <w:t>: 10.1172/JCI141500</w:t>
      </w:r>
    </w:p>
    <w:p w14:paraId="40366899" w14:textId="64838C0A" w:rsidR="00CE7C7E" w:rsidRPr="00CE7C7E" w:rsidRDefault="00CE7C7E" w:rsidP="00CE7C7E">
      <w:pPr>
        <w:pStyle w:val="ListParagraph"/>
        <w:numPr>
          <w:ilvl w:val="0"/>
          <w:numId w:val="9"/>
        </w:numPr>
        <w:spacing w:line="240" w:lineRule="auto"/>
        <w:rPr>
          <w:rFonts w:asciiTheme="majorBidi" w:hAnsiTheme="majorBidi" w:cstheme="majorBidi"/>
        </w:rPr>
      </w:pPr>
      <w:proofErr w:type="spellStart"/>
      <w:r w:rsidRPr="00CE7C7E">
        <w:rPr>
          <w:rFonts w:asciiTheme="majorBidi" w:hAnsiTheme="majorBidi" w:cstheme="majorBidi"/>
        </w:rPr>
        <w:t>Tarailo</w:t>
      </w:r>
      <w:proofErr w:type="spellEnd"/>
      <w:r w:rsidRPr="00CE7C7E">
        <w:rPr>
          <w:rFonts w:asciiTheme="majorBidi" w:hAnsiTheme="majorBidi" w:cstheme="majorBidi"/>
        </w:rPr>
        <w:t xml:space="preserve">-Graovac M, Shyr C, Ross CJ, Horvath GA, </w:t>
      </w:r>
      <w:proofErr w:type="spellStart"/>
      <w:r w:rsidRPr="00CE7C7E">
        <w:rPr>
          <w:rFonts w:asciiTheme="majorBidi" w:hAnsiTheme="majorBidi" w:cstheme="majorBidi"/>
        </w:rPr>
        <w:t>Salvarinova</w:t>
      </w:r>
      <w:proofErr w:type="spellEnd"/>
      <w:r w:rsidRPr="00CE7C7E">
        <w:rPr>
          <w:rFonts w:asciiTheme="majorBidi" w:hAnsiTheme="majorBidi" w:cstheme="majorBidi"/>
        </w:rPr>
        <w:t xml:space="preserve"> R, Ye XC, Zhang LH, Bhavsar AP, Lee JJ, </w:t>
      </w:r>
      <w:proofErr w:type="spellStart"/>
      <w:r w:rsidRPr="00CE7C7E">
        <w:rPr>
          <w:rFonts w:asciiTheme="majorBidi" w:hAnsiTheme="majorBidi" w:cstheme="majorBidi"/>
        </w:rPr>
        <w:t>Drögemöller</w:t>
      </w:r>
      <w:proofErr w:type="spellEnd"/>
      <w:r w:rsidRPr="00CE7C7E">
        <w:rPr>
          <w:rFonts w:asciiTheme="majorBidi" w:hAnsiTheme="majorBidi" w:cstheme="majorBidi"/>
        </w:rPr>
        <w:t xml:space="preserve"> BI, Abdelsayed M, </w:t>
      </w:r>
      <w:proofErr w:type="spellStart"/>
      <w:r w:rsidRPr="00CE7C7E">
        <w:rPr>
          <w:rFonts w:asciiTheme="majorBidi" w:hAnsiTheme="majorBidi" w:cstheme="majorBidi"/>
        </w:rPr>
        <w:t>Alfadhel</w:t>
      </w:r>
      <w:proofErr w:type="spellEnd"/>
      <w:r w:rsidRPr="00CE7C7E">
        <w:rPr>
          <w:rFonts w:asciiTheme="majorBidi" w:hAnsiTheme="majorBidi" w:cstheme="majorBidi"/>
        </w:rPr>
        <w:t xml:space="preserve"> M, Armstrong L, Baumgartner MR, Burda P, Connolly MB, Cameron J, Demos M, Dewan T, Dionne J, Evans AM, Friedman JM, Garber I, Lewis S, Ling J, Mandal R, Mattman A, McKinnon M, </w:t>
      </w:r>
      <w:proofErr w:type="spellStart"/>
      <w:r w:rsidRPr="00CE7C7E">
        <w:rPr>
          <w:rFonts w:asciiTheme="majorBidi" w:hAnsiTheme="majorBidi" w:cstheme="majorBidi"/>
        </w:rPr>
        <w:t>Michoulas</w:t>
      </w:r>
      <w:proofErr w:type="spellEnd"/>
      <w:r w:rsidRPr="00CE7C7E">
        <w:rPr>
          <w:rFonts w:asciiTheme="majorBidi" w:hAnsiTheme="majorBidi" w:cstheme="majorBidi"/>
        </w:rPr>
        <w:t xml:space="preserve"> A, Metzger D, </w:t>
      </w:r>
      <w:proofErr w:type="spellStart"/>
      <w:r w:rsidRPr="00CE7C7E">
        <w:rPr>
          <w:rFonts w:asciiTheme="majorBidi" w:hAnsiTheme="majorBidi" w:cstheme="majorBidi"/>
        </w:rPr>
        <w:t>Ogunbayo</w:t>
      </w:r>
      <w:proofErr w:type="spellEnd"/>
      <w:r w:rsidRPr="00CE7C7E">
        <w:rPr>
          <w:rFonts w:asciiTheme="majorBidi" w:hAnsiTheme="majorBidi" w:cstheme="majorBidi"/>
        </w:rPr>
        <w:t xml:space="preserve"> OA, Rakic B, Rozmus J, Ruben P, Sayson B, Santra S, Schultz KR, Selby K, Shekel P, Sirrs S, </w:t>
      </w:r>
      <w:proofErr w:type="spellStart"/>
      <w:r w:rsidRPr="00CE7C7E">
        <w:rPr>
          <w:rFonts w:asciiTheme="majorBidi" w:hAnsiTheme="majorBidi" w:cstheme="majorBidi"/>
        </w:rPr>
        <w:t>Skrypnyk</w:t>
      </w:r>
      <w:proofErr w:type="spellEnd"/>
      <w:r w:rsidRPr="00CE7C7E">
        <w:rPr>
          <w:rFonts w:asciiTheme="majorBidi" w:hAnsiTheme="majorBidi" w:cstheme="majorBidi"/>
        </w:rPr>
        <w:t xml:space="preserve"> C, </w:t>
      </w:r>
      <w:proofErr w:type="spellStart"/>
      <w:r w:rsidRPr="00CE7C7E">
        <w:rPr>
          <w:rFonts w:asciiTheme="majorBidi" w:hAnsiTheme="majorBidi" w:cstheme="majorBidi"/>
        </w:rPr>
        <w:t>Superti-Furga</w:t>
      </w:r>
      <w:proofErr w:type="spellEnd"/>
      <w:r w:rsidRPr="00CE7C7E">
        <w:rPr>
          <w:rFonts w:asciiTheme="majorBidi" w:hAnsiTheme="majorBidi" w:cstheme="majorBidi"/>
        </w:rPr>
        <w:t xml:space="preserve"> A, Turvey SE, Van Allen MI, Wishart D, Wu J, Wu J, Zafeiriou D, </w:t>
      </w:r>
      <w:proofErr w:type="spellStart"/>
      <w:r w:rsidRPr="00CE7C7E">
        <w:rPr>
          <w:rFonts w:asciiTheme="majorBidi" w:hAnsiTheme="majorBidi" w:cstheme="majorBidi"/>
        </w:rPr>
        <w:t>Kluijtmans</w:t>
      </w:r>
      <w:proofErr w:type="spellEnd"/>
      <w:r w:rsidRPr="00CE7C7E">
        <w:rPr>
          <w:rFonts w:asciiTheme="majorBidi" w:hAnsiTheme="majorBidi" w:cstheme="majorBidi"/>
        </w:rPr>
        <w:t xml:space="preserve"> L, Wevers RA, </w:t>
      </w:r>
      <w:proofErr w:type="spellStart"/>
      <w:r w:rsidRPr="00CE7C7E">
        <w:rPr>
          <w:rFonts w:asciiTheme="majorBidi" w:hAnsiTheme="majorBidi" w:cstheme="majorBidi"/>
        </w:rPr>
        <w:t>Eydoux</w:t>
      </w:r>
      <w:proofErr w:type="spellEnd"/>
      <w:r w:rsidRPr="00CE7C7E">
        <w:rPr>
          <w:rFonts w:asciiTheme="majorBidi" w:hAnsiTheme="majorBidi" w:cstheme="majorBidi"/>
        </w:rPr>
        <w:t xml:space="preserve"> P, Lehman AM, Vallance H, Stockler-</w:t>
      </w:r>
      <w:proofErr w:type="spellStart"/>
      <w:r w:rsidRPr="00CE7C7E">
        <w:rPr>
          <w:rFonts w:asciiTheme="majorBidi" w:hAnsiTheme="majorBidi" w:cstheme="majorBidi"/>
        </w:rPr>
        <w:t>Ipsiroglu</w:t>
      </w:r>
      <w:proofErr w:type="spellEnd"/>
      <w:r w:rsidRPr="00CE7C7E">
        <w:rPr>
          <w:rFonts w:asciiTheme="majorBidi" w:hAnsiTheme="majorBidi" w:cstheme="majorBidi"/>
        </w:rPr>
        <w:t xml:space="preserve"> S, Sinclair G, Wasserman WW, van </w:t>
      </w:r>
      <w:proofErr w:type="spellStart"/>
      <w:r w:rsidRPr="00CE7C7E">
        <w:rPr>
          <w:rFonts w:asciiTheme="majorBidi" w:hAnsiTheme="majorBidi" w:cstheme="majorBidi"/>
        </w:rPr>
        <w:t>Karnebeek</w:t>
      </w:r>
      <w:proofErr w:type="spellEnd"/>
      <w:r w:rsidRPr="00CE7C7E">
        <w:rPr>
          <w:rFonts w:asciiTheme="majorBidi" w:hAnsiTheme="majorBidi" w:cstheme="majorBidi"/>
        </w:rPr>
        <w:t xml:space="preserve"> CD. Exome Sequencing and the Management of Neurometabolic Disorders. N Engl J Med. 2016 Jun 9;374(23):2246-55. </w:t>
      </w:r>
      <w:proofErr w:type="spellStart"/>
      <w:r w:rsidRPr="00CE7C7E">
        <w:rPr>
          <w:rFonts w:asciiTheme="majorBidi" w:hAnsiTheme="majorBidi" w:cstheme="majorBidi"/>
        </w:rPr>
        <w:t>doi</w:t>
      </w:r>
      <w:proofErr w:type="spellEnd"/>
      <w:r w:rsidRPr="00CE7C7E">
        <w:rPr>
          <w:rFonts w:asciiTheme="majorBidi" w:hAnsiTheme="majorBidi" w:cstheme="majorBidi"/>
        </w:rPr>
        <w:t>: 10.1056/NEJMoa1515792.</w:t>
      </w:r>
    </w:p>
    <w:p w14:paraId="710F8E79" w14:textId="25A05551" w:rsidR="00CE7C7E" w:rsidRPr="00CE7C7E" w:rsidRDefault="00CE7C7E" w:rsidP="00CE7C7E">
      <w:pPr>
        <w:pStyle w:val="ListParagraph"/>
        <w:numPr>
          <w:ilvl w:val="0"/>
          <w:numId w:val="9"/>
        </w:numPr>
        <w:spacing w:line="240" w:lineRule="auto"/>
        <w:rPr>
          <w:rFonts w:asciiTheme="majorBidi" w:hAnsiTheme="majorBidi" w:cstheme="majorBidi"/>
        </w:rPr>
      </w:pPr>
      <w:r w:rsidRPr="00CE7C7E">
        <w:rPr>
          <w:rFonts w:asciiTheme="majorBidi" w:hAnsiTheme="majorBidi" w:cstheme="majorBidi"/>
        </w:rPr>
        <w:t xml:space="preserve">Guillen Sacoto MJ, </w:t>
      </w:r>
      <w:proofErr w:type="spellStart"/>
      <w:r w:rsidRPr="00CE7C7E">
        <w:rPr>
          <w:rFonts w:asciiTheme="majorBidi" w:hAnsiTheme="majorBidi" w:cstheme="majorBidi"/>
        </w:rPr>
        <w:t>Tchasovnikarova</w:t>
      </w:r>
      <w:proofErr w:type="spellEnd"/>
      <w:r w:rsidRPr="00CE7C7E">
        <w:rPr>
          <w:rFonts w:asciiTheme="majorBidi" w:hAnsiTheme="majorBidi" w:cstheme="majorBidi"/>
        </w:rPr>
        <w:t xml:space="preserve"> IA, Torti E, Forster C, Andrew EH, Anselm I, </w:t>
      </w:r>
      <w:proofErr w:type="spellStart"/>
      <w:r w:rsidRPr="00CE7C7E">
        <w:rPr>
          <w:rFonts w:asciiTheme="majorBidi" w:hAnsiTheme="majorBidi" w:cstheme="majorBidi"/>
        </w:rPr>
        <w:t>Baranano</w:t>
      </w:r>
      <w:proofErr w:type="spellEnd"/>
      <w:r w:rsidRPr="00CE7C7E">
        <w:rPr>
          <w:rFonts w:asciiTheme="majorBidi" w:hAnsiTheme="majorBidi" w:cstheme="majorBidi"/>
        </w:rPr>
        <w:t xml:space="preserve"> KW, Briere LC, Cohen JS, Craigen WJ, </w:t>
      </w:r>
      <w:proofErr w:type="spellStart"/>
      <w:r w:rsidRPr="00CE7C7E">
        <w:rPr>
          <w:rFonts w:asciiTheme="majorBidi" w:hAnsiTheme="majorBidi" w:cstheme="majorBidi"/>
        </w:rPr>
        <w:t>Cytrynbaum</w:t>
      </w:r>
      <w:proofErr w:type="spellEnd"/>
      <w:r w:rsidRPr="00CE7C7E">
        <w:rPr>
          <w:rFonts w:asciiTheme="majorBidi" w:hAnsiTheme="majorBidi" w:cstheme="majorBidi"/>
        </w:rPr>
        <w:t xml:space="preserve"> C, </w:t>
      </w:r>
      <w:proofErr w:type="spellStart"/>
      <w:r w:rsidRPr="00CE7C7E">
        <w:rPr>
          <w:rFonts w:asciiTheme="majorBidi" w:hAnsiTheme="majorBidi" w:cstheme="majorBidi"/>
        </w:rPr>
        <w:t>Ekhilevitch</w:t>
      </w:r>
      <w:proofErr w:type="spellEnd"/>
      <w:r w:rsidRPr="00CE7C7E">
        <w:rPr>
          <w:rFonts w:asciiTheme="majorBidi" w:hAnsiTheme="majorBidi" w:cstheme="majorBidi"/>
        </w:rPr>
        <w:t xml:space="preserve"> N, Elrick MJ, Fatemi A, Fraser JL, Gallagher RC, Guerin A, Haynes D, High FA, Inglese CN, Kiss C, Koenig MK, Krier J, Lindstrom K, Marble M, Meddaugh H, Moran ES, Morel CF, Mu W, Muller EA 2nd, Nance J, </w:t>
      </w:r>
      <w:proofErr w:type="spellStart"/>
      <w:r w:rsidRPr="00CE7C7E">
        <w:rPr>
          <w:rFonts w:asciiTheme="majorBidi" w:hAnsiTheme="majorBidi" w:cstheme="majorBidi"/>
        </w:rPr>
        <w:t>Natowicz</w:t>
      </w:r>
      <w:proofErr w:type="spellEnd"/>
      <w:r w:rsidRPr="00CE7C7E">
        <w:rPr>
          <w:rFonts w:asciiTheme="majorBidi" w:hAnsiTheme="majorBidi" w:cstheme="majorBidi"/>
        </w:rPr>
        <w:t xml:space="preserve"> MR, Numis AL, Ostrem B, Pappas J, Stafstrom CE, Streff H, Sweetser DA, </w:t>
      </w:r>
      <w:proofErr w:type="spellStart"/>
      <w:r w:rsidRPr="00CE7C7E">
        <w:rPr>
          <w:rFonts w:asciiTheme="majorBidi" w:hAnsiTheme="majorBidi" w:cstheme="majorBidi"/>
        </w:rPr>
        <w:t>Szybowska</w:t>
      </w:r>
      <w:proofErr w:type="spellEnd"/>
      <w:r w:rsidRPr="00CE7C7E">
        <w:rPr>
          <w:rFonts w:asciiTheme="majorBidi" w:hAnsiTheme="majorBidi" w:cstheme="majorBidi"/>
        </w:rPr>
        <w:t xml:space="preserve"> M; Undiagnosed Diseases Network; Walker MA, Wang W, Weiss K, </w:t>
      </w:r>
      <w:proofErr w:type="spellStart"/>
      <w:r w:rsidRPr="00CE7C7E">
        <w:rPr>
          <w:rFonts w:asciiTheme="majorBidi" w:hAnsiTheme="majorBidi" w:cstheme="majorBidi"/>
        </w:rPr>
        <w:t>Weksberg</w:t>
      </w:r>
      <w:proofErr w:type="spellEnd"/>
      <w:r w:rsidRPr="00CE7C7E">
        <w:rPr>
          <w:rFonts w:asciiTheme="majorBidi" w:hAnsiTheme="majorBidi" w:cstheme="majorBidi"/>
        </w:rPr>
        <w:t xml:space="preserve"> R, Wheeler PG, Yoon G, Kingston RE, </w:t>
      </w:r>
      <w:proofErr w:type="spellStart"/>
      <w:r w:rsidRPr="00CE7C7E">
        <w:rPr>
          <w:rFonts w:asciiTheme="majorBidi" w:hAnsiTheme="majorBidi" w:cstheme="majorBidi"/>
        </w:rPr>
        <w:t>Juusola</w:t>
      </w:r>
      <w:proofErr w:type="spellEnd"/>
      <w:r w:rsidRPr="00CE7C7E">
        <w:rPr>
          <w:rFonts w:asciiTheme="majorBidi" w:hAnsiTheme="majorBidi" w:cstheme="majorBidi"/>
        </w:rPr>
        <w:t xml:space="preserve"> J. De Novo Variants in the ATPase Module of MORC2 Cause a Neurodevelopmental Disorder with Growth Retardation and Variable Craniofacial Dysmorphism. Am J Hum Genet. 2020 Aug 6;107(2):352-363. </w:t>
      </w:r>
      <w:proofErr w:type="spellStart"/>
      <w:r w:rsidRPr="00CE7C7E">
        <w:rPr>
          <w:rFonts w:asciiTheme="majorBidi" w:hAnsiTheme="majorBidi" w:cstheme="majorBidi"/>
        </w:rPr>
        <w:t>doi</w:t>
      </w:r>
      <w:proofErr w:type="spellEnd"/>
      <w:r w:rsidRPr="00CE7C7E">
        <w:rPr>
          <w:rFonts w:asciiTheme="majorBidi" w:hAnsiTheme="majorBidi" w:cstheme="majorBidi"/>
        </w:rPr>
        <w:t xml:space="preserve">: 10.1016/j.ajhg.2020.06.013. </w:t>
      </w:r>
      <w:proofErr w:type="spellStart"/>
      <w:r w:rsidRPr="00CE7C7E">
        <w:rPr>
          <w:rFonts w:asciiTheme="majorBidi" w:hAnsiTheme="majorBidi" w:cstheme="majorBidi"/>
        </w:rPr>
        <w:t>Epub</w:t>
      </w:r>
      <w:proofErr w:type="spellEnd"/>
      <w:r w:rsidRPr="00CE7C7E">
        <w:rPr>
          <w:rFonts w:asciiTheme="majorBidi" w:hAnsiTheme="majorBidi" w:cstheme="majorBidi"/>
        </w:rPr>
        <w:t xml:space="preserve"> 2020 Jul 20. PMID: 32693025; PMCID: PMC7413887.</w:t>
      </w:r>
    </w:p>
    <w:p w14:paraId="4E5B0596" w14:textId="265479F2" w:rsidR="00CC136C" w:rsidRPr="00CC136C" w:rsidRDefault="00CC136C" w:rsidP="00CC136C">
      <w:pPr>
        <w:pStyle w:val="ListParagraph"/>
        <w:numPr>
          <w:ilvl w:val="0"/>
          <w:numId w:val="9"/>
        </w:numPr>
        <w:spacing w:line="240" w:lineRule="auto"/>
        <w:rPr>
          <w:rFonts w:asciiTheme="majorBidi" w:hAnsiTheme="majorBidi" w:cstheme="majorBidi"/>
        </w:rPr>
      </w:pPr>
      <w:r>
        <w:rPr>
          <w:rFonts w:asciiTheme="majorBidi" w:hAnsiTheme="majorBidi" w:cstheme="majorBidi"/>
        </w:rPr>
        <w:t xml:space="preserve">Retterer K, </w:t>
      </w:r>
      <w:proofErr w:type="spellStart"/>
      <w:r>
        <w:rPr>
          <w:rFonts w:asciiTheme="majorBidi" w:hAnsiTheme="majorBidi" w:cstheme="majorBidi"/>
        </w:rPr>
        <w:t>Juusola</w:t>
      </w:r>
      <w:proofErr w:type="spellEnd"/>
      <w:r>
        <w:rPr>
          <w:rFonts w:asciiTheme="majorBidi" w:hAnsiTheme="majorBidi" w:cstheme="majorBidi"/>
        </w:rPr>
        <w:t xml:space="preserve"> J, Cho MT, </w:t>
      </w:r>
      <w:proofErr w:type="spellStart"/>
      <w:r>
        <w:rPr>
          <w:rFonts w:asciiTheme="majorBidi" w:hAnsiTheme="majorBidi" w:cstheme="majorBidi"/>
        </w:rPr>
        <w:t>Vitazka</w:t>
      </w:r>
      <w:proofErr w:type="spellEnd"/>
      <w:r>
        <w:rPr>
          <w:rFonts w:asciiTheme="majorBidi" w:hAnsiTheme="majorBidi" w:cstheme="majorBidi"/>
        </w:rPr>
        <w:t xml:space="preserve"> P, Millan F, </w:t>
      </w:r>
      <w:proofErr w:type="spellStart"/>
      <w:r>
        <w:rPr>
          <w:rFonts w:asciiTheme="majorBidi" w:hAnsiTheme="majorBidi" w:cstheme="majorBidi"/>
        </w:rPr>
        <w:t>Gibellini</w:t>
      </w:r>
      <w:proofErr w:type="spellEnd"/>
      <w:r>
        <w:rPr>
          <w:rFonts w:asciiTheme="majorBidi" w:hAnsiTheme="majorBidi" w:cstheme="majorBidi"/>
        </w:rPr>
        <w:t xml:space="preserve"> F, </w:t>
      </w:r>
      <w:proofErr w:type="spellStart"/>
      <w:r>
        <w:rPr>
          <w:rFonts w:asciiTheme="majorBidi" w:hAnsiTheme="majorBidi" w:cstheme="majorBidi"/>
        </w:rPr>
        <w:t>Vertino</w:t>
      </w:r>
      <w:proofErr w:type="spellEnd"/>
      <w:r>
        <w:rPr>
          <w:rFonts w:asciiTheme="majorBidi" w:hAnsiTheme="majorBidi" w:cstheme="majorBidi"/>
        </w:rPr>
        <w:t xml:space="preserve">-Bell A, </w:t>
      </w:r>
      <w:proofErr w:type="spellStart"/>
      <w:r>
        <w:rPr>
          <w:rFonts w:asciiTheme="majorBidi" w:hAnsiTheme="majorBidi" w:cstheme="majorBidi"/>
        </w:rPr>
        <w:t>Smaoui</w:t>
      </w:r>
      <w:proofErr w:type="spellEnd"/>
      <w:r>
        <w:rPr>
          <w:rFonts w:asciiTheme="majorBidi" w:hAnsiTheme="majorBidi" w:cstheme="majorBidi"/>
        </w:rPr>
        <w:t xml:space="preserve"> N, Neidich J, Monaghan KG, McKnight D, Bai R, Suchy S, Friedman B, Tahiliani J, Pineda-Alvarez D, Richard G, Brandt T, Haverfield E, Chung WK, Bale S. Clinical application of whole-exome sequencing across clinical indications. Genet Med. 2016 Jul;18(7):696-704. </w:t>
      </w:r>
      <w:proofErr w:type="spellStart"/>
      <w:r>
        <w:rPr>
          <w:rFonts w:asciiTheme="majorBidi" w:hAnsiTheme="majorBidi" w:cstheme="majorBidi"/>
        </w:rPr>
        <w:t>doi</w:t>
      </w:r>
      <w:proofErr w:type="spellEnd"/>
      <w:r>
        <w:rPr>
          <w:rFonts w:asciiTheme="majorBidi" w:hAnsiTheme="majorBidi" w:cstheme="majorBidi"/>
        </w:rPr>
        <w:t xml:space="preserve">: 10.1038/gim.2015.148. </w:t>
      </w:r>
      <w:proofErr w:type="spellStart"/>
      <w:r>
        <w:rPr>
          <w:rFonts w:asciiTheme="majorBidi" w:hAnsiTheme="majorBidi" w:cstheme="majorBidi"/>
        </w:rPr>
        <w:t>Epub</w:t>
      </w:r>
      <w:proofErr w:type="spellEnd"/>
      <w:r>
        <w:rPr>
          <w:rFonts w:asciiTheme="majorBidi" w:hAnsiTheme="majorBidi" w:cstheme="majorBidi"/>
        </w:rPr>
        <w:t xml:space="preserve"> 2015 Dec 3. PMID: 26633542.</w:t>
      </w:r>
    </w:p>
    <w:p w14:paraId="436A5463" w14:textId="3786EDBC" w:rsidR="00CE7C7E" w:rsidRPr="00CE7C7E" w:rsidRDefault="00CE7C7E" w:rsidP="00CE7C7E">
      <w:pPr>
        <w:pStyle w:val="ListParagraph"/>
        <w:numPr>
          <w:ilvl w:val="0"/>
          <w:numId w:val="9"/>
        </w:numPr>
        <w:spacing w:line="240" w:lineRule="auto"/>
        <w:rPr>
          <w:rFonts w:asciiTheme="majorBidi" w:hAnsiTheme="majorBidi" w:cstheme="majorBidi"/>
        </w:rPr>
      </w:pPr>
      <w:r w:rsidRPr="00CE7C7E">
        <w:rPr>
          <w:rFonts w:asciiTheme="majorBidi" w:hAnsiTheme="majorBidi" w:cstheme="majorBidi"/>
          <w:lang w:val="it-IT"/>
        </w:rPr>
        <w:t xml:space="preserve">DePristo MA, Banks E, Poplin R, et al. </w:t>
      </w:r>
      <w:r w:rsidRPr="00CE7C7E">
        <w:rPr>
          <w:rFonts w:asciiTheme="majorBidi" w:hAnsiTheme="majorBidi" w:cstheme="majorBidi"/>
        </w:rPr>
        <w:t xml:space="preserve">A framework for variation discovery and genotyping using next-generation DNA sequencing data. Nat Genet. </w:t>
      </w:r>
      <w:proofErr w:type="gramStart"/>
      <w:r w:rsidRPr="00CE7C7E">
        <w:rPr>
          <w:rFonts w:asciiTheme="majorBidi" w:hAnsiTheme="majorBidi" w:cstheme="majorBidi"/>
        </w:rPr>
        <w:t>2011;43:491</w:t>
      </w:r>
      <w:proofErr w:type="gramEnd"/>
      <w:r w:rsidRPr="00CE7C7E">
        <w:rPr>
          <w:rFonts w:asciiTheme="majorBidi" w:hAnsiTheme="majorBidi" w:cstheme="majorBidi"/>
        </w:rPr>
        <w:t>–8.</w:t>
      </w:r>
    </w:p>
    <w:p w14:paraId="28A34F4E" w14:textId="7D45A968" w:rsidR="00CE7C7E" w:rsidRPr="00CE7C7E" w:rsidRDefault="00CE7C7E" w:rsidP="00CE7C7E">
      <w:pPr>
        <w:pStyle w:val="ListParagraph"/>
        <w:numPr>
          <w:ilvl w:val="0"/>
          <w:numId w:val="9"/>
        </w:numPr>
        <w:spacing w:line="240" w:lineRule="auto"/>
        <w:rPr>
          <w:rFonts w:asciiTheme="majorBidi" w:hAnsiTheme="majorBidi" w:cstheme="majorBidi"/>
        </w:rPr>
      </w:pPr>
      <w:r w:rsidRPr="00CE7C7E">
        <w:rPr>
          <w:rFonts w:asciiTheme="majorBidi" w:hAnsiTheme="majorBidi" w:cstheme="majorBidi"/>
          <w:lang w:val="it-IT"/>
        </w:rPr>
        <w:t xml:space="preserve">McKenna A, Hanna M, Banks E, et al. </w:t>
      </w:r>
      <w:r w:rsidRPr="00CE7C7E">
        <w:rPr>
          <w:rFonts w:asciiTheme="majorBidi" w:hAnsiTheme="majorBidi" w:cstheme="majorBidi"/>
        </w:rPr>
        <w:t xml:space="preserve">The Genome Analysis Toolkit: a MapReduce framework for analyzing next-generation DNA sequencing data. Genome Res. </w:t>
      </w:r>
      <w:proofErr w:type="gramStart"/>
      <w:r w:rsidRPr="00CE7C7E">
        <w:rPr>
          <w:rFonts w:asciiTheme="majorBidi" w:hAnsiTheme="majorBidi" w:cstheme="majorBidi"/>
        </w:rPr>
        <w:t>2010;20:1297</w:t>
      </w:r>
      <w:proofErr w:type="gramEnd"/>
      <w:r w:rsidRPr="00CE7C7E">
        <w:rPr>
          <w:rFonts w:asciiTheme="majorBidi" w:hAnsiTheme="majorBidi" w:cstheme="majorBidi"/>
        </w:rPr>
        <w:t>–303.</w:t>
      </w:r>
    </w:p>
    <w:p w14:paraId="009B8952" w14:textId="7480F523" w:rsidR="00CE7C7E" w:rsidRPr="00CE7C7E" w:rsidRDefault="00CE7C7E" w:rsidP="00CE7C7E">
      <w:pPr>
        <w:pStyle w:val="ListParagraph"/>
        <w:numPr>
          <w:ilvl w:val="0"/>
          <w:numId w:val="9"/>
        </w:numPr>
        <w:spacing w:line="240" w:lineRule="auto"/>
        <w:rPr>
          <w:rFonts w:asciiTheme="majorBidi" w:hAnsiTheme="majorBidi" w:cstheme="majorBidi"/>
        </w:rPr>
      </w:pPr>
      <w:r w:rsidRPr="00CE7C7E">
        <w:rPr>
          <w:rFonts w:asciiTheme="majorBidi" w:hAnsiTheme="majorBidi" w:cstheme="majorBidi"/>
        </w:rPr>
        <w:t xml:space="preserve">Wang K, Li M, </w:t>
      </w:r>
      <w:proofErr w:type="spellStart"/>
      <w:r w:rsidRPr="00CE7C7E">
        <w:rPr>
          <w:rFonts w:asciiTheme="majorBidi" w:hAnsiTheme="majorBidi" w:cstheme="majorBidi"/>
        </w:rPr>
        <w:t>Hakonarson</w:t>
      </w:r>
      <w:proofErr w:type="spellEnd"/>
      <w:r w:rsidRPr="00CE7C7E">
        <w:rPr>
          <w:rFonts w:asciiTheme="majorBidi" w:hAnsiTheme="majorBidi" w:cstheme="majorBidi"/>
        </w:rPr>
        <w:t xml:space="preserve"> H. ANNOVAR: functional annotation of genetic variants from high-throughput sequencing data. Nucleic Acids Res. 2010;</w:t>
      </w:r>
      <w:proofErr w:type="gramStart"/>
      <w:r w:rsidRPr="00CE7C7E">
        <w:rPr>
          <w:rFonts w:asciiTheme="majorBidi" w:hAnsiTheme="majorBidi" w:cstheme="majorBidi"/>
        </w:rPr>
        <w:t>38:e</w:t>
      </w:r>
      <w:proofErr w:type="gramEnd"/>
      <w:r w:rsidRPr="00CE7C7E">
        <w:rPr>
          <w:rFonts w:asciiTheme="majorBidi" w:hAnsiTheme="majorBidi" w:cstheme="majorBidi"/>
        </w:rPr>
        <w:t>164.</w:t>
      </w:r>
    </w:p>
    <w:p w14:paraId="2B3F1BEF" w14:textId="12493162" w:rsidR="00CE7C7E" w:rsidRPr="00CE7C7E" w:rsidRDefault="00CE7C7E" w:rsidP="00CE7C7E">
      <w:pPr>
        <w:pStyle w:val="ListParagraph"/>
        <w:numPr>
          <w:ilvl w:val="0"/>
          <w:numId w:val="9"/>
        </w:numPr>
        <w:spacing w:line="240" w:lineRule="auto"/>
        <w:rPr>
          <w:rFonts w:asciiTheme="majorBidi" w:hAnsiTheme="majorBidi" w:cstheme="majorBidi"/>
        </w:rPr>
      </w:pPr>
      <w:r w:rsidRPr="00CE7C7E">
        <w:rPr>
          <w:rFonts w:asciiTheme="majorBidi" w:hAnsiTheme="majorBidi" w:cstheme="majorBidi"/>
        </w:rPr>
        <w:t xml:space="preserve">Redon R, Carter NP. Comparative genomic hybridization: microarray design and data interpretation. Methods Mol Biol. </w:t>
      </w:r>
      <w:proofErr w:type="gramStart"/>
      <w:r w:rsidRPr="00CE7C7E">
        <w:rPr>
          <w:rFonts w:asciiTheme="majorBidi" w:hAnsiTheme="majorBidi" w:cstheme="majorBidi"/>
        </w:rPr>
        <w:t>2009;529:37</w:t>
      </w:r>
      <w:proofErr w:type="gramEnd"/>
      <w:r w:rsidRPr="00CE7C7E">
        <w:rPr>
          <w:rFonts w:asciiTheme="majorBidi" w:hAnsiTheme="majorBidi" w:cstheme="majorBidi"/>
        </w:rPr>
        <w:t>–49.</w:t>
      </w:r>
    </w:p>
    <w:p w14:paraId="6921E638" w14:textId="2F1F6668" w:rsidR="00CE7C7E" w:rsidRPr="00CE7C7E" w:rsidRDefault="00CE7C7E" w:rsidP="00CE7C7E">
      <w:pPr>
        <w:pStyle w:val="ListParagraph"/>
        <w:numPr>
          <w:ilvl w:val="0"/>
          <w:numId w:val="9"/>
        </w:numPr>
        <w:spacing w:line="240" w:lineRule="auto"/>
        <w:rPr>
          <w:rFonts w:asciiTheme="majorBidi" w:hAnsiTheme="majorBidi" w:cstheme="majorBidi"/>
        </w:rPr>
      </w:pPr>
      <w:r w:rsidRPr="00CE7C7E">
        <w:rPr>
          <w:rFonts w:asciiTheme="majorBidi" w:hAnsiTheme="majorBidi" w:cstheme="majorBidi"/>
        </w:rPr>
        <w:lastRenderedPageBreak/>
        <w:t xml:space="preserve">Retterer K, </w:t>
      </w:r>
      <w:proofErr w:type="spellStart"/>
      <w:r w:rsidRPr="00CE7C7E">
        <w:rPr>
          <w:rFonts w:asciiTheme="majorBidi" w:hAnsiTheme="majorBidi" w:cstheme="majorBidi"/>
        </w:rPr>
        <w:t>Scuffins</w:t>
      </w:r>
      <w:proofErr w:type="spellEnd"/>
      <w:r w:rsidRPr="00CE7C7E">
        <w:rPr>
          <w:rFonts w:asciiTheme="majorBidi" w:hAnsiTheme="majorBidi" w:cstheme="majorBidi"/>
        </w:rPr>
        <w:t xml:space="preserve"> J, Schmidt D, Lewis R, Pineda-Alvarez D, Stafford A, Schmidt L, Warren S, </w:t>
      </w:r>
      <w:proofErr w:type="spellStart"/>
      <w:r w:rsidRPr="00CE7C7E">
        <w:rPr>
          <w:rFonts w:asciiTheme="majorBidi" w:hAnsiTheme="majorBidi" w:cstheme="majorBidi"/>
        </w:rPr>
        <w:t>Gibellini</w:t>
      </w:r>
      <w:proofErr w:type="spellEnd"/>
      <w:r w:rsidRPr="00CE7C7E">
        <w:rPr>
          <w:rFonts w:asciiTheme="majorBidi" w:hAnsiTheme="majorBidi" w:cstheme="majorBidi"/>
        </w:rPr>
        <w:t xml:space="preserve"> F, </w:t>
      </w:r>
      <w:proofErr w:type="spellStart"/>
      <w:r w:rsidRPr="00CE7C7E">
        <w:rPr>
          <w:rFonts w:asciiTheme="majorBidi" w:hAnsiTheme="majorBidi" w:cstheme="majorBidi"/>
        </w:rPr>
        <w:t>Kondakova</w:t>
      </w:r>
      <w:proofErr w:type="spellEnd"/>
      <w:r w:rsidRPr="00CE7C7E">
        <w:rPr>
          <w:rFonts w:asciiTheme="majorBidi" w:hAnsiTheme="majorBidi" w:cstheme="majorBidi"/>
        </w:rPr>
        <w:t xml:space="preserve"> A, Blair A, Bale S, </w:t>
      </w:r>
      <w:proofErr w:type="spellStart"/>
      <w:r w:rsidRPr="00CE7C7E">
        <w:rPr>
          <w:rFonts w:asciiTheme="majorBidi" w:hAnsiTheme="majorBidi" w:cstheme="majorBidi"/>
        </w:rPr>
        <w:t>Matyakhina</w:t>
      </w:r>
      <w:proofErr w:type="spellEnd"/>
      <w:r w:rsidRPr="00CE7C7E">
        <w:rPr>
          <w:rFonts w:asciiTheme="majorBidi" w:hAnsiTheme="majorBidi" w:cstheme="majorBidi"/>
        </w:rPr>
        <w:t xml:space="preserve"> L, Meck J, Aradhya S, Haverfield E. Assessing copy number from exome sequencing and exome array CGH based on CNV spectrum in a large clinical cohort. Genet Med. 2015 Aug;17(8):623-9. </w:t>
      </w:r>
      <w:proofErr w:type="spellStart"/>
      <w:r w:rsidRPr="00CE7C7E">
        <w:rPr>
          <w:rFonts w:asciiTheme="majorBidi" w:hAnsiTheme="majorBidi" w:cstheme="majorBidi"/>
        </w:rPr>
        <w:t>doi</w:t>
      </w:r>
      <w:proofErr w:type="spellEnd"/>
      <w:r w:rsidRPr="00CE7C7E">
        <w:rPr>
          <w:rFonts w:asciiTheme="majorBidi" w:hAnsiTheme="majorBidi" w:cstheme="majorBidi"/>
        </w:rPr>
        <w:t xml:space="preserve">: 10.1038/gim.2014.160. </w:t>
      </w:r>
      <w:proofErr w:type="spellStart"/>
      <w:r w:rsidRPr="00CE7C7E">
        <w:rPr>
          <w:rFonts w:asciiTheme="majorBidi" w:hAnsiTheme="majorBidi" w:cstheme="majorBidi"/>
        </w:rPr>
        <w:t>Epub</w:t>
      </w:r>
      <w:proofErr w:type="spellEnd"/>
      <w:r w:rsidRPr="00CE7C7E">
        <w:rPr>
          <w:rFonts w:asciiTheme="majorBidi" w:hAnsiTheme="majorBidi" w:cstheme="majorBidi"/>
        </w:rPr>
        <w:t xml:space="preserve"> 2014 Nov 6. PMID: 25356966.</w:t>
      </w:r>
    </w:p>
    <w:sectPr w:rsidR="00CE7C7E" w:rsidRPr="00CE7C7E" w:rsidSect="005A6A69">
      <w:pgSz w:w="15120" w:h="31680" w:code="7"/>
      <w:pgMar w:top="547" w:right="1080" w:bottom="446"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A6A"/>
    <w:multiLevelType w:val="hybridMultilevel"/>
    <w:tmpl w:val="D29A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4330F"/>
    <w:multiLevelType w:val="hybridMultilevel"/>
    <w:tmpl w:val="D29A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2083F"/>
    <w:multiLevelType w:val="hybridMultilevel"/>
    <w:tmpl w:val="39F0F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F66DE"/>
    <w:multiLevelType w:val="hybridMultilevel"/>
    <w:tmpl w:val="3A7E6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EA68CC"/>
    <w:multiLevelType w:val="multilevel"/>
    <w:tmpl w:val="524E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F0EA3"/>
    <w:multiLevelType w:val="hybridMultilevel"/>
    <w:tmpl w:val="98C65E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13E3665"/>
    <w:multiLevelType w:val="hybridMultilevel"/>
    <w:tmpl w:val="98C65E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3695BD8"/>
    <w:multiLevelType w:val="hybridMultilevel"/>
    <w:tmpl w:val="0E845710"/>
    <w:lvl w:ilvl="0" w:tplc="2FF4FD32">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AC52A93"/>
    <w:multiLevelType w:val="hybridMultilevel"/>
    <w:tmpl w:val="39F0F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7481410">
    <w:abstractNumId w:val="8"/>
  </w:num>
  <w:num w:numId="2" w16cid:durableId="448284928">
    <w:abstractNumId w:val="4"/>
  </w:num>
  <w:num w:numId="3" w16cid:durableId="1978028342">
    <w:abstractNumId w:val="6"/>
  </w:num>
  <w:num w:numId="4" w16cid:durableId="2098136934">
    <w:abstractNumId w:val="0"/>
  </w:num>
  <w:num w:numId="5" w16cid:durableId="910651533">
    <w:abstractNumId w:val="5"/>
  </w:num>
  <w:num w:numId="6" w16cid:durableId="723718280">
    <w:abstractNumId w:val="1"/>
  </w:num>
  <w:num w:numId="7" w16cid:durableId="139466817">
    <w:abstractNumId w:val="7"/>
  </w:num>
  <w:num w:numId="8" w16cid:durableId="1887136136">
    <w:abstractNumId w:val="3"/>
  </w:num>
  <w:num w:numId="9" w16cid:durableId="1328820470">
    <w:abstractNumId w:val="2"/>
  </w:num>
  <w:num w:numId="10" w16cid:durableId="628245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932"/>
    <w:rsid w:val="00010FD0"/>
    <w:rsid w:val="00050D90"/>
    <w:rsid w:val="00095546"/>
    <w:rsid w:val="000965EA"/>
    <w:rsid w:val="000C2349"/>
    <w:rsid w:val="000E0636"/>
    <w:rsid w:val="00140330"/>
    <w:rsid w:val="00145827"/>
    <w:rsid w:val="001E5EAF"/>
    <w:rsid w:val="002316D6"/>
    <w:rsid w:val="0027422C"/>
    <w:rsid w:val="002B49AD"/>
    <w:rsid w:val="002B7BA2"/>
    <w:rsid w:val="002F4D10"/>
    <w:rsid w:val="003338FD"/>
    <w:rsid w:val="00364041"/>
    <w:rsid w:val="00387E6D"/>
    <w:rsid w:val="003C4658"/>
    <w:rsid w:val="004129D9"/>
    <w:rsid w:val="00415B60"/>
    <w:rsid w:val="00420805"/>
    <w:rsid w:val="00447C68"/>
    <w:rsid w:val="00452BD9"/>
    <w:rsid w:val="00465EC0"/>
    <w:rsid w:val="004C0511"/>
    <w:rsid w:val="00533ABD"/>
    <w:rsid w:val="00543182"/>
    <w:rsid w:val="005A428C"/>
    <w:rsid w:val="005A6A69"/>
    <w:rsid w:val="005F5E26"/>
    <w:rsid w:val="0061592C"/>
    <w:rsid w:val="00625037"/>
    <w:rsid w:val="006518D5"/>
    <w:rsid w:val="006B5923"/>
    <w:rsid w:val="0073554B"/>
    <w:rsid w:val="00790108"/>
    <w:rsid w:val="007A5564"/>
    <w:rsid w:val="007B2562"/>
    <w:rsid w:val="007C71C5"/>
    <w:rsid w:val="007E2F4A"/>
    <w:rsid w:val="007F1015"/>
    <w:rsid w:val="007F79D6"/>
    <w:rsid w:val="00832B7E"/>
    <w:rsid w:val="008575AA"/>
    <w:rsid w:val="0087440A"/>
    <w:rsid w:val="00880C2F"/>
    <w:rsid w:val="00884A6E"/>
    <w:rsid w:val="00887CB0"/>
    <w:rsid w:val="008A35BA"/>
    <w:rsid w:val="008C0C14"/>
    <w:rsid w:val="008D0A03"/>
    <w:rsid w:val="00914DE8"/>
    <w:rsid w:val="009356DC"/>
    <w:rsid w:val="0097434C"/>
    <w:rsid w:val="009B4184"/>
    <w:rsid w:val="00A20324"/>
    <w:rsid w:val="00A436F1"/>
    <w:rsid w:val="00A6186A"/>
    <w:rsid w:val="00A74455"/>
    <w:rsid w:val="00A857B9"/>
    <w:rsid w:val="00AA33A9"/>
    <w:rsid w:val="00B02D6D"/>
    <w:rsid w:val="00B703E4"/>
    <w:rsid w:val="00B90600"/>
    <w:rsid w:val="00BD461E"/>
    <w:rsid w:val="00BE3292"/>
    <w:rsid w:val="00BE33EE"/>
    <w:rsid w:val="00C22290"/>
    <w:rsid w:val="00C4038A"/>
    <w:rsid w:val="00C47379"/>
    <w:rsid w:val="00C57006"/>
    <w:rsid w:val="00CA6932"/>
    <w:rsid w:val="00CC136C"/>
    <w:rsid w:val="00CE7C7E"/>
    <w:rsid w:val="00CF60DE"/>
    <w:rsid w:val="00D57E0C"/>
    <w:rsid w:val="00D82CE3"/>
    <w:rsid w:val="00DA5ADB"/>
    <w:rsid w:val="00DB26B9"/>
    <w:rsid w:val="00E101E5"/>
    <w:rsid w:val="00E45F49"/>
    <w:rsid w:val="00E53604"/>
    <w:rsid w:val="00E53CB7"/>
    <w:rsid w:val="00E61C85"/>
    <w:rsid w:val="00E86DA5"/>
    <w:rsid w:val="00EC0ACF"/>
    <w:rsid w:val="00EF64AF"/>
    <w:rsid w:val="00F31D1C"/>
    <w:rsid w:val="00F40CE1"/>
    <w:rsid w:val="00F54CCD"/>
    <w:rsid w:val="00F96783"/>
    <w:rsid w:val="00F974CA"/>
    <w:rsid w:val="00FA11E5"/>
    <w:rsid w:val="00FB51E9"/>
    <w:rsid w:val="00FD03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912F1"/>
  <w15:chartTrackingRefBased/>
  <w15:docId w15:val="{DCC782CF-F7DF-4101-95C8-A56D59EB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9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69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69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69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69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69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9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9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9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9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69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69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69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69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6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932"/>
    <w:rPr>
      <w:rFonts w:eastAsiaTheme="majorEastAsia" w:cstheme="majorBidi"/>
      <w:color w:val="272727" w:themeColor="text1" w:themeTint="D8"/>
    </w:rPr>
  </w:style>
  <w:style w:type="paragraph" w:styleId="Title">
    <w:name w:val="Title"/>
    <w:basedOn w:val="Normal"/>
    <w:next w:val="Normal"/>
    <w:link w:val="TitleChar"/>
    <w:uiPriority w:val="10"/>
    <w:qFormat/>
    <w:rsid w:val="00CA6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9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932"/>
    <w:pPr>
      <w:spacing w:before="160"/>
      <w:jc w:val="center"/>
    </w:pPr>
    <w:rPr>
      <w:i/>
      <w:iCs/>
      <w:color w:val="404040" w:themeColor="text1" w:themeTint="BF"/>
    </w:rPr>
  </w:style>
  <w:style w:type="character" w:customStyle="1" w:styleId="QuoteChar">
    <w:name w:val="Quote Char"/>
    <w:basedOn w:val="DefaultParagraphFont"/>
    <w:link w:val="Quote"/>
    <w:uiPriority w:val="29"/>
    <w:rsid w:val="00CA6932"/>
    <w:rPr>
      <w:i/>
      <w:iCs/>
      <w:color w:val="404040" w:themeColor="text1" w:themeTint="BF"/>
    </w:rPr>
  </w:style>
  <w:style w:type="paragraph" w:styleId="ListParagraph">
    <w:name w:val="List Paragraph"/>
    <w:basedOn w:val="Normal"/>
    <w:uiPriority w:val="34"/>
    <w:qFormat/>
    <w:rsid w:val="00CA6932"/>
    <w:pPr>
      <w:ind w:left="720"/>
      <w:contextualSpacing/>
    </w:pPr>
  </w:style>
  <w:style w:type="character" w:styleId="IntenseEmphasis">
    <w:name w:val="Intense Emphasis"/>
    <w:basedOn w:val="DefaultParagraphFont"/>
    <w:uiPriority w:val="21"/>
    <w:qFormat/>
    <w:rsid w:val="00CA6932"/>
    <w:rPr>
      <w:i/>
      <w:iCs/>
      <w:color w:val="2F5496" w:themeColor="accent1" w:themeShade="BF"/>
    </w:rPr>
  </w:style>
  <w:style w:type="paragraph" w:styleId="IntenseQuote">
    <w:name w:val="Intense Quote"/>
    <w:basedOn w:val="Normal"/>
    <w:next w:val="Normal"/>
    <w:link w:val="IntenseQuoteChar"/>
    <w:uiPriority w:val="30"/>
    <w:qFormat/>
    <w:rsid w:val="00CA69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6932"/>
    <w:rPr>
      <w:i/>
      <w:iCs/>
      <w:color w:val="2F5496" w:themeColor="accent1" w:themeShade="BF"/>
    </w:rPr>
  </w:style>
  <w:style w:type="character" w:styleId="IntenseReference">
    <w:name w:val="Intense Reference"/>
    <w:basedOn w:val="DefaultParagraphFont"/>
    <w:uiPriority w:val="32"/>
    <w:qFormat/>
    <w:rsid w:val="00CA6932"/>
    <w:rPr>
      <w:b/>
      <w:bCs/>
      <w:smallCaps/>
      <w:color w:val="2F5496" w:themeColor="accent1" w:themeShade="BF"/>
      <w:spacing w:val="5"/>
    </w:rPr>
  </w:style>
  <w:style w:type="table" w:styleId="GridTable4">
    <w:name w:val="Grid Table 4"/>
    <w:basedOn w:val="TableNormal"/>
    <w:uiPriority w:val="49"/>
    <w:rsid w:val="002316D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D82CE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D82CE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5A6A6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A6A69"/>
    <w:rPr>
      <w:b/>
      <w:bCs/>
    </w:rPr>
  </w:style>
  <w:style w:type="table" w:styleId="ListTable6Colorful-Accent1">
    <w:name w:val="List Table 6 Colorful Accent 1"/>
    <w:basedOn w:val="TableNormal"/>
    <w:uiPriority w:val="51"/>
    <w:rsid w:val="00A74455"/>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145827"/>
    <w:rPr>
      <w:sz w:val="16"/>
      <w:szCs w:val="16"/>
    </w:rPr>
  </w:style>
  <w:style w:type="paragraph" w:styleId="CommentText">
    <w:name w:val="annotation text"/>
    <w:basedOn w:val="Normal"/>
    <w:link w:val="CommentTextChar"/>
    <w:uiPriority w:val="99"/>
    <w:unhideWhenUsed/>
    <w:rsid w:val="00145827"/>
    <w:pPr>
      <w:spacing w:line="240" w:lineRule="auto"/>
    </w:pPr>
    <w:rPr>
      <w:sz w:val="20"/>
      <w:szCs w:val="20"/>
    </w:rPr>
  </w:style>
  <w:style w:type="character" w:customStyle="1" w:styleId="CommentTextChar">
    <w:name w:val="Comment Text Char"/>
    <w:basedOn w:val="DefaultParagraphFont"/>
    <w:link w:val="CommentText"/>
    <w:uiPriority w:val="99"/>
    <w:rsid w:val="00145827"/>
    <w:rPr>
      <w:sz w:val="20"/>
      <w:szCs w:val="20"/>
    </w:rPr>
  </w:style>
  <w:style w:type="paragraph" w:styleId="CommentSubject">
    <w:name w:val="annotation subject"/>
    <w:basedOn w:val="CommentText"/>
    <w:next w:val="CommentText"/>
    <w:link w:val="CommentSubjectChar"/>
    <w:uiPriority w:val="99"/>
    <w:semiHidden/>
    <w:unhideWhenUsed/>
    <w:rsid w:val="00145827"/>
    <w:rPr>
      <w:b/>
      <w:bCs/>
    </w:rPr>
  </w:style>
  <w:style w:type="character" w:customStyle="1" w:styleId="CommentSubjectChar">
    <w:name w:val="Comment Subject Char"/>
    <w:basedOn w:val="CommentTextChar"/>
    <w:link w:val="CommentSubject"/>
    <w:uiPriority w:val="99"/>
    <w:semiHidden/>
    <w:rsid w:val="00145827"/>
    <w:rPr>
      <w:b/>
      <w:bCs/>
      <w:sz w:val="20"/>
      <w:szCs w:val="20"/>
    </w:rPr>
  </w:style>
  <w:style w:type="paragraph" w:styleId="BalloonText">
    <w:name w:val="Balloon Text"/>
    <w:basedOn w:val="Normal"/>
    <w:link w:val="BalloonTextChar"/>
    <w:uiPriority w:val="99"/>
    <w:semiHidden/>
    <w:unhideWhenUsed/>
    <w:rsid w:val="0014582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5827"/>
    <w:rPr>
      <w:rFonts w:ascii="Times New Roman" w:hAnsi="Times New Roman" w:cs="Times New Roman"/>
      <w:sz w:val="18"/>
      <w:szCs w:val="18"/>
    </w:rPr>
  </w:style>
  <w:style w:type="paragraph" w:styleId="Revision">
    <w:name w:val="Revision"/>
    <w:hidden/>
    <w:uiPriority w:val="99"/>
    <w:semiHidden/>
    <w:rsid w:val="005F5E26"/>
    <w:pPr>
      <w:spacing w:after="0" w:line="240" w:lineRule="auto"/>
    </w:pPr>
  </w:style>
  <w:style w:type="character" w:styleId="Hyperlink">
    <w:name w:val="Hyperlink"/>
    <w:basedOn w:val="DefaultParagraphFont"/>
    <w:uiPriority w:val="99"/>
    <w:unhideWhenUsed/>
    <w:qFormat/>
    <w:rsid w:val="00140330"/>
    <w:rPr>
      <w:color w:val="0563C1" w:themeColor="hyperlink"/>
      <w:u w:val="single"/>
    </w:rPr>
  </w:style>
  <w:style w:type="character" w:styleId="UnresolvedMention">
    <w:name w:val="Unresolved Mention"/>
    <w:basedOn w:val="DefaultParagraphFont"/>
    <w:uiPriority w:val="99"/>
    <w:semiHidden/>
    <w:unhideWhenUsed/>
    <w:rsid w:val="00F96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1571">
      <w:bodyDiv w:val="1"/>
      <w:marLeft w:val="0"/>
      <w:marRight w:val="0"/>
      <w:marTop w:val="0"/>
      <w:marBottom w:val="0"/>
      <w:divBdr>
        <w:top w:val="none" w:sz="0" w:space="0" w:color="auto"/>
        <w:left w:val="none" w:sz="0" w:space="0" w:color="auto"/>
        <w:bottom w:val="none" w:sz="0" w:space="0" w:color="auto"/>
        <w:right w:val="none" w:sz="0" w:space="0" w:color="auto"/>
      </w:divBdr>
      <w:divsChild>
        <w:div w:id="1394161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49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decipher.sang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16</Pages>
  <Words>5838</Words>
  <Characters>33279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Shams Nosrati</dc:creator>
  <cp:keywords/>
  <dc:description/>
  <cp:lastModifiedBy>MS Shams Nosrati</cp:lastModifiedBy>
  <cp:revision>6</cp:revision>
  <dcterms:created xsi:type="dcterms:W3CDTF">2026-05-06T19:33:00Z</dcterms:created>
  <dcterms:modified xsi:type="dcterms:W3CDTF">2026-06-18T22:41:00Z</dcterms:modified>
</cp:coreProperties>
</file>