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43327" w14:textId="2D23EA1E" w:rsidR="004A76E6" w:rsidRPr="00A06A04" w:rsidRDefault="00904DD5" w:rsidP="00A06A04">
      <w:pPr>
        <w:pStyle w:val="Heading1"/>
        <w:rPr>
          <w:rFonts w:ascii="Times New Roman" w:hAnsi="Times New Roman" w:cs="Times New Roman"/>
          <w:b/>
          <w:bCs/>
          <w:sz w:val="24"/>
          <w:szCs w:val="24"/>
        </w:rPr>
      </w:pPr>
      <w:r w:rsidRPr="004A76E6">
        <w:rPr>
          <w:rFonts w:ascii="Times New Roman" w:hAnsi="Times New Roman" w:cs="Times New Roman"/>
          <w:b/>
          <w:bCs/>
          <w:sz w:val="24"/>
          <w:szCs w:val="24"/>
        </w:rPr>
        <w:t>Supplementary Evidence</w:t>
      </w:r>
    </w:p>
    <w:p w14:paraId="3714D154" w14:textId="491C5295" w:rsidR="004A76E6" w:rsidRPr="00A06A04" w:rsidRDefault="00A06A04" w:rsidP="00F5506C">
      <w:pPr>
        <w:jc w:val="both"/>
        <w:rPr>
          <w:rFonts w:ascii="Times New Roman" w:hAnsi="Times New Roman" w:cs="Times New Roman"/>
          <w:sz w:val="24"/>
          <w:szCs w:val="24"/>
        </w:rPr>
      </w:pPr>
      <w:r w:rsidRPr="00A06A04">
        <w:rPr>
          <w:rStyle w:val="Strong"/>
          <w:rFonts w:ascii="Times New Roman" w:hAnsi="Times New Roman" w:cs="Times New Roman"/>
        </w:rPr>
        <w:t xml:space="preserve">Prototype </w:t>
      </w:r>
      <w:proofErr w:type="spellStart"/>
      <w:r w:rsidRPr="00A06A04">
        <w:rPr>
          <w:rStyle w:val="Strong"/>
          <w:rFonts w:ascii="Times New Roman" w:hAnsi="Times New Roman" w:cs="Times New Roman"/>
        </w:rPr>
        <w:t>RAiA</w:t>
      </w:r>
      <w:proofErr w:type="spellEnd"/>
      <w:r w:rsidRPr="00A06A04">
        <w:rPr>
          <w:rStyle w:val="Strong"/>
          <w:rFonts w:ascii="Times New Roman" w:hAnsi="Times New Roman" w:cs="Times New Roman"/>
        </w:rPr>
        <w:t xml:space="preserve"> user-interface screenshot series</w:t>
      </w:r>
      <w:r w:rsidR="00182FEF">
        <w:rPr>
          <w:rStyle w:val="Strong"/>
          <w:rFonts w:ascii="Times New Roman" w:hAnsi="Times New Roman" w:cs="Times New Roman"/>
        </w:rPr>
        <w:t xml:space="preserve">: </w:t>
      </w:r>
      <w:r w:rsidRPr="00A06A04">
        <w:rPr>
          <w:rFonts w:ascii="Times New Roman" w:hAnsi="Times New Roman" w:cs="Times New Roman"/>
        </w:rPr>
        <w:t xml:space="preserve">The screenshots show the HTML user interface of the non-operational </w:t>
      </w:r>
      <w:proofErr w:type="spellStart"/>
      <w:r w:rsidRPr="00A06A04">
        <w:rPr>
          <w:rFonts w:ascii="Times New Roman" w:hAnsi="Times New Roman" w:cs="Times New Roman"/>
        </w:rPr>
        <w:t>RAiA</w:t>
      </w:r>
      <w:proofErr w:type="spellEnd"/>
      <w:r w:rsidRPr="00A06A04">
        <w:rPr>
          <w:rFonts w:ascii="Times New Roman" w:hAnsi="Times New Roman" w:cs="Times New Roman"/>
        </w:rPr>
        <w:t xml:space="preserve"> v2 prototype using synthetic or non-confidential demonstration data. The sequence illustrates the main assessor-facing and administrative screens supporting dossier navigation, CTD mapping, findings review, evidence capture, governance oversight, report export and auditability. These screenshots demonstrate interface structure and workflow logic only</w:t>
      </w:r>
      <w:r w:rsidR="00F5506C">
        <w:rPr>
          <w:rFonts w:ascii="Times New Roman" w:hAnsi="Times New Roman" w:cs="Times New Roman"/>
        </w:rPr>
        <w:t>.</w:t>
      </w:r>
    </w:p>
    <w:p w14:paraId="5F5F2B81" w14:textId="347BB500" w:rsidR="008F6A4E" w:rsidRDefault="00A06A04" w:rsidP="00DE09D9">
      <w:pPr>
        <w:keepNext/>
        <w:jc w:val="center"/>
        <w:rPr>
          <w:rFonts w:ascii="Times New Roman" w:hAnsi="Times New Roman" w:cs="Times New Roman"/>
          <w:noProof/>
        </w:rPr>
      </w:pPr>
      <w:r w:rsidRPr="00A06A04">
        <w:rPr>
          <w:rFonts w:ascii="Times New Roman" w:hAnsi="Times New Roman" w:cs="Times New Roman"/>
          <w:noProof/>
        </w:rPr>
        <w:drawing>
          <wp:anchor distT="0" distB="0" distL="114300" distR="114300" simplePos="0" relativeHeight="251658240" behindDoc="0" locked="0" layoutInCell="1" allowOverlap="1" wp14:anchorId="0674E7E8" wp14:editId="3F26C0D6">
            <wp:simplePos x="0" y="0"/>
            <wp:positionH relativeFrom="margin">
              <wp:posOffset>552985</wp:posOffset>
            </wp:positionH>
            <wp:positionV relativeFrom="paragraph">
              <wp:posOffset>11430</wp:posOffset>
            </wp:positionV>
            <wp:extent cx="7267074" cy="3585208"/>
            <wp:effectExtent l="0" t="0" r="0" b="0"/>
            <wp:wrapNone/>
            <wp:docPr id="4477261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642" r="8930"/>
                    <a:stretch>
                      <a:fillRect/>
                    </a:stretch>
                  </pic:blipFill>
                  <pic:spPr bwMode="auto">
                    <a:xfrm>
                      <a:off x="0" y="0"/>
                      <a:ext cx="7267074" cy="35852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079A43" w14:textId="12B5E5B1" w:rsidR="008F6A4E" w:rsidRDefault="008F6A4E" w:rsidP="00DE09D9">
      <w:pPr>
        <w:keepNext/>
        <w:jc w:val="center"/>
        <w:rPr>
          <w:rFonts w:ascii="Times New Roman" w:hAnsi="Times New Roman" w:cs="Times New Roman"/>
          <w:noProof/>
        </w:rPr>
      </w:pPr>
    </w:p>
    <w:p w14:paraId="6739799C" w14:textId="308B26BE" w:rsidR="008F6A4E" w:rsidRDefault="008F6A4E" w:rsidP="00DE09D9">
      <w:pPr>
        <w:keepNext/>
        <w:jc w:val="center"/>
        <w:rPr>
          <w:rFonts w:ascii="Times New Roman" w:hAnsi="Times New Roman" w:cs="Times New Roman"/>
          <w:noProof/>
        </w:rPr>
      </w:pPr>
    </w:p>
    <w:p w14:paraId="1DAD3479" w14:textId="25B17F2E" w:rsidR="008F6A4E" w:rsidRDefault="008F6A4E" w:rsidP="00DE09D9">
      <w:pPr>
        <w:keepNext/>
        <w:jc w:val="center"/>
        <w:rPr>
          <w:rFonts w:ascii="Times New Roman" w:hAnsi="Times New Roman" w:cs="Times New Roman"/>
          <w:noProof/>
        </w:rPr>
      </w:pPr>
    </w:p>
    <w:p w14:paraId="2568D7F6" w14:textId="5E7EB166" w:rsidR="008F6A4E" w:rsidRDefault="008F6A4E" w:rsidP="00DE09D9">
      <w:pPr>
        <w:keepNext/>
        <w:jc w:val="center"/>
        <w:rPr>
          <w:rFonts w:ascii="Times New Roman" w:hAnsi="Times New Roman" w:cs="Times New Roman"/>
          <w:noProof/>
        </w:rPr>
      </w:pPr>
    </w:p>
    <w:p w14:paraId="3D687E95" w14:textId="6CCCDC83" w:rsidR="008F6A4E" w:rsidRDefault="008F6A4E" w:rsidP="00DE09D9">
      <w:pPr>
        <w:keepNext/>
        <w:jc w:val="center"/>
        <w:rPr>
          <w:rFonts w:ascii="Times New Roman" w:hAnsi="Times New Roman" w:cs="Times New Roman"/>
          <w:noProof/>
        </w:rPr>
      </w:pPr>
    </w:p>
    <w:p w14:paraId="0A348B40" w14:textId="1CCEBAE4" w:rsidR="008F6A4E" w:rsidRDefault="008F6A4E" w:rsidP="00DE09D9">
      <w:pPr>
        <w:keepNext/>
        <w:jc w:val="center"/>
        <w:rPr>
          <w:rFonts w:ascii="Times New Roman" w:hAnsi="Times New Roman" w:cs="Times New Roman"/>
          <w:noProof/>
        </w:rPr>
      </w:pPr>
    </w:p>
    <w:p w14:paraId="41E48FD9" w14:textId="786F5B8F" w:rsidR="008F6A4E" w:rsidRDefault="008F6A4E" w:rsidP="00DE09D9">
      <w:pPr>
        <w:keepNext/>
        <w:jc w:val="center"/>
        <w:rPr>
          <w:rFonts w:ascii="Times New Roman" w:hAnsi="Times New Roman" w:cs="Times New Roman"/>
          <w:noProof/>
        </w:rPr>
      </w:pPr>
    </w:p>
    <w:p w14:paraId="63187415" w14:textId="77777777" w:rsidR="008F6A4E" w:rsidRDefault="008F6A4E" w:rsidP="00DE09D9">
      <w:pPr>
        <w:keepNext/>
        <w:jc w:val="center"/>
        <w:rPr>
          <w:rFonts w:ascii="Times New Roman" w:hAnsi="Times New Roman" w:cs="Times New Roman"/>
          <w:noProof/>
        </w:rPr>
      </w:pPr>
    </w:p>
    <w:p w14:paraId="3C4B4E77" w14:textId="77777777" w:rsidR="008F6A4E" w:rsidRDefault="008F6A4E" w:rsidP="008F6A4E">
      <w:pPr>
        <w:jc w:val="both"/>
        <w:rPr>
          <w:rFonts w:ascii="Times New Roman" w:hAnsi="Times New Roman" w:cs="Times New Roman"/>
          <w:sz w:val="24"/>
          <w:szCs w:val="24"/>
        </w:rPr>
      </w:pPr>
    </w:p>
    <w:p w14:paraId="26A0014C" w14:textId="77777777" w:rsidR="008F6A4E" w:rsidRDefault="008F6A4E" w:rsidP="008F6A4E">
      <w:pPr>
        <w:jc w:val="both"/>
        <w:rPr>
          <w:rFonts w:ascii="Times New Roman" w:hAnsi="Times New Roman" w:cs="Times New Roman"/>
          <w:sz w:val="24"/>
          <w:szCs w:val="24"/>
        </w:rPr>
      </w:pPr>
    </w:p>
    <w:p w14:paraId="31152C0B" w14:textId="77777777" w:rsidR="008F6A4E" w:rsidRDefault="008F6A4E" w:rsidP="008F6A4E">
      <w:pPr>
        <w:jc w:val="both"/>
        <w:rPr>
          <w:rFonts w:ascii="Times New Roman" w:hAnsi="Times New Roman" w:cs="Times New Roman"/>
          <w:sz w:val="24"/>
          <w:szCs w:val="24"/>
        </w:rPr>
      </w:pPr>
    </w:p>
    <w:p w14:paraId="0F26A2FE" w14:textId="77777777" w:rsidR="00A06A04" w:rsidRDefault="00A06A04" w:rsidP="008F6A4E">
      <w:pPr>
        <w:jc w:val="both"/>
        <w:rPr>
          <w:rFonts w:ascii="Times New Roman" w:hAnsi="Times New Roman" w:cs="Times New Roman"/>
          <w:sz w:val="24"/>
          <w:szCs w:val="24"/>
        </w:rPr>
      </w:pPr>
    </w:p>
    <w:p w14:paraId="3F3A5A56" w14:textId="3650458B" w:rsidR="008F6A4E" w:rsidRPr="00A06A04" w:rsidRDefault="00182FEF" w:rsidP="008F6A4E">
      <w:pPr>
        <w:jc w:val="both"/>
        <w:rPr>
          <w:rFonts w:ascii="Times New Roman" w:hAnsi="Times New Roman" w:cs="Times New Roman"/>
          <w:b/>
          <w:bCs/>
          <w:sz w:val="24"/>
          <w:szCs w:val="24"/>
        </w:rPr>
      </w:pPr>
      <w:r>
        <w:rPr>
          <w:rFonts w:ascii="Times New Roman" w:hAnsi="Times New Roman" w:cs="Times New Roman"/>
          <w:b/>
          <w:bCs/>
          <w:sz w:val="24"/>
          <w:szCs w:val="24"/>
        </w:rPr>
        <w:t>S</w:t>
      </w:r>
      <w:r w:rsidR="00A06A04">
        <w:rPr>
          <w:rFonts w:ascii="Times New Roman" w:hAnsi="Times New Roman" w:cs="Times New Roman"/>
          <w:b/>
          <w:bCs/>
          <w:sz w:val="24"/>
          <w:szCs w:val="24"/>
        </w:rPr>
        <w:t>u</w:t>
      </w:r>
      <w:r w:rsidR="008F6A4E" w:rsidRPr="00A06A04">
        <w:rPr>
          <w:rFonts w:ascii="Times New Roman" w:hAnsi="Times New Roman" w:cs="Times New Roman"/>
          <w:b/>
          <w:bCs/>
          <w:sz w:val="24"/>
          <w:szCs w:val="24"/>
        </w:rPr>
        <w:t>pplementary Fig. S1. Dashboard</w:t>
      </w:r>
      <w:r w:rsidR="00A06A04">
        <w:rPr>
          <w:rFonts w:ascii="Times New Roman" w:hAnsi="Times New Roman" w:cs="Times New Roman"/>
          <w:b/>
          <w:bCs/>
          <w:sz w:val="24"/>
          <w:szCs w:val="24"/>
        </w:rPr>
        <w:t xml:space="preserve">: </w:t>
      </w:r>
      <w:r w:rsidR="008F6A4E" w:rsidRPr="008F6A4E">
        <w:rPr>
          <w:rFonts w:ascii="Times New Roman" w:hAnsi="Times New Roman" w:cs="Times New Roman"/>
          <w:sz w:val="24"/>
          <w:szCs w:val="24"/>
        </w:rPr>
        <w:t xml:space="preserve">Dashboard view of the </w:t>
      </w:r>
      <w:proofErr w:type="spellStart"/>
      <w:r w:rsidR="008F6A4E" w:rsidRPr="008F6A4E">
        <w:rPr>
          <w:rFonts w:ascii="Times New Roman" w:hAnsi="Times New Roman" w:cs="Times New Roman"/>
          <w:sz w:val="24"/>
          <w:szCs w:val="24"/>
        </w:rPr>
        <w:t>RAiA</w:t>
      </w:r>
      <w:proofErr w:type="spellEnd"/>
      <w:r w:rsidR="008F6A4E" w:rsidRPr="008F6A4E">
        <w:rPr>
          <w:rFonts w:ascii="Times New Roman" w:hAnsi="Times New Roman" w:cs="Times New Roman"/>
          <w:sz w:val="24"/>
          <w:szCs w:val="24"/>
        </w:rPr>
        <w:t xml:space="preserve"> v2 prototype user interface, showing the entry point for monitoring dossier-review activity, review status and navigation to key workflow areas. The dashboard supports assessor orientation within the non-operational review-support environment.</w:t>
      </w:r>
    </w:p>
    <w:p w14:paraId="485F976D" w14:textId="4CC09A33" w:rsidR="007C256A" w:rsidRPr="00882320" w:rsidRDefault="008F6A4E" w:rsidP="00182FEF">
      <w:pPr>
        <w:keepNext/>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22C6361C" wp14:editId="3F9537E3">
            <wp:extent cx="8773743" cy="4908884"/>
            <wp:effectExtent l="0" t="0" r="8890" b="6350"/>
            <wp:docPr id="17759014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908" r="8931"/>
                    <a:stretch>
                      <a:fillRect/>
                    </a:stretch>
                  </pic:blipFill>
                  <pic:spPr bwMode="auto">
                    <a:xfrm>
                      <a:off x="0" y="0"/>
                      <a:ext cx="8793517" cy="4919948"/>
                    </a:xfrm>
                    <a:prstGeom prst="rect">
                      <a:avLst/>
                    </a:prstGeom>
                    <a:noFill/>
                    <a:ln>
                      <a:noFill/>
                    </a:ln>
                    <a:extLst>
                      <a:ext uri="{53640926-AAD7-44D8-BBD7-CCE9431645EC}">
                        <a14:shadowObscured xmlns:a14="http://schemas.microsoft.com/office/drawing/2010/main"/>
                      </a:ext>
                    </a:extLst>
                  </pic:spPr>
                </pic:pic>
              </a:graphicData>
            </a:graphic>
          </wp:inline>
        </w:drawing>
      </w:r>
    </w:p>
    <w:p w14:paraId="5C387B1D" w14:textId="14082398" w:rsidR="008F6A4E" w:rsidRPr="00A06A04" w:rsidRDefault="008F6A4E" w:rsidP="00F5506C">
      <w:pPr>
        <w:jc w:val="both"/>
        <w:rPr>
          <w:rFonts w:ascii="Times New Roman" w:hAnsi="Times New Roman" w:cs="Times New Roman"/>
          <w:b/>
          <w:bCs/>
          <w:sz w:val="24"/>
          <w:szCs w:val="24"/>
        </w:rPr>
      </w:pPr>
      <w:r w:rsidRPr="00A06A04">
        <w:rPr>
          <w:rFonts w:ascii="Times New Roman" w:hAnsi="Times New Roman" w:cs="Times New Roman"/>
          <w:b/>
          <w:bCs/>
          <w:sz w:val="24"/>
          <w:szCs w:val="24"/>
        </w:rPr>
        <w:t>Supplementary Fig. S2. Dossier management</w:t>
      </w:r>
      <w:r w:rsidR="00A06A04">
        <w:rPr>
          <w:rFonts w:ascii="Times New Roman" w:hAnsi="Times New Roman" w:cs="Times New Roman"/>
          <w:b/>
          <w:bCs/>
          <w:sz w:val="24"/>
          <w:szCs w:val="24"/>
        </w:rPr>
        <w:t xml:space="preserve">: </w:t>
      </w:r>
      <w:r w:rsidRPr="008F6A4E">
        <w:rPr>
          <w:rFonts w:ascii="Times New Roman" w:hAnsi="Times New Roman" w:cs="Times New Roman"/>
          <w:sz w:val="24"/>
          <w:szCs w:val="24"/>
        </w:rPr>
        <w:t>Dossier-management view showing how uploaded or registered dossier files are organised for review. The screen illustrates the prototype’s support for dossier tracking, document access and workflow continuity before detailed CTD-aligned analysis.</w:t>
      </w:r>
    </w:p>
    <w:p w14:paraId="347B92F6" w14:textId="2C228E3D" w:rsidR="007C256A" w:rsidRPr="00882320" w:rsidRDefault="007C256A" w:rsidP="00DE09D9">
      <w:pPr>
        <w:keepNext/>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3BD112A9" wp14:editId="267F5069">
            <wp:extent cx="8588711" cy="4838400"/>
            <wp:effectExtent l="0" t="0" r="3175" b="635"/>
            <wp:docPr id="8132729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041" r="8930"/>
                    <a:stretch>
                      <a:fillRect/>
                    </a:stretch>
                  </pic:blipFill>
                  <pic:spPr bwMode="auto">
                    <a:xfrm>
                      <a:off x="0" y="0"/>
                      <a:ext cx="8588711" cy="4838400"/>
                    </a:xfrm>
                    <a:prstGeom prst="rect">
                      <a:avLst/>
                    </a:prstGeom>
                    <a:noFill/>
                    <a:ln>
                      <a:noFill/>
                    </a:ln>
                    <a:extLst>
                      <a:ext uri="{53640926-AAD7-44D8-BBD7-CCE9431645EC}">
                        <a14:shadowObscured xmlns:a14="http://schemas.microsoft.com/office/drawing/2010/main"/>
                      </a:ext>
                    </a:extLst>
                  </pic:spPr>
                </pic:pic>
              </a:graphicData>
            </a:graphic>
          </wp:inline>
        </w:drawing>
      </w:r>
    </w:p>
    <w:p w14:paraId="575E504B" w14:textId="18178B74" w:rsidR="007C256A" w:rsidRPr="00A06A04" w:rsidRDefault="008F6A4E" w:rsidP="00A06A04">
      <w:pPr>
        <w:jc w:val="both"/>
        <w:rPr>
          <w:rFonts w:ascii="Times New Roman" w:hAnsi="Times New Roman" w:cs="Times New Roman"/>
          <w:sz w:val="24"/>
          <w:szCs w:val="24"/>
        </w:rPr>
      </w:pPr>
      <w:r w:rsidRPr="00A06A04">
        <w:rPr>
          <w:rFonts w:ascii="Times New Roman" w:hAnsi="Times New Roman" w:cs="Times New Roman"/>
          <w:b/>
          <w:bCs/>
          <w:sz w:val="24"/>
          <w:szCs w:val="24"/>
        </w:rPr>
        <w:t>Supplementary Fig. S3. Dossier review: CTD mapping</w:t>
      </w:r>
      <w:r w:rsidR="00A06A04" w:rsidRPr="00A06A04">
        <w:rPr>
          <w:rFonts w:ascii="Times New Roman" w:hAnsi="Times New Roman" w:cs="Times New Roman"/>
          <w:b/>
          <w:bCs/>
          <w:sz w:val="24"/>
          <w:szCs w:val="24"/>
        </w:rPr>
        <w:t>:</w:t>
      </w:r>
      <w:r w:rsidR="00A06A04">
        <w:rPr>
          <w:rFonts w:ascii="Times New Roman" w:hAnsi="Times New Roman" w:cs="Times New Roman"/>
          <w:sz w:val="24"/>
          <w:szCs w:val="24"/>
        </w:rPr>
        <w:t xml:space="preserve"> </w:t>
      </w:r>
      <w:r w:rsidRPr="008F6A4E">
        <w:rPr>
          <w:rFonts w:ascii="Times New Roman" w:hAnsi="Times New Roman" w:cs="Times New Roman"/>
          <w:sz w:val="24"/>
          <w:szCs w:val="24"/>
        </w:rPr>
        <w:t>CTD-mapping view showing how dossier content is organised against Common Technical Document sections for structured review. The screen demonstrates the interface logic for linking uploaded material to regulatory dossier sections, supporting navigation and assessor verification</w:t>
      </w:r>
    </w:p>
    <w:p w14:paraId="0D1D895B" w14:textId="0412A31D" w:rsidR="00A06A04" w:rsidRPr="00A06A04" w:rsidRDefault="007C256A" w:rsidP="00A06A04">
      <w:pPr>
        <w:keepNext/>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472D6274" wp14:editId="14355A20">
            <wp:extent cx="8783320" cy="4920916"/>
            <wp:effectExtent l="0" t="0" r="0" b="0"/>
            <wp:docPr id="13752684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042" r="8797"/>
                    <a:stretch>
                      <a:fillRect/>
                    </a:stretch>
                  </pic:blipFill>
                  <pic:spPr bwMode="auto">
                    <a:xfrm>
                      <a:off x="0" y="0"/>
                      <a:ext cx="8804283" cy="4932661"/>
                    </a:xfrm>
                    <a:prstGeom prst="rect">
                      <a:avLst/>
                    </a:prstGeom>
                    <a:noFill/>
                    <a:ln>
                      <a:noFill/>
                    </a:ln>
                    <a:extLst>
                      <a:ext uri="{53640926-AAD7-44D8-BBD7-CCE9431645EC}">
                        <a14:shadowObscured xmlns:a14="http://schemas.microsoft.com/office/drawing/2010/main"/>
                      </a:ext>
                    </a:extLst>
                  </pic:spPr>
                </pic:pic>
              </a:graphicData>
            </a:graphic>
          </wp:inline>
        </w:drawing>
      </w:r>
    </w:p>
    <w:p w14:paraId="4F724A74" w14:textId="188DA5C7" w:rsidR="00F05C19" w:rsidRPr="00A06A04" w:rsidRDefault="008F6A4E" w:rsidP="008F6A4E">
      <w:pPr>
        <w:jc w:val="both"/>
        <w:rPr>
          <w:rFonts w:ascii="Times New Roman" w:hAnsi="Times New Roman" w:cs="Times New Roman"/>
          <w:b/>
          <w:bCs/>
          <w:sz w:val="24"/>
          <w:szCs w:val="24"/>
        </w:rPr>
      </w:pPr>
      <w:r w:rsidRPr="00A06A04">
        <w:rPr>
          <w:rFonts w:ascii="Times New Roman" w:hAnsi="Times New Roman" w:cs="Times New Roman"/>
          <w:b/>
          <w:bCs/>
          <w:sz w:val="24"/>
          <w:szCs w:val="24"/>
        </w:rPr>
        <w:t>Supplementary Fig. S4. Dossier review: findings analysis</w:t>
      </w:r>
      <w:r w:rsidR="00A06A04">
        <w:rPr>
          <w:rFonts w:ascii="Times New Roman" w:hAnsi="Times New Roman" w:cs="Times New Roman"/>
          <w:b/>
          <w:bCs/>
          <w:sz w:val="24"/>
          <w:szCs w:val="24"/>
        </w:rPr>
        <w:t xml:space="preserve">: </w:t>
      </w:r>
      <w:r w:rsidRPr="008F6A4E">
        <w:rPr>
          <w:rFonts w:ascii="Times New Roman" w:hAnsi="Times New Roman" w:cs="Times New Roman"/>
          <w:sz w:val="24"/>
          <w:szCs w:val="24"/>
        </w:rPr>
        <w:t>Findings-analysis view showing candidate review findings generated or organised within the prototype for assessor inspection. The screen illustrates how findings are presented for human review, including review status and actionability, without implying autonomous regulatory decision-making.</w:t>
      </w:r>
    </w:p>
    <w:p w14:paraId="6ACB97D3" w14:textId="77777777" w:rsidR="00F05C19" w:rsidRPr="00882320" w:rsidRDefault="00F05C19" w:rsidP="00DE09D9">
      <w:pPr>
        <w:pStyle w:val="Caption"/>
        <w:keepNext/>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3F6FE18D" wp14:editId="28557844">
            <wp:extent cx="8658312" cy="4838400"/>
            <wp:effectExtent l="0" t="0" r="0" b="635"/>
            <wp:docPr id="9005532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775" r="8531"/>
                    <a:stretch>
                      <a:fillRect/>
                    </a:stretch>
                  </pic:blipFill>
                  <pic:spPr bwMode="auto">
                    <a:xfrm>
                      <a:off x="0" y="0"/>
                      <a:ext cx="8658312" cy="4838400"/>
                    </a:xfrm>
                    <a:prstGeom prst="rect">
                      <a:avLst/>
                    </a:prstGeom>
                    <a:noFill/>
                    <a:ln>
                      <a:noFill/>
                    </a:ln>
                    <a:extLst>
                      <a:ext uri="{53640926-AAD7-44D8-BBD7-CCE9431645EC}">
                        <a14:shadowObscured xmlns:a14="http://schemas.microsoft.com/office/drawing/2010/main"/>
                      </a:ext>
                    </a:extLst>
                  </pic:spPr>
                </pic:pic>
              </a:graphicData>
            </a:graphic>
          </wp:inline>
        </w:drawing>
      </w:r>
    </w:p>
    <w:p w14:paraId="4089F5A4" w14:textId="50797AB2" w:rsidR="008F6A4E" w:rsidRPr="00A06A04" w:rsidRDefault="008F6A4E" w:rsidP="008F6A4E">
      <w:pPr>
        <w:jc w:val="both"/>
        <w:rPr>
          <w:rFonts w:ascii="Times New Roman" w:hAnsi="Times New Roman" w:cs="Times New Roman"/>
          <w:b/>
          <w:bCs/>
          <w:sz w:val="24"/>
          <w:szCs w:val="24"/>
        </w:rPr>
      </w:pPr>
      <w:r w:rsidRPr="00A06A04">
        <w:rPr>
          <w:rFonts w:ascii="Times New Roman" w:hAnsi="Times New Roman" w:cs="Times New Roman"/>
          <w:b/>
          <w:bCs/>
          <w:sz w:val="24"/>
          <w:szCs w:val="24"/>
        </w:rPr>
        <w:t>Supplementary Fig. S5. Dossier review: findings analysis, mark/resolve finding modal</w:t>
      </w:r>
      <w:r w:rsidR="00A06A04">
        <w:rPr>
          <w:rFonts w:ascii="Times New Roman" w:hAnsi="Times New Roman" w:cs="Times New Roman"/>
          <w:b/>
          <w:bCs/>
          <w:sz w:val="24"/>
          <w:szCs w:val="24"/>
        </w:rPr>
        <w:t xml:space="preserve">: </w:t>
      </w:r>
      <w:r w:rsidRPr="008F6A4E">
        <w:rPr>
          <w:rFonts w:ascii="Times New Roman" w:hAnsi="Times New Roman" w:cs="Times New Roman"/>
          <w:sz w:val="24"/>
          <w:szCs w:val="24"/>
        </w:rPr>
        <w:t>Modal window for marking or resolving a candidate finding. The interface demonstrates how assessor actions can be captured at finding level, supporting acceptance, resolution, deferral or other status changes with traceable human input.</w:t>
      </w:r>
    </w:p>
    <w:p w14:paraId="3B304317" w14:textId="47D2A604" w:rsidR="007C256A" w:rsidRPr="00882320" w:rsidRDefault="008F6A4E" w:rsidP="00DE09D9">
      <w:pPr>
        <w:pStyle w:val="Caption"/>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7737B0F4" wp14:editId="2E8C881D">
            <wp:extent cx="8616551" cy="4838400"/>
            <wp:effectExtent l="0" t="0" r="0" b="635"/>
            <wp:docPr id="15643961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041" r="8664"/>
                    <a:stretch>
                      <a:fillRect/>
                    </a:stretch>
                  </pic:blipFill>
                  <pic:spPr bwMode="auto">
                    <a:xfrm>
                      <a:off x="0" y="0"/>
                      <a:ext cx="8616551" cy="4838400"/>
                    </a:xfrm>
                    <a:prstGeom prst="rect">
                      <a:avLst/>
                    </a:prstGeom>
                    <a:noFill/>
                    <a:ln>
                      <a:noFill/>
                    </a:ln>
                    <a:extLst>
                      <a:ext uri="{53640926-AAD7-44D8-BBD7-CCE9431645EC}">
                        <a14:shadowObscured xmlns:a14="http://schemas.microsoft.com/office/drawing/2010/main"/>
                      </a:ext>
                    </a:extLst>
                  </pic:spPr>
                </pic:pic>
              </a:graphicData>
            </a:graphic>
          </wp:inline>
        </w:drawing>
      </w:r>
    </w:p>
    <w:p w14:paraId="3287D015" w14:textId="3AA9EF50" w:rsidR="008F6A4E" w:rsidRPr="00A06A04" w:rsidRDefault="008F6A4E" w:rsidP="008F6A4E">
      <w:pPr>
        <w:jc w:val="both"/>
        <w:rPr>
          <w:rFonts w:ascii="Times New Roman" w:hAnsi="Times New Roman" w:cs="Times New Roman"/>
          <w:b/>
          <w:bCs/>
          <w:sz w:val="24"/>
          <w:szCs w:val="24"/>
        </w:rPr>
      </w:pPr>
      <w:r w:rsidRPr="00A06A04">
        <w:rPr>
          <w:rFonts w:ascii="Times New Roman" w:hAnsi="Times New Roman" w:cs="Times New Roman"/>
          <w:b/>
          <w:bCs/>
          <w:sz w:val="24"/>
          <w:szCs w:val="24"/>
        </w:rPr>
        <w:t xml:space="preserve">Supplementary Fig. S6. Dossier review: </w:t>
      </w:r>
      <w:r w:rsidR="00A06A04">
        <w:rPr>
          <w:rFonts w:ascii="Times New Roman" w:hAnsi="Times New Roman" w:cs="Times New Roman"/>
          <w:b/>
          <w:bCs/>
          <w:sz w:val="24"/>
          <w:szCs w:val="24"/>
        </w:rPr>
        <w:t>E</w:t>
      </w:r>
      <w:r w:rsidRPr="00A06A04">
        <w:rPr>
          <w:rFonts w:ascii="Times New Roman" w:hAnsi="Times New Roman" w:cs="Times New Roman"/>
          <w:b/>
          <w:bCs/>
          <w:sz w:val="24"/>
          <w:szCs w:val="24"/>
        </w:rPr>
        <w:t>vidence</w:t>
      </w:r>
      <w:r w:rsidR="00A06A04">
        <w:rPr>
          <w:rFonts w:ascii="Times New Roman" w:hAnsi="Times New Roman" w:cs="Times New Roman"/>
          <w:b/>
          <w:bCs/>
          <w:sz w:val="24"/>
          <w:szCs w:val="24"/>
        </w:rPr>
        <w:t xml:space="preserve">. </w:t>
      </w:r>
      <w:r w:rsidRPr="008F6A4E">
        <w:rPr>
          <w:rFonts w:ascii="Times New Roman" w:hAnsi="Times New Roman" w:cs="Times New Roman"/>
          <w:sz w:val="24"/>
          <w:szCs w:val="24"/>
        </w:rPr>
        <w:t xml:space="preserve">Evidence </w:t>
      </w:r>
      <w:proofErr w:type="gramStart"/>
      <w:r w:rsidRPr="008F6A4E">
        <w:rPr>
          <w:rFonts w:ascii="Times New Roman" w:hAnsi="Times New Roman" w:cs="Times New Roman"/>
          <w:sz w:val="24"/>
          <w:szCs w:val="24"/>
        </w:rPr>
        <w:t>view</w:t>
      </w:r>
      <w:proofErr w:type="gramEnd"/>
      <w:r w:rsidRPr="008F6A4E">
        <w:rPr>
          <w:rFonts w:ascii="Times New Roman" w:hAnsi="Times New Roman" w:cs="Times New Roman"/>
          <w:sz w:val="24"/>
          <w:szCs w:val="24"/>
        </w:rPr>
        <w:t xml:space="preserve"> showing source-linked material associated with review findings. The screen illustrates the prototype’s evidence-trace function, allowing assessors to inspect supporting material rather than relying on unsupported AI-generated synthesis.</w:t>
      </w:r>
    </w:p>
    <w:p w14:paraId="3F8DFA3D" w14:textId="27E73A0E" w:rsidR="00DE09D9" w:rsidRPr="00882320" w:rsidRDefault="008F6A4E" w:rsidP="00A06A04">
      <w:pPr>
        <w:pStyle w:val="Caption"/>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27B754BE" wp14:editId="664020C7">
            <wp:extent cx="8642604" cy="4993105"/>
            <wp:effectExtent l="0" t="0" r="6350" b="0"/>
            <wp:docPr id="1696578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908" r="8531"/>
                    <a:stretch>
                      <a:fillRect/>
                    </a:stretch>
                  </pic:blipFill>
                  <pic:spPr bwMode="auto">
                    <a:xfrm>
                      <a:off x="0" y="0"/>
                      <a:ext cx="8661580" cy="5004068"/>
                    </a:xfrm>
                    <a:prstGeom prst="rect">
                      <a:avLst/>
                    </a:prstGeom>
                    <a:noFill/>
                    <a:ln>
                      <a:noFill/>
                    </a:ln>
                    <a:extLst>
                      <a:ext uri="{53640926-AAD7-44D8-BBD7-CCE9431645EC}">
                        <a14:shadowObscured xmlns:a14="http://schemas.microsoft.com/office/drawing/2010/main"/>
                      </a:ext>
                    </a:extLst>
                  </pic:spPr>
                </pic:pic>
              </a:graphicData>
            </a:graphic>
          </wp:inline>
        </w:drawing>
      </w:r>
    </w:p>
    <w:p w14:paraId="6608FBF3" w14:textId="4029334A" w:rsidR="00DE09D9" w:rsidRPr="00A06A04" w:rsidRDefault="008F6A4E" w:rsidP="00A06A04">
      <w:pPr>
        <w:jc w:val="both"/>
        <w:rPr>
          <w:rFonts w:ascii="Times New Roman" w:hAnsi="Times New Roman" w:cs="Times New Roman"/>
          <w:b/>
          <w:bCs/>
          <w:sz w:val="24"/>
          <w:szCs w:val="24"/>
        </w:rPr>
      </w:pPr>
      <w:r w:rsidRPr="00A06A04">
        <w:rPr>
          <w:rFonts w:ascii="Times New Roman" w:hAnsi="Times New Roman" w:cs="Times New Roman"/>
          <w:b/>
          <w:bCs/>
          <w:sz w:val="24"/>
          <w:szCs w:val="24"/>
        </w:rPr>
        <w:t>Supplementary Fig. S7. Dossier review: evidence capture modal</w:t>
      </w:r>
      <w:r w:rsidR="00A06A04">
        <w:rPr>
          <w:rFonts w:ascii="Times New Roman" w:hAnsi="Times New Roman" w:cs="Times New Roman"/>
          <w:b/>
          <w:bCs/>
          <w:sz w:val="24"/>
          <w:szCs w:val="24"/>
        </w:rPr>
        <w:t xml:space="preserve">: </w:t>
      </w:r>
      <w:r w:rsidRPr="008F6A4E">
        <w:rPr>
          <w:rFonts w:ascii="Times New Roman" w:hAnsi="Times New Roman" w:cs="Times New Roman"/>
          <w:color w:val="000000" w:themeColor="text1"/>
          <w:sz w:val="24"/>
          <w:szCs w:val="24"/>
        </w:rPr>
        <w:t>Evidence-capture modal showing the structured entry or confirmation of evidence linked to a finding. The modal demonstrates how the interface supports provenance capture, source linkage and assessor review of evidence object</w:t>
      </w:r>
      <w:r w:rsidRPr="008F6A4E">
        <w:rPr>
          <w:rFonts w:ascii="Times New Roman" w:hAnsi="Times New Roman" w:cs="Times New Roman"/>
          <w:color w:val="000000" w:themeColor="text1"/>
          <w:sz w:val="24"/>
          <w:szCs w:val="24"/>
        </w:rPr>
        <w:t>s</w:t>
      </w:r>
    </w:p>
    <w:p w14:paraId="06AFA27E" w14:textId="77777777" w:rsidR="00DE09D9" w:rsidRPr="00882320" w:rsidRDefault="00DE09D9" w:rsidP="00DE09D9">
      <w:pPr>
        <w:keepNext/>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370AA6DF" wp14:editId="1765652D">
            <wp:extent cx="8657194" cy="5017168"/>
            <wp:effectExtent l="0" t="0" r="0" b="0"/>
            <wp:docPr id="19644426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775" r="8531"/>
                    <a:stretch>
                      <a:fillRect/>
                    </a:stretch>
                  </pic:blipFill>
                  <pic:spPr bwMode="auto">
                    <a:xfrm>
                      <a:off x="0" y="0"/>
                      <a:ext cx="8660575" cy="5019127"/>
                    </a:xfrm>
                    <a:prstGeom prst="rect">
                      <a:avLst/>
                    </a:prstGeom>
                    <a:noFill/>
                    <a:ln>
                      <a:noFill/>
                    </a:ln>
                    <a:extLst>
                      <a:ext uri="{53640926-AAD7-44D8-BBD7-CCE9431645EC}">
                        <a14:shadowObscured xmlns:a14="http://schemas.microsoft.com/office/drawing/2010/main"/>
                      </a:ext>
                    </a:extLst>
                  </pic:spPr>
                </pic:pic>
              </a:graphicData>
            </a:graphic>
          </wp:inline>
        </w:drawing>
      </w:r>
    </w:p>
    <w:p w14:paraId="449BFACC" w14:textId="33544C9F" w:rsidR="008F6A4E" w:rsidRPr="00A06A04" w:rsidRDefault="008F6A4E" w:rsidP="008F6A4E">
      <w:pPr>
        <w:jc w:val="both"/>
        <w:rPr>
          <w:rFonts w:ascii="Times New Roman" w:hAnsi="Times New Roman" w:cs="Times New Roman"/>
          <w:b/>
          <w:bCs/>
          <w:sz w:val="24"/>
          <w:szCs w:val="24"/>
        </w:rPr>
      </w:pPr>
      <w:r w:rsidRPr="00A06A04">
        <w:rPr>
          <w:rFonts w:ascii="Times New Roman" w:hAnsi="Times New Roman" w:cs="Times New Roman"/>
          <w:b/>
          <w:bCs/>
          <w:sz w:val="24"/>
          <w:szCs w:val="24"/>
        </w:rPr>
        <w:t>Supplementary Fig. S8. Governance</w:t>
      </w:r>
      <w:r w:rsidR="00A06A04">
        <w:rPr>
          <w:rFonts w:ascii="Times New Roman" w:hAnsi="Times New Roman" w:cs="Times New Roman"/>
          <w:b/>
          <w:bCs/>
          <w:sz w:val="24"/>
          <w:szCs w:val="24"/>
        </w:rPr>
        <w:t xml:space="preserve">: </w:t>
      </w:r>
      <w:r w:rsidRPr="008F6A4E">
        <w:rPr>
          <w:rFonts w:ascii="Times New Roman" w:hAnsi="Times New Roman" w:cs="Times New Roman"/>
          <w:sz w:val="24"/>
          <w:szCs w:val="24"/>
        </w:rPr>
        <w:t>Governance view showing prototype controls relevant to accountable use, including review boundaries, oversight functions or governance-related configuration. The screen illustrates how the interface operationalises governance as part of the system workflow rather than as an external statement.</w:t>
      </w:r>
    </w:p>
    <w:p w14:paraId="3E40D4E6" w14:textId="77777777" w:rsidR="00DE09D9" w:rsidRPr="00882320" w:rsidRDefault="00DE09D9" w:rsidP="00DE09D9">
      <w:pPr>
        <w:keepNext/>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22DD7833" wp14:editId="72298ABF">
            <wp:extent cx="8656161" cy="5041232"/>
            <wp:effectExtent l="0" t="0" r="0" b="7620"/>
            <wp:docPr id="77385609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641" r="8664"/>
                    <a:stretch>
                      <a:fillRect/>
                    </a:stretch>
                  </pic:blipFill>
                  <pic:spPr bwMode="auto">
                    <a:xfrm>
                      <a:off x="0" y="0"/>
                      <a:ext cx="8669827" cy="5049191"/>
                    </a:xfrm>
                    <a:prstGeom prst="rect">
                      <a:avLst/>
                    </a:prstGeom>
                    <a:noFill/>
                    <a:ln>
                      <a:noFill/>
                    </a:ln>
                    <a:extLst>
                      <a:ext uri="{53640926-AAD7-44D8-BBD7-CCE9431645EC}">
                        <a14:shadowObscured xmlns:a14="http://schemas.microsoft.com/office/drawing/2010/main"/>
                      </a:ext>
                    </a:extLst>
                  </pic:spPr>
                </pic:pic>
              </a:graphicData>
            </a:graphic>
          </wp:inline>
        </w:drawing>
      </w:r>
    </w:p>
    <w:p w14:paraId="0DE9C23B" w14:textId="5643CAF1" w:rsidR="008F6A4E" w:rsidRPr="00A06A04" w:rsidRDefault="008F6A4E" w:rsidP="008F6A4E">
      <w:pPr>
        <w:jc w:val="both"/>
        <w:rPr>
          <w:rFonts w:ascii="Times New Roman" w:hAnsi="Times New Roman" w:cs="Times New Roman"/>
          <w:b/>
          <w:bCs/>
          <w:sz w:val="24"/>
          <w:szCs w:val="24"/>
        </w:rPr>
      </w:pPr>
      <w:r w:rsidRPr="00A06A04">
        <w:rPr>
          <w:rFonts w:ascii="Times New Roman" w:hAnsi="Times New Roman" w:cs="Times New Roman"/>
          <w:b/>
          <w:bCs/>
          <w:sz w:val="24"/>
          <w:szCs w:val="24"/>
        </w:rPr>
        <w:t>Supplementary Fig. S9. Export</w:t>
      </w:r>
      <w:r w:rsidR="00A06A04">
        <w:rPr>
          <w:rFonts w:ascii="Times New Roman" w:hAnsi="Times New Roman" w:cs="Times New Roman"/>
          <w:b/>
          <w:bCs/>
          <w:sz w:val="24"/>
          <w:szCs w:val="24"/>
        </w:rPr>
        <w:t xml:space="preserve">: </w:t>
      </w:r>
      <w:r w:rsidRPr="008F6A4E">
        <w:rPr>
          <w:rFonts w:ascii="Times New Roman" w:hAnsi="Times New Roman" w:cs="Times New Roman"/>
          <w:sz w:val="24"/>
          <w:szCs w:val="24"/>
        </w:rPr>
        <w:t>Export view showing the interface for generating or preparing review-support outputs from validated findings and associated evidence. The screen demonstrates report-output functionality while preserving the boundary that exported materials are review-support artifacts and not autonomous regulatory decisions.</w:t>
      </w:r>
    </w:p>
    <w:p w14:paraId="115D303C" w14:textId="77777777" w:rsidR="00DE09D9" w:rsidRPr="00882320" w:rsidRDefault="00DE09D9" w:rsidP="00DE09D9">
      <w:pPr>
        <w:keepNext/>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2BB9E995" wp14:editId="64C4B430">
            <wp:extent cx="8629650" cy="4993005"/>
            <wp:effectExtent l="0" t="0" r="0" b="0"/>
            <wp:docPr id="202515005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908" r="8664"/>
                    <a:stretch>
                      <a:fillRect/>
                    </a:stretch>
                  </pic:blipFill>
                  <pic:spPr bwMode="auto">
                    <a:xfrm>
                      <a:off x="0" y="0"/>
                      <a:ext cx="8634692" cy="4995922"/>
                    </a:xfrm>
                    <a:prstGeom prst="rect">
                      <a:avLst/>
                    </a:prstGeom>
                    <a:noFill/>
                    <a:ln>
                      <a:noFill/>
                    </a:ln>
                    <a:extLst>
                      <a:ext uri="{53640926-AAD7-44D8-BBD7-CCE9431645EC}">
                        <a14:shadowObscured xmlns:a14="http://schemas.microsoft.com/office/drawing/2010/main"/>
                      </a:ext>
                    </a:extLst>
                  </pic:spPr>
                </pic:pic>
              </a:graphicData>
            </a:graphic>
          </wp:inline>
        </w:drawing>
      </w:r>
    </w:p>
    <w:p w14:paraId="00C59454" w14:textId="5F4AB906" w:rsidR="008F6A4E" w:rsidRPr="00A06A04" w:rsidRDefault="008F6A4E" w:rsidP="008F6A4E">
      <w:pPr>
        <w:jc w:val="both"/>
        <w:rPr>
          <w:rFonts w:ascii="Times New Roman" w:hAnsi="Times New Roman" w:cs="Times New Roman"/>
          <w:b/>
          <w:bCs/>
          <w:sz w:val="24"/>
          <w:szCs w:val="24"/>
        </w:rPr>
      </w:pPr>
      <w:r w:rsidRPr="00A06A04">
        <w:rPr>
          <w:rFonts w:ascii="Times New Roman" w:hAnsi="Times New Roman" w:cs="Times New Roman"/>
          <w:b/>
          <w:bCs/>
          <w:sz w:val="24"/>
          <w:szCs w:val="24"/>
        </w:rPr>
        <w:t>Supplementary Fig. S10. Admin portal: overview</w:t>
      </w:r>
      <w:r w:rsidR="00A06A04">
        <w:rPr>
          <w:rFonts w:ascii="Times New Roman" w:hAnsi="Times New Roman" w:cs="Times New Roman"/>
          <w:b/>
          <w:bCs/>
          <w:sz w:val="24"/>
          <w:szCs w:val="24"/>
        </w:rPr>
        <w:t xml:space="preserve">: </w:t>
      </w:r>
      <w:r w:rsidRPr="008F6A4E">
        <w:rPr>
          <w:rFonts w:ascii="Times New Roman" w:hAnsi="Times New Roman" w:cs="Times New Roman"/>
          <w:sz w:val="24"/>
          <w:szCs w:val="24"/>
        </w:rPr>
        <w:t xml:space="preserve">Administrative overview showing system-level management functions for the </w:t>
      </w:r>
      <w:proofErr w:type="spellStart"/>
      <w:r w:rsidRPr="008F6A4E">
        <w:rPr>
          <w:rFonts w:ascii="Times New Roman" w:hAnsi="Times New Roman" w:cs="Times New Roman"/>
          <w:sz w:val="24"/>
          <w:szCs w:val="24"/>
        </w:rPr>
        <w:t>RAiA</w:t>
      </w:r>
      <w:proofErr w:type="spellEnd"/>
      <w:r w:rsidRPr="008F6A4E">
        <w:rPr>
          <w:rFonts w:ascii="Times New Roman" w:hAnsi="Times New Roman" w:cs="Times New Roman"/>
          <w:sz w:val="24"/>
          <w:szCs w:val="24"/>
        </w:rPr>
        <w:t xml:space="preserve"> prototype. The screen illustrates administrator-facing controls relevant to system configuration, user management or monitoring within the non-operational environment.</w:t>
      </w:r>
    </w:p>
    <w:p w14:paraId="6EE441BA" w14:textId="77777777" w:rsidR="00DE09D9" w:rsidRPr="00882320" w:rsidRDefault="00DE09D9" w:rsidP="00DE09D9">
      <w:pPr>
        <w:pStyle w:val="Caption"/>
        <w:keepNext/>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421B0CC8" wp14:editId="780264DD">
            <wp:extent cx="8588116" cy="4981074"/>
            <wp:effectExtent l="0" t="0" r="3810" b="0"/>
            <wp:docPr id="1112275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907" r="9063"/>
                    <a:stretch>
                      <a:fillRect/>
                    </a:stretch>
                  </pic:blipFill>
                  <pic:spPr bwMode="auto">
                    <a:xfrm>
                      <a:off x="0" y="0"/>
                      <a:ext cx="8591942" cy="4983293"/>
                    </a:xfrm>
                    <a:prstGeom prst="rect">
                      <a:avLst/>
                    </a:prstGeom>
                    <a:noFill/>
                    <a:ln>
                      <a:noFill/>
                    </a:ln>
                    <a:extLst>
                      <a:ext uri="{53640926-AAD7-44D8-BBD7-CCE9431645EC}">
                        <a14:shadowObscured xmlns:a14="http://schemas.microsoft.com/office/drawing/2010/main"/>
                      </a:ext>
                    </a:extLst>
                  </pic:spPr>
                </pic:pic>
              </a:graphicData>
            </a:graphic>
          </wp:inline>
        </w:drawing>
      </w:r>
    </w:p>
    <w:p w14:paraId="0E1DA03D" w14:textId="131F2EAF" w:rsidR="008F6A4E" w:rsidRPr="00A06A04" w:rsidRDefault="008F6A4E" w:rsidP="008F6A4E">
      <w:pPr>
        <w:rPr>
          <w:rFonts w:ascii="Times New Roman" w:hAnsi="Times New Roman" w:cs="Times New Roman"/>
          <w:b/>
          <w:bCs/>
          <w:sz w:val="24"/>
          <w:szCs w:val="24"/>
        </w:rPr>
      </w:pPr>
      <w:r w:rsidRPr="00A06A04">
        <w:rPr>
          <w:rFonts w:ascii="Times New Roman" w:hAnsi="Times New Roman" w:cs="Times New Roman"/>
          <w:b/>
          <w:bCs/>
          <w:sz w:val="24"/>
          <w:szCs w:val="24"/>
        </w:rPr>
        <w:t>Supplementary Fig. S11. Admin portal: audit trail</w:t>
      </w:r>
      <w:r w:rsidR="00A06A04">
        <w:rPr>
          <w:rFonts w:ascii="Times New Roman" w:hAnsi="Times New Roman" w:cs="Times New Roman"/>
          <w:b/>
          <w:bCs/>
          <w:sz w:val="24"/>
          <w:szCs w:val="24"/>
        </w:rPr>
        <w:t xml:space="preserve">: </w:t>
      </w:r>
      <w:r w:rsidRPr="008F6A4E">
        <w:rPr>
          <w:rFonts w:ascii="Times New Roman" w:hAnsi="Times New Roman" w:cs="Times New Roman"/>
          <w:sz w:val="24"/>
          <w:szCs w:val="24"/>
        </w:rPr>
        <w:t>Audit-trail view showing logged system or user actions within the prototype. The screen demonstrates the auditability logic required for traceable review support, including the capacity to record actions, changes or review events for later inspection.</w:t>
      </w:r>
    </w:p>
    <w:p w14:paraId="57B2280D" w14:textId="77777777" w:rsidR="00DE09D9" w:rsidRPr="00882320" w:rsidRDefault="00DE09D9" w:rsidP="00DE09D9">
      <w:pPr>
        <w:keepNext/>
        <w:jc w:val="center"/>
        <w:rPr>
          <w:rFonts w:ascii="Times New Roman" w:hAnsi="Times New Roman" w:cs="Times New Roman"/>
        </w:rPr>
      </w:pPr>
      <w:r w:rsidRPr="00882320">
        <w:rPr>
          <w:rFonts w:ascii="Times New Roman" w:hAnsi="Times New Roman" w:cs="Times New Roman"/>
          <w:noProof/>
        </w:rPr>
        <w:lastRenderedPageBreak/>
        <w:drawing>
          <wp:inline distT="0" distB="0" distL="0" distR="0" wp14:anchorId="7FD9F0DC" wp14:editId="6C851F71">
            <wp:extent cx="6746240" cy="5059680"/>
            <wp:effectExtent l="0" t="0" r="0" b="7620"/>
            <wp:docPr id="925691117" name="Video 23" descr="RAiA PoC Demo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91117" name="Video 23" descr="RAiA PoC Demo 2">
                      <a:hlinkClick r:id="rId17"/>
                    </pic:cNvPr>
                    <pic:cNvPicPr/>
                  </pic:nvPicPr>
                  <pic:blipFill>
                    <a:blip r:embed="rId1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NzvO2gRWZPU?feature=oembed&quot; frameborder=&quot;0&quot; allow=&quot;accelerometer; autoplay; clipboard-write; encrypted-media; gyroscope; picture-in-picture; web-share&quot; referrerpolicy=&quot;strict-origin-when-cross-origin&quot; allowfullscreen=&quot;&quot; title=&quot;RAiA PoC Demo 2&quot; sandbox=&quot;allow-scripts allow-same-origin allow-popups&quot;&gt;&lt;/iframe&gt;" h="113" w="200"/>
                        </a:ext>
                      </a:extLst>
                    </a:blip>
                    <a:stretch>
                      <a:fillRect/>
                    </a:stretch>
                  </pic:blipFill>
                  <pic:spPr>
                    <a:xfrm>
                      <a:off x="0" y="0"/>
                      <a:ext cx="6746713" cy="5060035"/>
                    </a:xfrm>
                    <a:prstGeom prst="rect">
                      <a:avLst/>
                    </a:prstGeom>
                  </pic:spPr>
                </pic:pic>
              </a:graphicData>
            </a:graphic>
          </wp:inline>
        </w:drawing>
      </w:r>
    </w:p>
    <w:p w14:paraId="39FEBF95" w14:textId="2CDB1D5D" w:rsidR="00DE09D9" w:rsidRPr="00182FEF" w:rsidRDefault="00182FEF" w:rsidP="00182FEF">
      <w:pPr>
        <w:pStyle w:val="Caption"/>
        <w:rPr>
          <w:rFonts w:ascii="Times New Roman" w:hAnsi="Times New Roman" w:cs="Times New Roman"/>
          <w:i w:val="0"/>
          <w:iCs w:val="0"/>
          <w:color w:val="000000" w:themeColor="text1"/>
          <w:sz w:val="24"/>
          <w:szCs w:val="24"/>
        </w:rPr>
      </w:pPr>
      <w:r w:rsidRPr="00182FEF">
        <w:rPr>
          <w:rFonts w:ascii="Times New Roman" w:hAnsi="Times New Roman" w:cs="Times New Roman"/>
          <w:b/>
          <w:bCs/>
          <w:i w:val="0"/>
          <w:iCs w:val="0"/>
          <w:sz w:val="24"/>
          <w:szCs w:val="24"/>
        </w:rPr>
        <w:t>Supplementary S1</w:t>
      </w:r>
      <w:r w:rsidR="00F5506C">
        <w:rPr>
          <w:rFonts w:ascii="Times New Roman" w:hAnsi="Times New Roman" w:cs="Times New Roman"/>
          <w:b/>
          <w:bCs/>
          <w:i w:val="0"/>
          <w:iCs w:val="0"/>
          <w:sz w:val="24"/>
          <w:szCs w:val="24"/>
        </w:rPr>
        <w:t>2</w:t>
      </w:r>
      <w:r w:rsidRPr="00182FEF">
        <w:rPr>
          <w:rFonts w:ascii="Times New Roman" w:hAnsi="Times New Roman" w:cs="Times New Roman"/>
          <w:b/>
          <w:bCs/>
          <w:i w:val="0"/>
          <w:iCs w:val="0"/>
          <w:sz w:val="24"/>
          <w:szCs w:val="24"/>
        </w:rPr>
        <w:t>.</w:t>
      </w:r>
      <w:r w:rsidRPr="00A06A04">
        <w:rPr>
          <w:rFonts w:ascii="Times New Roman" w:hAnsi="Times New Roman" w:cs="Times New Roman"/>
          <w:b/>
          <w:bCs/>
          <w:sz w:val="24"/>
          <w:szCs w:val="24"/>
        </w:rPr>
        <w:t xml:space="preserve"> </w:t>
      </w:r>
      <w:proofErr w:type="spellStart"/>
      <w:r w:rsidR="00DE09D9" w:rsidRPr="00182FEF">
        <w:rPr>
          <w:rFonts w:ascii="Times New Roman" w:hAnsi="Times New Roman" w:cs="Times New Roman"/>
          <w:i w:val="0"/>
          <w:iCs w:val="0"/>
          <w:color w:val="000000" w:themeColor="text1"/>
          <w:sz w:val="24"/>
          <w:szCs w:val="24"/>
        </w:rPr>
        <w:t>RAiA</w:t>
      </w:r>
      <w:proofErr w:type="spellEnd"/>
      <w:r w:rsidR="00DE09D9" w:rsidRPr="00182FEF">
        <w:rPr>
          <w:rFonts w:ascii="Times New Roman" w:hAnsi="Times New Roman" w:cs="Times New Roman"/>
          <w:i w:val="0"/>
          <w:iCs w:val="0"/>
          <w:color w:val="000000" w:themeColor="text1"/>
          <w:sz w:val="24"/>
          <w:szCs w:val="24"/>
        </w:rPr>
        <w:t xml:space="preserve"> Proof of Concept (PoC) v2 Demo Video</w:t>
      </w:r>
      <w:r w:rsidRPr="00182FEF">
        <w:rPr>
          <w:rFonts w:ascii="Times New Roman" w:hAnsi="Times New Roman" w:cs="Times New Roman"/>
          <w:i w:val="0"/>
          <w:iCs w:val="0"/>
          <w:color w:val="000000" w:themeColor="text1"/>
          <w:sz w:val="24"/>
          <w:szCs w:val="24"/>
        </w:rPr>
        <w:t xml:space="preserve"> </w:t>
      </w:r>
      <w:r w:rsidR="00904DD5" w:rsidRPr="00182FEF">
        <w:rPr>
          <w:rFonts w:ascii="Times New Roman" w:hAnsi="Times New Roman" w:cs="Times New Roman"/>
          <w:i w:val="0"/>
          <w:iCs w:val="0"/>
          <w:color w:val="000000" w:themeColor="text1"/>
          <w:sz w:val="24"/>
          <w:szCs w:val="24"/>
        </w:rPr>
        <w:t>YouTube Link: https://youtu.be/NzvO2gRWZPU</w:t>
      </w:r>
    </w:p>
    <w:sectPr w:rsidR="00DE09D9" w:rsidRPr="00182FEF" w:rsidSect="00DE09D9">
      <w:footerReference w:type="default" r:id="rId1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C1F8B" w14:textId="77777777" w:rsidR="00884395" w:rsidRDefault="00884395" w:rsidP="00904DD5">
      <w:pPr>
        <w:spacing w:after="0" w:line="240" w:lineRule="auto"/>
      </w:pPr>
      <w:r>
        <w:separator/>
      </w:r>
    </w:p>
  </w:endnote>
  <w:endnote w:type="continuationSeparator" w:id="0">
    <w:p w14:paraId="1611D941" w14:textId="77777777" w:rsidR="00884395" w:rsidRDefault="00884395" w:rsidP="0090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10705862"/>
      <w:docPartObj>
        <w:docPartGallery w:val="Page Numbers (Bottom of Page)"/>
        <w:docPartUnique/>
      </w:docPartObj>
    </w:sdtPr>
    <w:sdtEndPr/>
    <w:sdtContent>
      <w:p w14:paraId="731D6712" w14:textId="339ADD15" w:rsidR="00904DD5" w:rsidRPr="00882320" w:rsidRDefault="00904DD5">
        <w:pPr>
          <w:pStyle w:val="Footer"/>
          <w:jc w:val="right"/>
          <w:rPr>
            <w:rFonts w:ascii="Times New Roman" w:hAnsi="Times New Roman" w:cs="Times New Roman"/>
          </w:rPr>
        </w:pPr>
        <w:r w:rsidRPr="00882320">
          <w:rPr>
            <w:rFonts w:ascii="Times New Roman" w:hAnsi="Times New Roman" w:cs="Times New Roman"/>
          </w:rPr>
          <w:t xml:space="preserve">Page | </w:t>
        </w:r>
        <w:r w:rsidRPr="00882320">
          <w:rPr>
            <w:rFonts w:ascii="Times New Roman" w:hAnsi="Times New Roman" w:cs="Times New Roman"/>
          </w:rPr>
          <w:fldChar w:fldCharType="begin"/>
        </w:r>
        <w:r w:rsidRPr="00882320">
          <w:rPr>
            <w:rFonts w:ascii="Times New Roman" w:hAnsi="Times New Roman" w:cs="Times New Roman"/>
          </w:rPr>
          <w:instrText xml:space="preserve"> PAGE   \* MERGEFORMAT </w:instrText>
        </w:r>
        <w:r w:rsidRPr="00882320">
          <w:rPr>
            <w:rFonts w:ascii="Times New Roman" w:hAnsi="Times New Roman" w:cs="Times New Roman"/>
          </w:rPr>
          <w:fldChar w:fldCharType="separate"/>
        </w:r>
        <w:r w:rsidRPr="00882320">
          <w:rPr>
            <w:rFonts w:ascii="Times New Roman" w:hAnsi="Times New Roman" w:cs="Times New Roman"/>
            <w:noProof/>
          </w:rPr>
          <w:t>2</w:t>
        </w:r>
        <w:r w:rsidRPr="00882320">
          <w:rPr>
            <w:rFonts w:ascii="Times New Roman" w:hAnsi="Times New Roman" w:cs="Times New Roman"/>
            <w:noProof/>
          </w:rPr>
          <w:fldChar w:fldCharType="end"/>
        </w:r>
        <w:r w:rsidRPr="00882320">
          <w:rPr>
            <w:rFonts w:ascii="Times New Roman" w:hAnsi="Times New Roman" w:cs="Times New Roman"/>
          </w:rPr>
          <w:t xml:space="preserve"> </w:t>
        </w:r>
      </w:p>
    </w:sdtContent>
  </w:sdt>
  <w:p w14:paraId="235925CF" w14:textId="77777777" w:rsidR="00904DD5" w:rsidRPr="00882320" w:rsidRDefault="00904DD5">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AF34E" w14:textId="77777777" w:rsidR="00884395" w:rsidRDefault="00884395" w:rsidP="00904DD5">
      <w:pPr>
        <w:spacing w:after="0" w:line="240" w:lineRule="auto"/>
      </w:pPr>
      <w:r>
        <w:separator/>
      </w:r>
    </w:p>
  </w:footnote>
  <w:footnote w:type="continuationSeparator" w:id="0">
    <w:p w14:paraId="3DECA35B" w14:textId="77777777" w:rsidR="00884395" w:rsidRDefault="00884395" w:rsidP="00904D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6A"/>
    <w:rsid w:val="000B068E"/>
    <w:rsid w:val="00182FEF"/>
    <w:rsid w:val="003F7D32"/>
    <w:rsid w:val="004A253D"/>
    <w:rsid w:val="004A76E6"/>
    <w:rsid w:val="00625A16"/>
    <w:rsid w:val="007C256A"/>
    <w:rsid w:val="008426FB"/>
    <w:rsid w:val="00882320"/>
    <w:rsid w:val="00884395"/>
    <w:rsid w:val="008F59CA"/>
    <w:rsid w:val="008F6A4E"/>
    <w:rsid w:val="00904DD5"/>
    <w:rsid w:val="00A06A04"/>
    <w:rsid w:val="00A06A80"/>
    <w:rsid w:val="00AB1F14"/>
    <w:rsid w:val="00B04DB0"/>
    <w:rsid w:val="00DE09D9"/>
    <w:rsid w:val="00F05C19"/>
    <w:rsid w:val="00F55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20206"/>
  <w15:chartTrackingRefBased/>
  <w15:docId w15:val="{14FF74C7-05BB-4CEC-8BA0-5AC4DFFD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1">
    <w:name w:val="heading 1"/>
    <w:basedOn w:val="Normal"/>
    <w:next w:val="Normal"/>
    <w:link w:val="Heading1Char"/>
    <w:uiPriority w:val="9"/>
    <w:qFormat/>
    <w:rsid w:val="007C2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5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5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5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5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5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5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5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56A"/>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7C256A"/>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7C256A"/>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7C256A"/>
    <w:rPr>
      <w:rFonts w:eastAsiaTheme="majorEastAsia" w:cstheme="majorBidi"/>
      <w:i/>
      <w:iCs/>
      <w:color w:val="0F4761" w:themeColor="accent1" w:themeShade="BF"/>
      <w:lang w:val="en-ZA"/>
    </w:rPr>
  </w:style>
  <w:style w:type="character" w:customStyle="1" w:styleId="Heading5Char">
    <w:name w:val="Heading 5 Char"/>
    <w:basedOn w:val="DefaultParagraphFont"/>
    <w:link w:val="Heading5"/>
    <w:uiPriority w:val="9"/>
    <w:semiHidden/>
    <w:rsid w:val="007C256A"/>
    <w:rPr>
      <w:rFonts w:eastAsiaTheme="majorEastAsia" w:cstheme="majorBidi"/>
      <w:color w:val="0F4761" w:themeColor="accent1" w:themeShade="BF"/>
      <w:lang w:val="en-ZA"/>
    </w:rPr>
  </w:style>
  <w:style w:type="character" w:customStyle="1" w:styleId="Heading6Char">
    <w:name w:val="Heading 6 Char"/>
    <w:basedOn w:val="DefaultParagraphFont"/>
    <w:link w:val="Heading6"/>
    <w:uiPriority w:val="9"/>
    <w:semiHidden/>
    <w:rsid w:val="007C256A"/>
    <w:rPr>
      <w:rFonts w:eastAsiaTheme="majorEastAsia" w:cstheme="majorBidi"/>
      <w:i/>
      <w:iCs/>
      <w:color w:val="595959" w:themeColor="text1" w:themeTint="A6"/>
      <w:lang w:val="en-ZA"/>
    </w:rPr>
  </w:style>
  <w:style w:type="character" w:customStyle="1" w:styleId="Heading7Char">
    <w:name w:val="Heading 7 Char"/>
    <w:basedOn w:val="DefaultParagraphFont"/>
    <w:link w:val="Heading7"/>
    <w:uiPriority w:val="9"/>
    <w:semiHidden/>
    <w:rsid w:val="007C256A"/>
    <w:rPr>
      <w:rFonts w:eastAsiaTheme="majorEastAsia" w:cstheme="majorBidi"/>
      <w:color w:val="595959" w:themeColor="text1" w:themeTint="A6"/>
      <w:lang w:val="en-ZA"/>
    </w:rPr>
  </w:style>
  <w:style w:type="character" w:customStyle="1" w:styleId="Heading8Char">
    <w:name w:val="Heading 8 Char"/>
    <w:basedOn w:val="DefaultParagraphFont"/>
    <w:link w:val="Heading8"/>
    <w:uiPriority w:val="9"/>
    <w:semiHidden/>
    <w:rsid w:val="007C256A"/>
    <w:rPr>
      <w:rFonts w:eastAsiaTheme="majorEastAsia" w:cstheme="majorBidi"/>
      <w:i/>
      <w:iCs/>
      <w:color w:val="272727" w:themeColor="text1" w:themeTint="D8"/>
      <w:lang w:val="en-ZA"/>
    </w:rPr>
  </w:style>
  <w:style w:type="character" w:customStyle="1" w:styleId="Heading9Char">
    <w:name w:val="Heading 9 Char"/>
    <w:basedOn w:val="DefaultParagraphFont"/>
    <w:link w:val="Heading9"/>
    <w:uiPriority w:val="9"/>
    <w:semiHidden/>
    <w:rsid w:val="007C256A"/>
    <w:rPr>
      <w:rFonts w:eastAsiaTheme="majorEastAsia" w:cstheme="majorBidi"/>
      <w:color w:val="272727" w:themeColor="text1" w:themeTint="D8"/>
      <w:lang w:val="en-ZA"/>
    </w:rPr>
  </w:style>
  <w:style w:type="paragraph" w:styleId="Title">
    <w:name w:val="Title"/>
    <w:basedOn w:val="Normal"/>
    <w:next w:val="Normal"/>
    <w:link w:val="TitleChar"/>
    <w:uiPriority w:val="10"/>
    <w:qFormat/>
    <w:rsid w:val="007C2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56A"/>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7C25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56A"/>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7C256A"/>
    <w:pPr>
      <w:spacing w:before="160"/>
      <w:jc w:val="center"/>
    </w:pPr>
    <w:rPr>
      <w:i/>
      <w:iCs/>
      <w:color w:val="404040" w:themeColor="text1" w:themeTint="BF"/>
    </w:rPr>
  </w:style>
  <w:style w:type="character" w:customStyle="1" w:styleId="QuoteChar">
    <w:name w:val="Quote Char"/>
    <w:basedOn w:val="DefaultParagraphFont"/>
    <w:link w:val="Quote"/>
    <w:uiPriority w:val="29"/>
    <w:rsid w:val="007C256A"/>
    <w:rPr>
      <w:i/>
      <w:iCs/>
      <w:color w:val="404040" w:themeColor="text1" w:themeTint="BF"/>
      <w:lang w:val="en-ZA"/>
    </w:rPr>
  </w:style>
  <w:style w:type="paragraph" w:styleId="ListParagraph">
    <w:name w:val="List Paragraph"/>
    <w:basedOn w:val="Normal"/>
    <w:uiPriority w:val="34"/>
    <w:qFormat/>
    <w:rsid w:val="007C256A"/>
    <w:pPr>
      <w:ind w:left="720"/>
      <w:contextualSpacing/>
    </w:pPr>
  </w:style>
  <w:style w:type="character" w:styleId="IntenseEmphasis">
    <w:name w:val="Intense Emphasis"/>
    <w:basedOn w:val="DefaultParagraphFont"/>
    <w:uiPriority w:val="21"/>
    <w:qFormat/>
    <w:rsid w:val="007C256A"/>
    <w:rPr>
      <w:i/>
      <w:iCs/>
      <w:color w:val="0F4761" w:themeColor="accent1" w:themeShade="BF"/>
    </w:rPr>
  </w:style>
  <w:style w:type="paragraph" w:styleId="IntenseQuote">
    <w:name w:val="Intense Quote"/>
    <w:basedOn w:val="Normal"/>
    <w:next w:val="Normal"/>
    <w:link w:val="IntenseQuoteChar"/>
    <w:uiPriority w:val="30"/>
    <w:qFormat/>
    <w:rsid w:val="007C2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56A"/>
    <w:rPr>
      <w:i/>
      <w:iCs/>
      <w:color w:val="0F4761" w:themeColor="accent1" w:themeShade="BF"/>
      <w:lang w:val="en-ZA"/>
    </w:rPr>
  </w:style>
  <w:style w:type="character" w:styleId="IntenseReference">
    <w:name w:val="Intense Reference"/>
    <w:basedOn w:val="DefaultParagraphFont"/>
    <w:uiPriority w:val="32"/>
    <w:qFormat/>
    <w:rsid w:val="007C256A"/>
    <w:rPr>
      <w:b/>
      <w:bCs/>
      <w:smallCaps/>
      <w:color w:val="0F4761" w:themeColor="accent1" w:themeShade="BF"/>
      <w:spacing w:val="5"/>
    </w:rPr>
  </w:style>
  <w:style w:type="paragraph" w:styleId="Caption">
    <w:name w:val="caption"/>
    <w:basedOn w:val="Normal"/>
    <w:next w:val="Normal"/>
    <w:uiPriority w:val="35"/>
    <w:unhideWhenUsed/>
    <w:qFormat/>
    <w:rsid w:val="007C256A"/>
    <w:pPr>
      <w:spacing w:after="200" w:line="240" w:lineRule="auto"/>
    </w:pPr>
    <w:rPr>
      <w:i/>
      <w:iCs/>
      <w:color w:val="0E2841" w:themeColor="text2"/>
      <w:sz w:val="18"/>
      <w:szCs w:val="18"/>
    </w:rPr>
  </w:style>
  <w:style w:type="paragraph" w:styleId="Header">
    <w:name w:val="header"/>
    <w:basedOn w:val="Normal"/>
    <w:link w:val="HeaderChar"/>
    <w:uiPriority w:val="99"/>
    <w:unhideWhenUsed/>
    <w:rsid w:val="00904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4DD5"/>
    <w:rPr>
      <w:lang w:val="en-ZA"/>
    </w:rPr>
  </w:style>
  <w:style w:type="paragraph" w:styleId="Footer">
    <w:name w:val="footer"/>
    <w:basedOn w:val="Normal"/>
    <w:link w:val="FooterChar"/>
    <w:uiPriority w:val="99"/>
    <w:unhideWhenUsed/>
    <w:rsid w:val="00904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DD5"/>
    <w:rPr>
      <w:lang w:val="en-ZA"/>
    </w:rPr>
  </w:style>
  <w:style w:type="character" w:styleId="Strong">
    <w:name w:val="Strong"/>
    <w:basedOn w:val="DefaultParagraphFont"/>
    <w:uiPriority w:val="22"/>
    <w:qFormat/>
    <w:rsid w:val="00A06A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jp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youtube.com/embed/NzvO2gRWZPU?feature=oembed"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Tredir Sewpaul</dc:creator>
  <cp:keywords/>
  <dc:description/>
  <cp:lastModifiedBy>Mariam  Parker</cp:lastModifiedBy>
  <cp:revision>2</cp:revision>
  <dcterms:created xsi:type="dcterms:W3CDTF">2026-06-19T12:29:00Z</dcterms:created>
  <dcterms:modified xsi:type="dcterms:W3CDTF">2026-06-19T12:29:00Z</dcterms:modified>
</cp:coreProperties>
</file>