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DC11D" w14:textId="77777777" w:rsidR="004B2C8C" w:rsidRPr="004205E6" w:rsidRDefault="00000000">
      <w:pPr>
        <w:pStyle w:val="a3"/>
        <w:jc w:val="center"/>
        <w:rPr>
          <w:rFonts w:ascii="Arial" w:hAnsi="Arial" w:cs="Arial"/>
          <w:color w:val="000000" w:themeColor="text1"/>
        </w:rPr>
      </w:pPr>
      <w:r w:rsidRPr="004205E6">
        <w:rPr>
          <w:rFonts w:ascii="Arial" w:hAnsi="Arial" w:cs="Arial"/>
          <w:b/>
          <w:bCs/>
          <w:color w:val="000000" w:themeColor="text1"/>
          <w:sz w:val="36"/>
          <w:szCs w:val="36"/>
        </w:rPr>
        <w:t>Supplementary Material</w:t>
      </w:r>
    </w:p>
    <w:p w14:paraId="13C661CF" w14:textId="77777777" w:rsidR="00233242" w:rsidRPr="004205E6" w:rsidRDefault="00000000" w:rsidP="0067222B">
      <w:pPr>
        <w:spacing w:before="80" w:after="80"/>
        <w:jc w:val="center"/>
        <w:rPr>
          <w:rFonts w:ascii="Arial" w:hAnsi="Arial" w:cs="Arial"/>
          <w:i/>
          <w:iCs/>
          <w:color w:val="000000" w:themeColor="text1"/>
        </w:rPr>
      </w:pPr>
      <w:r w:rsidRPr="004205E6">
        <w:rPr>
          <w:rFonts w:ascii="Arial" w:hAnsi="Arial" w:cs="Arial"/>
          <w:i/>
          <w:iCs/>
          <w:color w:val="000000" w:themeColor="text1"/>
        </w:rPr>
        <w:t xml:space="preserve">Clinical Readiness of Machine-Learning Risk Models in Non-Variceal Upper Gastrointestinal Bleeding: </w:t>
      </w:r>
    </w:p>
    <w:p w14:paraId="3CA307BC" w14:textId="77777777" w:rsidR="004B2C8C" w:rsidRPr="004205E6" w:rsidRDefault="00000000" w:rsidP="0067222B">
      <w:pPr>
        <w:spacing w:before="80" w:after="80"/>
        <w:jc w:val="center"/>
        <w:rPr>
          <w:rFonts w:ascii="Arial" w:hAnsi="Arial" w:cs="Arial"/>
          <w:color w:val="000000" w:themeColor="text1"/>
        </w:rPr>
      </w:pPr>
      <w:r w:rsidRPr="004205E6">
        <w:rPr>
          <w:rFonts w:ascii="Arial" w:hAnsi="Arial" w:cs="Arial"/>
          <w:i/>
          <w:iCs/>
          <w:color w:val="000000" w:themeColor="text1"/>
        </w:rPr>
        <w:t>A Systematic Review and Network Meta-Analysis — Supplementary Materials</w:t>
      </w:r>
    </w:p>
    <w:p w14:paraId="3E84DA5B" w14:textId="77777777" w:rsidR="004B2C8C" w:rsidRPr="004205E6" w:rsidRDefault="00000000">
      <w:pPr>
        <w:pStyle w:val="1"/>
        <w:spacing w:before="280" w:after="140"/>
        <w:rPr>
          <w:rFonts w:ascii="Arial" w:hAnsi="Arial" w:cs="Arial"/>
          <w:color w:val="000000" w:themeColor="text1"/>
        </w:rPr>
      </w:pPr>
      <w:r w:rsidRPr="004205E6">
        <w:rPr>
          <w:rFonts w:ascii="Arial" w:hAnsi="Arial" w:cs="Arial"/>
          <w:b/>
          <w:bCs/>
          <w:color w:val="000000" w:themeColor="text1"/>
        </w:rPr>
        <w:t>Table of Contents</w:t>
      </w:r>
    </w:p>
    <w:p w14:paraId="09B9B0D9" w14:textId="77777777" w:rsidR="004B2C8C" w:rsidRPr="00B81568" w:rsidRDefault="00000000">
      <w:pPr>
        <w:spacing w:before="80" w:after="80"/>
        <w:rPr>
          <w:rFonts w:ascii="Arial" w:hAnsi="Arial" w:cs="Arial"/>
          <w:color w:val="000000" w:themeColor="text1"/>
        </w:rPr>
      </w:pPr>
      <w:r w:rsidRPr="00B81568">
        <w:rPr>
          <w:rFonts w:ascii="Arial" w:hAnsi="Arial" w:cs="Arial"/>
          <w:color w:val="000000" w:themeColor="text1"/>
        </w:rPr>
        <w:t>Supplementary Table S1: Study Records (26 included studies)</w:t>
      </w:r>
    </w:p>
    <w:p w14:paraId="33C23BDD" w14:textId="77777777" w:rsidR="004B2C8C" w:rsidRPr="00B81568" w:rsidRDefault="00000000">
      <w:pPr>
        <w:spacing w:before="80" w:after="80"/>
        <w:rPr>
          <w:rFonts w:ascii="Arial" w:hAnsi="Arial" w:cs="Arial"/>
          <w:color w:val="000000" w:themeColor="text1"/>
        </w:rPr>
      </w:pPr>
      <w:r w:rsidRPr="00B81568">
        <w:rPr>
          <w:rFonts w:ascii="Arial" w:hAnsi="Arial" w:cs="Arial"/>
          <w:color w:val="000000" w:themeColor="text1"/>
        </w:rPr>
        <w:t>Supplementary Table S2: Direct ML-versus-CCS AUROC contrasts contributing to the S2 network</w:t>
      </w:r>
    </w:p>
    <w:p w14:paraId="3D7F6E9E" w14:textId="77777777" w:rsidR="004B2C8C" w:rsidRPr="00B81568" w:rsidRDefault="00000000">
      <w:pPr>
        <w:spacing w:before="80" w:after="80"/>
        <w:rPr>
          <w:rFonts w:ascii="Arial" w:hAnsi="Arial" w:cs="Arial"/>
          <w:color w:val="000000" w:themeColor="text1"/>
        </w:rPr>
      </w:pPr>
      <w:r w:rsidRPr="00B81568">
        <w:rPr>
          <w:rFonts w:ascii="Arial" w:hAnsi="Arial" w:cs="Arial"/>
          <w:color w:val="000000" w:themeColor="text1"/>
        </w:rPr>
        <w:t>Supplementary Table S3: Per-Comparison GRADE Certainty Assessment</w:t>
      </w:r>
    </w:p>
    <w:p w14:paraId="5CC37B5D" w14:textId="77777777" w:rsidR="004B2C8C" w:rsidRPr="00B81568" w:rsidRDefault="00000000">
      <w:pPr>
        <w:spacing w:before="80" w:after="80"/>
        <w:rPr>
          <w:rFonts w:ascii="Arial" w:hAnsi="Arial" w:cs="Arial"/>
          <w:color w:val="000000" w:themeColor="text1"/>
        </w:rPr>
      </w:pPr>
      <w:r w:rsidRPr="00B81568">
        <w:rPr>
          <w:rFonts w:ascii="Arial" w:hAnsi="Arial" w:cs="Arial"/>
          <w:color w:val="000000" w:themeColor="text1"/>
        </w:rPr>
        <w:t>Supplementary Figure S1: GRADE Certainty Domain Heatmap</w:t>
      </w:r>
    </w:p>
    <w:p w14:paraId="52608210" w14:textId="77777777" w:rsidR="004B2C8C" w:rsidRPr="00B81568" w:rsidRDefault="00000000">
      <w:pPr>
        <w:spacing w:before="80" w:after="80"/>
        <w:rPr>
          <w:rFonts w:ascii="Arial" w:hAnsi="Arial" w:cs="Arial"/>
          <w:color w:val="000000" w:themeColor="text1"/>
        </w:rPr>
      </w:pPr>
      <w:r w:rsidRPr="00B81568">
        <w:rPr>
          <w:rFonts w:ascii="Arial" w:hAnsi="Arial" w:cs="Arial"/>
          <w:color w:val="000000" w:themeColor="text1"/>
        </w:rPr>
        <w:t>Supplementary Table S4: PROBAST per Study (Domain-Level Risk-of-Bias)</w:t>
      </w:r>
    </w:p>
    <w:p w14:paraId="5B6A9380" w14:textId="77777777" w:rsidR="004B2C8C" w:rsidRPr="00B81568" w:rsidRDefault="00000000">
      <w:pPr>
        <w:spacing w:before="80" w:after="80"/>
        <w:rPr>
          <w:rFonts w:ascii="Arial" w:hAnsi="Arial" w:cs="Arial"/>
          <w:color w:val="000000" w:themeColor="text1"/>
        </w:rPr>
      </w:pPr>
      <w:r w:rsidRPr="00B81568">
        <w:rPr>
          <w:rFonts w:ascii="Arial" w:hAnsi="Arial" w:cs="Arial"/>
          <w:color w:val="000000" w:themeColor="text1"/>
        </w:rPr>
        <w:t>Supplementary Table S5: TRIPOD+AI Completeness per ML Model</w:t>
      </w:r>
    </w:p>
    <w:p w14:paraId="22A980B9" w14:textId="77777777" w:rsidR="004B2C8C" w:rsidRPr="00B81568" w:rsidRDefault="00000000">
      <w:pPr>
        <w:spacing w:before="80" w:after="80"/>
        <w:rPr>
          <w:rFonts w:ascii="Arial" w:hAnsi="Arial" w:cs="Arial"/>
          <w:color w:val="000000" w:themeColor="text1"/>
        </w:rPr>
      </w:pPr>
      <w:r w:rsidRPr="00B81568">
        <w:rPr>
          <w:rFonts w:ascii="Arial" w:hAnsi="Arial" w:cs="Arial"/>
          <w:color w:val="000000" w:themeColor="text1"/>
        </w:rPr>
        <w:t>Supplementary Table S6: Clinical Readiness Score (CRS) Domain Definitions</w:t>
      </w:r>
    </w:p>
    <w:p w14:paraId="5BBC1046" w14:textId="77777777" w:rsidR="004B2C8C" w:rsidRPr="00B81568" w:rsidRDefault="00000000">
      <w:pPr>
        <w:spacing w:before="80" w:after="80"/>
        <w:rPr>
          <w:rFonts w:ascii="Arial" w:hAnsi="Arial" w:cs="Arial"/>
          <w:color w:val="000000" w:themeColor="text1"/>
        </w:rPr>
      </w:pPr>
      <w:r w:rsidRPr="00B81568">
        <w:rPr>
          <w:rFonts w:ascii="Arial" w:hAnsi="Arial" w:cs="Arial"/>
          <w:color w:val="000000" w:themeColor="text1"/>
        </w:rPr>
        <w:t>Supplementary Table S7: Excluded Studies with Reasons</w:t>
      </w:r>
    </w:p>
    <w:p w14:paraId="58C929D1" w14:textId="77777777" w:rsidR="004B2C8C" w:rsidRPr="00B81568" w:rsidRDefault="00000000">
      <w:pPr>
        <w:spacing w:before="80" w:after="80"/>
        <w:rPr>
          <w:rFonts w:ascii="Arial" w:hAnsi="Arial" w:cs="Arial"/>
          <w:color w:val="000000" w:themeColor="text1"/>
        </w:rPr>
      </w:pPr>
      <w:r w:rsidRPr="00B81568">
        <w:rPr>
          <w:rFonts w:ascii="Arial" w:hAnsi="Arial" w:cs="Arial"/>
          <w:color w:val="000000" w:themeColor="text1"/>
        </w:rPr>
        <w:t>Supplementary Table S8: Companion-Pair Resolution Records</w:t>
      </w:r>
    </w:p>
    <w:p w14:paraId="38560F58" w14:textId="77777777" w:rsidR="004B2C8C" w:rsidRPr="00B81568" w:rsidRDefault="00000000">
      <w:pPr>
        <w:spacing w:before="80" w:after="80"/>
        <w:rPr>
          <w:rFonts w:ascii="Arial" w:hAnsi="Arial" w:cs="Arial"/>
          <w:color w:val="000000" w:themeColor="text1"/>
        </w:rPr>
      </w:pPr>
      <w:r w:rsidRPr="00B81568">
        <w:rPr>
          <w:rFonts w:ascii="Arial" w:hAnsi="Arial" w:cs="Arial"/>
          <w:color w:val="000000" w:themeColor="text1"/>
        </w:rPr>
        <w:t>Supplementary Table S9: Sensitivity Analyses (12 pre-specified)</w:t>
      </w:r>
    </w:p>
    <w:p w14:paraId="58976355" w14:textId="77777777" w:rsidR="004B2C8C" w:rsidRPr="00B81568" w:rsidRDefault="00000000">
      <w:pPr>
        <w:spacing w:before="80" w:after="80"/>
        <w:rPr>
          <w:rFonts w:ascii="Arial" w:hAnsi="Arial" w:cs="Arial"/>
          <w:color w:val="000000" w:themeColor="text1"/>
        </w:rPr>
      </w:pPr>
      <w:r w:rsidRPr="00B81568">
        <w:rPr>
          <w:rFonts w:ascii="Arial" w:hAnsi="Arial" w:cs="Arial"/>
        </w:rPr>
        <w:t>Supplementary Figure S2: Prediction Interval Plot for All-ML vs GBS Pool</w:t>
      </w:r>
    </w:p>
    <w:p w14:paraId="42CA8ED8" w14:textId="77777777" w:rsidR="004B2C8C" w:rsidRPr="00B81568" w:rsidRDefault="00000000">
      <w:pPr>
        <w:spacing w:before="80" w:after="80"/>
        <w:rPr>
          <w:rFonts w:ascii="Arial" w:hAnsi="Arial" w:cs="Arial"/>
          <w:color w:val="000000" w:themeColor="text1"/>
        </w:rPr>
      </w:pPr>
      <w:r w:rsidRPr="00B81568">
        <w:rPr>
          <w:rFonts w:ascii="Arial" w:hAnsi="Arial" w:cs="Arial"/>
        </w:rPr>
        <w:t>Supplementary Figure S3: Doi Plot + LFK Index for All-ML vs GBS Pool</w:t>
      </w:r>
    </w:p>
    <w:p w14:paraId="6FD6BB93" w14:textId="77777777" w:rsidR="004B2C8C" w:rsidRPr="00B81568" w:rsidRDefault="00000000">
      <w:pPr>
        <w:spacing w:before="80" w:after="80"/>
        <w:rPr>
          <w:rFonts w:ascii="Arial" w:hAnsi="Arial" w:cs="Arial"/>
          <w:color w:val="000000" w:themeColor="text1"/>
        </w:rPr>
      </w:pPr>
      <w:r w:rsidRPr="00B81568">
        <w:rPr>
          <w:rFonts w:ascii="Arial" w:hAnsi="Arial" w:cs="Arial"/>
          <w:color w:val="000000" w:themeColor="text1"/>
        </w:rPr>
        <w:t>Supplementary Table S10: Node-Splitting Inconsistency Tests</w:t>
      </w:r>
    </w:p>
    <w:p w14:paraId="1BE6DEB4" w14:textId="77777777" w:rsidR="004B2C8C" w:rsidRPr="00B81568" w:rsidRDefault="00000000">
      <w:pPr>
        <w:spacing w:before="80" w:after="80"/>
        <w:rPr>
          <w:rFonts w:ascii="Arial" w:hAnsi="Arial" w:cs="Arial"/>
          <w:color w:val="000000" w:themeColor="text1"/>
        </w:rPr>
      </w:pPr>
      <w:r w:rsidRPr="00B81568">
        <w:rPr>
          <w:rFonts w:ascii="Arial" w:hAnsi="Arial" w:cs="Arial"/>
        </w:rPr>
        <w:t>Supplementary Figure S4: Node-Splitting Forest Plot (S2 closed loops)</w:t>
      </w:r>
    </w:p>
    <w:p w14:paraId="02FA733D" w14:textId="77777777" w:rsidR="004B2C8C" w:rsidRPr="00B81568" w:rsidRDefault="00000000">
      <w:pPr>
        <w:spacing w:before="80" w:after="80"/>
        <w:rPr>
          <w:rFonts w:ascii="Arial" w:hAnsi="Arial" w:cs="Arial"/>
          <w:color w:val="000000" w:themeColor="text1"/>
        </w:rPr>
      </w:pPr>
      <w:r w:rsidRPr="00B81568">
        <w:rPr>
          <w:rFonts w:ascii="Arial" w:hAnsi="Arial" w:cs="Arial"/>
          <w:color w:val="000000" w:themeColor="text1"/>
        </w:rPr>
        <w:t>Supplementary Table S11: Meta-Regression on Heterogeneity Sources</w:t>
      </w:r>
    </w:p>
    <w:p w14:paraId="5D23A873" w14:textId="77777777" w:rsidR="004B2C8C" w:rsidRPr="00B81568" w:rsidRDefault="00000000">
      <w:pPr>
        <w:spacing w:before="80" w:after="80"/>
        <w:rPr>
          <w:rFonts w:ascii="Arial" w:hAnsi="Arial" w:cs="Arial"/>
          <w:color w:val="000000" w:themeColor="text1"/>
        </w:rPr>
      </w:pPr>
      <w:r w:rsidRPr="00B81568">
        <w:rPr>
          <w:rFonts w:ascii="Arial" w:hAnsi="Arial" w:cs="Arial"/>
          <w:color w:val="000000" w:themeColor="text1"/>
        </w:rPr>
        <w:t>Supplementary Table S12: Comparator Balance Transparency (Per-Scenario)</w:t>
      </w:r>
    </w:p>
    <w:p w14:paraId="3C0233F3" w14:textId="77777777" w:rsidR="004B2C8C" w:rsidRPr="00B81568" w:rsidRDefault="00000000">
      <w:pPr>
        <w:spacing w:before="80" w:after="80"/>
        <w:rPr>
          <w:rFonts w:ascii="Arial" w:hAnsi="Arial" w:cs="Arial"/>
          <w:color w:val="000000" w:themeColor="text1"/>
        </w:rPr>
      </w:pPr>
      <w:r w:rsidRPr="00B81568">
        <w:rPr>
          <w:rFonts w:ascii="Arial" w:hAnsi="Arial" w:cs="Arial"/>
          <w:color w:val="000000" w:themeColor="text1"/>
        </w:rPr>
        <w:t>Supplementary Table S13: PRISMA-NMA 2015 Checklist (33 items)</w:t>
      </w:r>
    </w:p>
    <w:p w14:paraId="13A72FA5" w14:textId="77777777" w:rsidR="004B2C8C" w:rsidRPr="004205E6" w:rsidRDefault="00000000">
      <w:pPr>
        <w:pStyle w:val="2"/>
        <w:spacing w:before="280" w:after="140"/>
        <w:rPr>
          <w:rFonts w:ascii="Arial" w:hAnsi="Arial" w:cs="Arial"/>
          <w:color w:val="000000" w:themeColor="text1"/>
          <w:sz w:val="24"/>
          <w:szCs w:val="24"/>
        </w:rPr>
      </w:pPr>
      <w:r w:rsidRPr="004205E6">
        <w:rPr>
          <w:rFonts w:ascii="Arial" w:hAnsi="Arial" w:cs="Arial"/>
          <w:b/>
          <w:bCs/>
          <w:color w:val="000000" w:themeColor="text1"/>
          <w:sz w:val="24"/>
          <w:szCs w:val="24"/>
        </w:rPr>
        <w:lastRenderedPageBreak/>
        <w:t>Supplementary Table S1. Included Study Records (26 studies meeting inclusion criteria for systematic review)</w:t>
      </w:r>
    </w:p>
    <w:p w14:paraId="0FDB988C" w14:textId="77777777" w:rsidR="004B2C8C" w:rsidRPr="004205E6" w:rsidRDefault="00000000">
      <w:pPr>
        <w:spacing w:before="80" w:after="80"/>
        <w:rPr>
          <w:rFonts w:ascii="Arial" w:hAnsi="Arial" w:cs="Arial"/>
          <w:color w:val="000000" w:themeColor="text1"/>
        </w:rPr>
      </w:pPr>
      <w:r w:rsidRPr="004205E6">
        <w:rPr>
          <w:rFonts w:ascii="Arial" w:hAnsi="Arial" w:cs="Arial"/>
          <w:color w:val="000000" w:themeColor="text1"/>
        </w:rPr>
        <w:t>Per-study extraction records including AUGIB ID, citation, country, population, sample size, outcome events, tool class, ML algorithm, validation type, PROBAST overall, TRIPOD+AI completeness, era, and primary scenario(s).</w:t>
      </w:r>
    </w:p>
    <w:tbl>
      <w:tblPr>
        <w:tblStyle w:val="aa"/>
        <w:tblW w:w="5000" w:type="pct"/>
        <w:tblLook w:val="04A0" w:firstRow="1" w:lastRow="0" w:firstColumn="1" w:lastColumn="0" w:noHBand="0" w:noVBand="1"/>
      </w:tblPr>
      <w:tblGrid>
        <w:gridCol w:w="1438"/>
        <w:gridCol w:w="1057"/>
        <w:gridCol w:w="1925"/>
        <w:gridCol w:w="794"/>
        <w:gridCol w:w="1117"/>
        <w:gridCol w:w="2127"/>
        <w:gridCol w:w="2194"/>
        <w:gridCol w:w="1483"/>
        <w:gridCol w:w="1120"/>
        <w:gridCol w:w="1200"/>
        <w:gridCol w:w="933"/>
      </w:tblGrid>
      <w:tr w:rsidR="004B2C8C" w:rsidRPr="004205E6" w14:paraId="548FDBCA" w14:textId="77777777" w:rsidTr="00C41AB7">
        <w:trPr>
          <w:trHeight w:val="644"/>
        </w:trPr>
        <w:tc>
          <w:tcPr>
            <w:tcW w:w="467" w:type="pct"/>
            <w:tcBorders>
              <w:top w:val="single" w:sz="12" w:space="0" w:color="auto"/>
              <w:bottom w:val="single" w:sz="12" w:space="0" w:color="auto"/>
            </w:tcBorders>
            <w:vAlign w:val="center"/>
          </w:tcPr>
          <w:p w14:paraId="7677F0E6" w14:textId="77777777" w:rsidR="004B2C8C" w:rsidRPr="004205E6" w:rsidRDefault="00000000" w:rsidP="00F44497">
            <w:pPr>
              <w:rPr>
                <w:rFonts w:ascii="Arial" w:hAnsi="Arial" w:cs="Arial"/>
                <w:b/>
                <w:bCs/>
                <w:color w:val="000000" w:themeColor="text1"/>
                <w:sz w:val="16"/>
                <w:szCs w:val="16"/>
              </w:rPr>
            </w:pPr>
            <w:r w:rsidRPr="004205E6">
              <w:rPr>
                <w:rFonts w:ascii="Arial" w:hAnsi="Arial" w:cs="Arial"/>
                <w:b/>
                <w:bCs/>
                <w:color w:val="000000" w:themeColor="text1"/>
                <w:sz w:val="16"/>
                <w:szCs w:val="16"/>
              </w:rPr>
              <w:t>Study</w:t>
            </w:r>
          </w:p>
        </w:tc>
        <w:tc>
          <w:tcPr>
            <w:tcW w:w="343" w:type="pct"/>
            <w:tcBorders>
              <w:top w:val="single" w:sz="12" w:space="0" w:color="auto"/>
              <w:bottom w:val="single" w:sz="12" w:space="0" w:color="auto"/>
            </w:tcBorders>
            <w:vAlign w:val="center"/>
          </w:tcPr>
          <w:p w14:paraId="726190AD" w14:textId="77777777" w:rsidR="004B2C8C" w:rsidRPr="004205E6" w:rsidRDefault="00000000" w:rsidP="00F44497">
            <w:pPr>
              <w:jc w:val="both"/>
              <w:rPr>
                <w:rFonts w:ascii="Arial" w:hAnsi="Arial" w:cs="Arial"/>
                <w:b/>
                <w:bCs/>
                <w:color w:val="000000" w:themeColor="text1"/>
                <w:sz w:val="16"/>
                <w:szCs w:val="16"/>
              </w:rPr>
            </w:pPr>
            <w:r w:rsidRPr="004205E6">
              <w:rPr>
                <w:rFonts w:ascii="Arial" w:hAnsi="Arial" w:cs="Arial"/>
                <w:b/>
                <w:bCs/>
                <w:color w:val="000000" w:themeColor="text1"/>
                <w:sz w:val="16"/>
                <w:szCs w:val="16"/>
              </w:rPr>
              <w:t>Country</w:t>
            </w:r>
          </w:p>
        </w:tc>
        <w:tc>
          <w:tcPr>
            <w:tcW w:w="625" w:type="pct"/>
            <w:tcBorders>
              <w:top w:val="single" w:sz="12" w:space="0" w:color="auto"/>
              <w:bottom w:val="single" w:sz="12" w:space="0" w:color="auto"/>
            </w:tcBorders>
            <w:vAlign w:val="center"/>
          </w:tcPr>
          <w:p w14:paraId="23F8370F" w14:textId="77777777" w:rsidR="004B2C8C" w:rsidRPr="004205E6" w:rsidRDefault="00000000" w:rsidP="00F44497">
            <w:pPr>
              <w:jc w:val="both"/>
              <w:rPr>
                <w:rFonts w:ascii="Arial" w:hAnsi="Arial" w:cs="Arial"/>
                <w:b/>
                <w:bCs/>
                <w:color w:val="000000" w:themeColor="text1"/>
                <w:sz w:val="16"/>
                <w:szCs w:val="16"/>
              </w:rPr>
            </w:pPr>
            <w:r w:rsidRPr="004205E6">
              <w:rPr>
                <w:rFonts w:ascii="Arial" w:hAnsi="Arial" w:cs="Arial"/>
                <w:b/>
                <w:bCs/>
                <w:color w:val="000000" w:themeColor="text1"/>
                <w:sz w:val="16"/>
                <w:szCs w:val="16"/>
              </w:rPr>
              <w:t>Population / setting</w:t>
            </w:r>
          </w:p>
        </w:tc>
        <w:tc>
          <w:tcPr>
            <w:tcW w:w="258" w:type="pct"/>
            <w:tcBorders>
              <w:top w:val="single" w:sz="12" w:space="0" w:color="auto"/>
              <w:bottom w:val="single" w:sz="12" w:space="0" w:color="auto"/>
            </w:tcBorders>
            <w:vAlign w:val="center"/>
          </w:tcPr>
          <w:p w14:paraId="0464F7D2" w14:textId="77777777" w:rsidR="004B2C8C" w:rsidRPr="004205E6" w:rsidRDefault="00000000" w:rsidP="00F44497">
            <w:pPr>
              <w:jc w:val="both"/>
              <w:rPr>
                <w:rFonts w:ascii="Arial" w:hAnsi="Arial" w:cs="Arial"/>
                <w:b/>
                <w:bCs/>
                <w:color w:val="000000" w:themeColor="text1"/>
                <w:sz w:val="16"/>
                <w:szCs w:val="16"/>
              </w:rPr>
            </w:pPr>
            <w:r w:rsidRPr="004205E6">
              <w:rPr>
                <w:rFonts w:ascii="Arial" w:hAnsi="Arial" w:cs="Arial"/>
                <w:b/>
                <w:bCs/>
                <w:color w:val="000000" w:themeColor="text1"/>
                <w:sz w:val="16"/>
                <w:szCs w:val="16"/>
              </w:rPr>
              <w:t>N</w:t>
            </w:r>
          </w:p>
        </w:tc>
        <w:tc>
          <w:tcPr>
            <w:tcW w:w="363" w:type="pct"/>
            <w:tcBorders>
              <w:top w:val="single" w:sz="12" w:space="0" w:color="auto"/>
              <w:bottom w:val="single" w:sz="12" w:space="0" w:color="auto"/>
            </w:tcBorders>
            <w:vAlign w:val="center"/>
          </w:tcPr>
          <w:p w14:paraId="3083DDB3" w14:textId="77777777" w:rsidR="004B2C8C" w:rsidRPr="004205E6" w:rsidRDefault="00000000" w:rsidP="00F44497">
            <w:pPr>
              <w:jc w:val="both"/>
              <w:rPr>
                <w:rFonts w:ascii="Arial" w:hAnsi="Arial" w:cs="Arial"/>
                <w:b/>
                <w:bCs/>
                <w:color w:val="000000" w:themeColor="text1"/>
                <w:sz w:val="16"/>
                <w:szCs w:val="16"/>
              </w:rPr>
            </w:pPr>
            <w:r w:rsidRPr="004205E6">
              <w:rPr>
                <w:rFonts w:ascii="Arial" w:hAnsi="Arial" w:cs="Arial"/>
                <w:b/>
                <w:bCs/>
                <w:color w:val="000000" w:themeColor="text1"/>
                <w:sz w:val="16"/>
                <w:szCs w:val="16"/>
              </w:rPr>
              <w:t>Outcome events</w:t>
            </w:r>
          </w:p>
        </w:tc>
        <w:tc>
          <w:tcPr>
            <w:tcW w:w="691" w:type="pct"/>
            <w:tcBorders>
              <w:top w:val="single" w:sz="12" w:space="0" w:color="auto"/>
              <w:bottom w:val="single" w:sz="12" w:space="0" w:color="auto"/>
            </w:tcBorders>
            <w:vAlign w:val="center"/>
          </w:tcPr>
          <w:p w14:paraId="4DDCEE86" w14:textId="77777777" w:rsidR="004B2C8C" w:rsidRPr="004205E6" w:rsidRDefault="00000000" w:rsidP="00F44497">
            <w:pPr>
              <w:jc w:val="both"/>
              <w:rPr>
                <w:rFonts w:ascii="Arial" w:hAnsi="Arial" w:cs="Arial"/>
                <w:b/>
                <w:bCs/>
                <w:color w:val="000000" w:themeColor="text1"/>
                <w:sz w:val="16"/>
                <w:szCs w:val="16"/>
              </w:rPr>
            </w:pPr>
            <w:r w:rsidRPr="004205E6">
              <w:rPr>
                <w:rFonts w:ascii="Arial" w:hAnsi="Arial" w:cs="Arial"/>
                <w:b/>
                <w:bCs/>
                <w:color w:val="000000" w:themeColor="text1"/>
                <w:sz w:val="16"/>
                <w:szCs w:val="16"/>
              </w:rPr>
              <w:t>Tool class</w:t>
            </w:r>
          </w:p>
        </w:tc>
        <w:tc>
          <w:tcPr>
            <w:tcW w:w="713" w:type="pct"/>
            <w:tcBorders>
              <w:top w:val="single" w:sz="12" w:space="0" w:color="auto"/>
              <w:bottom w:val="single" w:sz="12" w:space="0" w:color="auto"/>
            </w:tcBorders>
            <w:vAlign w:val="center"/>
          </w:tcPr>
          <w:p w14:paraId="2FB763FF" w14:textId="77777777" w:rsidR="004B2C8C" w:rsidRPr="004205E6" w:rsidRDefault="00000000" w:rsidP="00F44497">
            <w:pPr>
              <w:rPr>
                <w:rFonts w:ascii="Arial" w:hAnsi="Arial" w:cs="Arial"/>
                <w:b/>
                <w:bCs/>
                <w:color w:val="000000" w:themeColor="text1"/>
                <w:sz w:val="16"/>
                <w:szCs w:val="16"/>
              </w:rPr>
            </w:pPr>
            <w:r w:rsidRPr="004205E6">
              <w:rPr>
                <w:rFonts w:ascii="Arial" w:hAnsi="Arial" w:cs="Arial"/>
                <w:b/>
                <w:bCs/>
                <w:color w:val="000000" w:themeColor="text1"/>
                <w:sz w:val="16"/>
                <w:szCs w:val="16"/>
              </w:rPr>
              <w:t>Outcome family</w:t>
            </w:r>
          </w:p>
        </w:tc>
        <w:tc>
          <w:tcPr>
            <w:tcW w:w="482" w:type="pct"/>
            <w:tcBorders>
              <w:top w:val="single" w:sz="12" w:space="0" w:color="auto"/>
              <w:bottom w:val="single" w:sz="12" w:space="0" w:color="auto"/>
            </w:tcBorders>
            <w:vAlign w:val="center"/>
          </w:tcPr>
          <w:p w14:paraId="2983F4E5" w14:textId="77777777" w:rsidR="004B2C8C" w:rsidRPr="004205E6" w:rsidRDefault="00000000" w:rsidP="00F44497">
            <w:pPr>
              <w:jc w:val="both"/>
              <w:rPr>
                <w:rFonts w:ascii="Arial" w:hAnsi="Arial" w:cs="Arial"/>
                <w:b/>
                <w:bCs/>
                <w:color w:val="000000" w:themeColor="text1"/>
                <w:sz w:val="16"/>
                <w:szCs w:val="16"/>
              </w:rPr>
            </w:pPr>
            <w:r w:rsidRPr="004205E6">
              <w:rPr>
                <w:rFonts w:ascii="Arial" w:hAnsi="Arial" w:cs="Arial"/>
                <w:b/>
                <w:bCs/>
                <w:color w:val="000000" w:themeColor="text1"/>
                <w:sz w:val="16"/>
                <w:szCs w:val="16"/>
              </w:rPr>
              <w:t>Validation</w:t>
            </w:r>
          </w:p>
        </w:tc>
        <w:tc>
          <w:tcPr>
            <w:tcW w:w="364" w:type="pct"/>
            <w:tcBorders>
              <w:top w:val="single" w:sz="12" w:space="0" w:color="auto"/>
              <w:bottom w:val="single" w:sz="12" w:space="0" w:color="auto"/>
            </w:tcBorders>
            <w:vAlign w:val="center"/>
          </w:tcPr>
          <w:p w14:paraId="4656C511" w14:textId="77777777" w:rsidR="004B2C8C" w:rsidRPr="004205E6" w:rsidRDefault="00000000" w:rsidP="00F44497">
            <w:pPr>
              <w:jc w:val="both"/>
              <w:rPr>
                <w:rFonts w:ascii="Arial" w:hAnsi="Arial" w:cs="Arial"/>
                <w:b/>
                <w:bCs/>
                <w:color w:val="000000" w:themeColor="text1"/>
                <w:sz w:val="16"/>
                <w:szCs w:val="16"/>
              </w:rPr>
            </w:pPr>
            <w:r w:rsidRPr="004205E6">
              <w:rPr>
                <w:rFonts w:ascii="Arial" w:hAnsi="Arial" w:cs="Arial"/>
                <w:b/>
                <w:bCs/>
                <w:color w:val="000000" w:themeColor="text1"/>
                <w:sz w:val="16"/>
                <w:szCs w:val="16"/>
              </w:rPr>
              <w:t>PROBAST</w:t>
            </w:r>
          </w:p>
        </w:tc>
        <w:tc>
          <w:tcPr>
            <w:tcW w:w="390" w:type="pct"/>
            <w:tcBorders>
              <w:top w:val="single" w:sz="12" w:space="0" w:color="auto"/>
              <w:bottom w:val="single" w:sz="12" w:space="0" w:color="auto"/>
            </w:tcBorders>
            <w:vAlign w:val="center"/>
          </w:tcPr>
          <w:p w14:paraId="09D2E8C8" w14:textId="77777777" w:rsidR="004B2C8C" w:rsidRPr="004205E6" w:rsidRDefault="00000000" w:rsidP="00F44497">
            <w:pPr>
              <w:jc w:val="both"/>
              <w:rPr>
                <w:rFonts w:ascii="Arial" w:hAnsi="Arial" w:cs="Arial"/>
                <w:b/>
                <w:bCs/>
                <w:color w:val="000000" w:themeColor="text1"/>
                <w:sz w:val="16"/>
                <w:szCs w:val="16"/>
              </w:rPr>
            </w:pPr>
            <w:r w:rsidRPr="004205E6">
              <w:rPr>
                <w:rFonts w:ascii="Arial" w:hAnsi="Arial" w:cs="Arial"/>
                <w:b/>
                <w:bCs/>
                <w:color w:val="000000" w:themeColor="text1"/>
                <w:sz w:val="16"/>
                <w:szCs w:val="16"/>
              </w:rPr>
              <w:t>TRIPOD+AI</w:t>
            </w:r>
          </w:p>
        </w:tc>
        <w:tc>
          <w:tcPr>
            <w:tcW w:w="303" w:type="pct"/>
            <w:tcBorders>
              <w:top w:val="single" w:sz="12" w:space="0" w:color="auto"/>
              <w:bottom w:val="single" w:sz="12" w:space="0" w:color="auto"/>
            </w:tcBorders>
            <w:vAlign w:val="center"/>
          </w:tcPr>
          <w:p w14:paraId="7B38FEB2" w14:textId="77777777" w:rsidR="004B2C8C" w:rsidRPr="004205E6" w:rsidRDefault="00000000" w:rsidP="00F44497">
            <w:pPr>
              <w:jc w:val="both"/>
              <w:rPr>
                <w:rFonts w:ascii="Arial" w:hAnsi="Arial" w:cs="Arial"/>
                <w:b/>
                <w:bCs/>
                <w:color w:val="000000" w:themeColor="text1"/>
                <w:sz w:val="16"/>
                <w:szCs w:val="16"/>
              </w:rPr>
            </w:pPr>
            <w:r w:rsidRPr="004205E6">
              <w:rPr>
                <w:rFonts w:ascii="Arial" w:hAnsi="Arial" w:cs="Arial"/>
                <w:b/>
                <w:bCs/>
                <w:color w:val="000000" w:themeColor="text1"/>
                <w:sz w:val="16"/>
                <w:szCs w:val="16"/>
              </w:rPr>
              <w:t>Scenario</w:t>
            </w:r>
          </w:p>
        </w:tc>
      </w:tr>
      <w:tr w:rsidR="004B2C8C" w:rsidRPr="004205E6" w14:paraId="468E4335" w14:textId="77777777" w:rsidTr="00C41AB7">
        <w:trPr>
          <w:trHeight w:val="644"/>
        </w:trPr>
        <w:tc>
          <w:tcPr>
            <w:tcW w:w="467" w:type="pct"/>
            <w:tcBorders>
              <w:top w:val="single" w:sz="12" w:space="0" w:color="auto"/>
            </w:tcBorders>
            <w:vAlign w:val="center"/>
          </w:tcPr>
          <w:p w14:paraId="2DEFA83B"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Lu 2026</w:t>
            </w:r>
          </w:p>
        </w:tc>
        <w:tc>
          <w:tcPr>
            <w:tcW w:w="343" w:type="pct"/>
            <w:tcBorders>
              <w:top w:val="single" w:sz="12" w:space="0" w:color="auto"/>
            </w:tcBorders>
            <w:vAlign w:val="center"/>
          </w:tcPr>
          <w:p w14:paraId="5E159CB9"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USA</w:t>
            </w:r>
          </w:p>
        </w:tc>
        <w:tc>
          <w:tcPr>
            <w:tcW w:w="625" w:type="pct"/>
            <w:tcBorders>
              <w:top w:val="single" w:sz="12" w:space="0" w:color="auto"/>
            </w:tcBorders>
            <w:vAlign w:val="center"/>
          </w:tcPr>
          <w:p w14:paraId="7E2A555F"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30d mortality ICU</w:t>
            </w:r>
          </w:p>
        </w:tc>
        <w:tc>
          <w:tcPr>
            <w:tcW w:w="258" w:type="pct"/>
            <w:tcBorders>
              <w:top w:val="single" w:sz="12" w:space="0" w:color="auto"/>
            </w:tcBorders>
            <w:vAlign w:val="center"/>
          </w:tcPr>
          <w:p w14:paraId="391A1A7E"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10654</w:t>
            </w:r>
          </w:p>
        </w:tc>
        <w:tc>
          <w:tcPr>
            <w:tcW w:w="363" w:type="pct"/>
            <w:tcBorders>
              <w:top w:val="single" w:sz="12" w:space="0" w:color="auto"/>
            </w:tcBorders>
            <w:vAlign w:val="center"/>
          </w:tcPr>
          <w:p w14:paraId="39772CB7"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910</w:t>
            </w:r>
          </w:p>
        </w:tc>
        <w:tc>
          <w:tcPr>
            <w:tcW w:w="691" w:type="pct"/>
            <w:tcBorders>
              <w:top w:val="single" w:sz="12" w:space="0" w:color="auto"/>
            </w:tcBorders>
            <w:vAlign w:val="center"/>
          </w:tcPr>
          <w:p w14:paraId="2BFB3343"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Tree-ensemble (NVUPreM)</w:t>
            </w:r>
          </w:p>
        </w:tc>
        <w:tc>
          <w:tcPr>
            <w:tcW w:w="713" w:type="pct"/>
            <w:tcBorders>
              <w:top w:val="single" w:sz="12" w:space="0" w:color="auto"/>
            </w:tcBorders>
            <w:vAlign w:val="center"/>
          </w:tcPr>
          <w:p w14:paraId="5EEA4F74"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Mortality</w:t>
            </w:r>
          </w:p>
        </w:tc>
        <w:tc>
          <w:tcPr>
            <w:tcW w:w="482" w:type="pct"/>
            <w:tcBorders>
              <w:top w:val="single" w:sz="12" w:space="0" w:color="auto"/>
            </w:tcBorders>
            <w:vAlign w:val="center"/>
          </w:tcPr>
          <w:p w14:paraId="5DF7053B"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External(eICU)</w:t>
            </w:r>
          </w:p>
        </w:tc>
        <w:tc>
          <w:tcPr>
            <w:tcW w:w="364" w:type="pct"/>
            <w:tcBorders>
              <w:top w:val="single" w:sz="12" w:space="0" w:color="auto"/>
            </w:tcBorders>
            <w:vAlign w:val="center"/>
          </w:tcPr>
          <w:p w14:paraId="68909E72"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MODERATE</w:t>
            </w:r>
          </w:p>
        </w:tc>
        <w:tc>
          <w:tcPr>
            <w:tcW w:w="390" w:type="pct"/>
            <w:tcBorders>
              <w:top w:val="single" w:sz="12" w:space="0" w:color="auto"/>
            </w:tcBorders>
            <w:vAlign w:val="center"/>
          </w:tcPr>
          <w:p w14:paraId="0F1B587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68%</w:t>
            </w:r>
          </w:p>
        </w:tc>
        <w:tc>
          <w:tcPr>
            <w:tcW w:w="303" w:type="pct"/>
            <w:tcBorders>
              <w:top w:val="single" w:sz="12" w:space="0" w:color="auto"/>
            </w:tcBorders>
            <w:vAlign w:val="center"/>
          </w:tcPr>
          <w:p w14:paraId="271E0AB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S2</w:t>
            </w:r>
          </w:p>
        </w:tc>
      </w:tr>
      <w:tr w:rsidR="004B2C8C" w:rsidRPr="004205E6" w14:paraId="5C09FDA7" w14:textId="77777777" w:rsidTr="00C41AB7">
        <w:trPr>
          <w:trHeight w:val="644"/>
        </w:trPr>
        <w:tc>
          <w:tcPr>
            <w:tcW w:w="467" w:type="pct"/>
            <w:vAlign w:val="center"/>
          </w:tcPr>
          <w:p w14:paraId="5AB52696"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Boros 2025</w:t>
            </w:r>
          </w:p>
        </w:tc>
        <w:tc>
          <w:tcPr>
            <w:tcW w:w="343" w:type="pct"/>
            <w:vAlign w:val="center"/>
          </w:tcPr>
          <w:p w14:paraId="72963CA1"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Hungary</w:t>
            </w:r>
          </w:p>
        </w:tc>
        <w:tc>
          <w:tcPr>
            <w:tcW w:w="625" w:type="pct"/>
            <w:vAlign w:val="center"/>
          </w:tcPr>
          <w:p w14:paraId="08A0DB29"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inhospital mortality</w:t>
            </w:r>
          </w:p>
        </w:tc>
        <w:tc>
          <w:tcPr>
            <w:tcW w:w="258" w:type="pct"/>
            <w:vAlign w:val="center"/>
          </w:tcPr>
          <w:p w14:paraId="1E047250"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1021</w:t>
            </w:r>
          </w:p>
        </w:tc>
        <w:tc>
          <w:tcPr>
            <w:tcW w:w="363" w:type="pct"/>
            <w:vAlign w:val="center"/>
          </w:tcPr>
          <w:p w14:paraId="2BA2264E"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108</w:t>
            </w:r>
          </w:p>
        </w:tc>
        <w:tc>
          <w:tcPr>
            <w:tcW w:w="691" w:type="pct"/>
            <w:vAlign w:val="center"/>
          </w:tcPr>
          <w:p w14:paraId="06A43D81"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Tree-ensemble (XGBoost+CatBoost)</w:t>
            </w:r>
          </w:p>
        </w:tc>
        <w:tc>
          <w:tcPr>
            <w:tcW w:w="713" w:type="pct"/>
            <w:vAlign w:val="center"/>
          </w:tcPr>
          <w:p w14:paraId="65D8360F"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Mortality</w:t>
            </w:r>
          </w:p>
        </w:tc>
        <w:tc>
          <w:tcPr>
            <w:tcW w:w="482" w:type="pct"/>
            <w:vAlign w:val="center"/>
          </w:tcPr>
          <w:p w14:paraId="329EC022"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Internal 5-fold CV</w:t>
            </w:r>
          </w:p>
        </w:tc>
        <w:tc>
          <w:tcPr>
            <w:tcW w:w="364" w:type="pct"/>
            <w:vAlign w:val="center"/>
          </w:tcPr>
          <w:p w14:paraId="0F3D944C"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MODERATE</w:t>
            </w:r>
          </w:p>
        </w:tc>
        <w:tc>
          <w:tcPr>
            <w:tcW w:w="390" w:type="pct"/>
            <w:vAlign w:val="center"/>
          </w:tcPr>
          <w:p w14:paraId="486EE713"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72%</w:t>
            </w:r>
          </w:p>
        </w:tc>
        <w:tc>
          <w:tcPr>
            <w:tcW w:w="303" w:type="pct"/>
            <w:vAlign w:val="center"/>
          </w:tcPr>
          <w:p w14:paraId="61A397F8"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S2</w:t>
            </w:r>
          </w:p>
        </w:tc>
      </w:tr>
      <w:tr w:rsidR="004B2C8C" w:rsidRPr="004205E6" w14:paraId="12A62E6A" w14:textId="77777777" w:rsidTr="00C41AB7">
        <w:trPr>
          <w:trHeight w:val="644"/>
        </w:trPr>
        <w:tc>
          <w:tcPr>
            <w:tcW w:w="467" w:type="pct"/>
            <w:vAlign w:val="center"/>
          </w:tcPr>
          <w:p w14:paraId="0654D37A"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Rotondano 2011</w:t>
            </w:r>
          </w:p>
        </w:tc>
        <w:tc>
          <w:tcPr>
            <w:tcW w:w="343" w:type="pct"/>
            <w:vAlign w:val="center"/>
          </w:tcPr>
          <w:p w14:paraId="7F41A0B2"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Italy</w:t>
            </w:r>
          </w:p>
        </w:tc>
        <w:tc>
          <w:tcPr>
            <w:tcW w:w="625" w:type="pct"/>
            <w:vAlign w:val="center"/>
          </w:tcPr>
          <w:p w14:paraId="13BEC168"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30d mortality</w:t>
            </w:r>
          </w:p>
        </w:tc>
        <w:tc>
          <w:tcPr>
            <w:tcW w:w="258" w:type="pct"/>
            <w:vAlign w:val="center"/>
          </w:tcPr>
          <w:p w14:paraId="180E6642"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2380</w:t>
            </w:r>
          </w:p>
        </w:tc>
        <w:tc>
          <w:tcPr>
            <w:tcW w:w="363" w:type="pct"/>
            <w:vAlign w:val="center"/>
          </w:tcPr>
          <w:p w14:paraId="7B75C3A5"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165</w:t>
            </w:r>
          </w:p>
        </w:tc>
        <w:tc>
          <w:tcPr>
            <w:tcW w:w="691" w:type="pct"/>
            <w:vAlign w:val="center"/>
          </w:tcPr>
          <w:p w14:paraId="6FDF90B1"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ANN (TWIST Semeion)</w:t>
            </w:r>
          </w:p>
        </w:tc>
        <w:tc>
          <w:tcPr>
            <w:tcW w:w="713" w:type="pct"/>
            <w:vAlign w:val="center"/>
          </w:tcPr>
          <w:p w14:paraId="6EBECAF6"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Mortality</w:t>
            </w:r>
          </w:p>
        </w:tc>
        <w:tc>
          <w:tcPr>
            <w:tcW w:w="482" w:type="pct"/>
            <w:vAlign w:val="center"/>
          </w:tcPr>
          <w:p w14:paraId="287D3887"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Split 5x2 CV</w:t>
            </w:r>
          </w:p>
        </w:tc>
        <w:tc>
          <w:tcPr>
            <w:tcW w:w="364" w:type="pct"/>
            <w:vAlign w:val="center"/>
          </w:tcPr>
          <w:p w14:paraId="66EE61F1"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HIGH</w:t>
            </w:r>
          </w:p>
        </w:tc>
        <w:tc>
          <w:tcPr>
            <w:tcW w:w="390" w:type="pct"/>
            <w:vAlign w:val="center"/>
          </w:tcPr>
          <w:p w14:paraId="62303EA7"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38%</w:t>
            </w:r>
          </w:p>
        </w:tc>
        <w:tc>
          <w:tcPr>
            <w:tcW w:w="303" w:type="pct"/>
            <w:vAlign w:val="center"/>
          </w:tcPr>
          <w:p w14:paraId="6FE08048"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S2</w:t>
            </w:r>
          </w:p>
        </w:tc>
      </w:tr>
      <w:tr w:rsidR="004B2C8C" w:rsidRPr="004205E6" w14:paraId="335C1D32" w14:textId="77777777" w:rsidTr="00C41AB7">
        <w:trPr>
          <w:trHeight w:val="644"/>
        </w:trPr>
        <w:tc>
          <w:tcPr>
            <w:tcW w:w="467" w:type="pct"/>
            <w:vAlign w:val="center"/>
          </w:tcPr>
          <w:p w14:paraId="0C4F4D7C"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 xml:space="preserve">Seo 2020 </w:t>
            </w:r>
          </w:p>
        </w:tc>
        <w:tc>
          <w:tcPr>
            <w:tcW w:w="343" w:type="pct"/>
            <w:vAlign w:val="center"/>
          </w:tcPr>
          <w:p w14:paraId="595C51A2"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Korea</w:t>
            </w:r>
          </w:p>
        </w:tc>
        <w:tc>
          <w:tcPr>
            <w:tcW w:w="625" w:type="pct"/>
            <w:vAlign w:val="center"/>
          </w:tcPr>
          <w:p w14:paraId="45B4878C"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30d mortality + rebleed</w:t>
            </w:r>
          </w:p>
        </w:tc>
        <w:tc>
          <w:tcPr>
            <w:tcW w:w="258" w:type="pct"/>
            <w:vAlign w:val="center"/>
          </w:tcPr>
          <w:p w14:paraId="39C0DB94"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1439</w:t>
            </w:r>
          </w:p>
        </w:tc>
        <w:tc>
          <w:tcPr>
            <w:tcW w:w="363" w:type="pct"/>
            <w:vAlign w:val="center"/>
          </w:tcPr>
          <w:p w14:paraId="36B48ED0"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17</w:t>
            </w:r>
          </w:p>
        </w:tc>
        <w:tc>
          <w:tcPr>
            <w:tcW w:w="691" w:type="pct"/>
            <w:vAlign w:val="center"/>
          </w:tcPr>
          <w:p w14:paraId="47D7976E"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Voting+RF (LR+RF+GB Voting)</w:t>
            </w:r>
          </w:p>
        </w:tc>
        <w:tc>
          <w:tcPr>
            <w:tcW w:w="713" w:type="pct"/>
            <w:vAlign w:val="center"/>
          </w:tcPr>
          <w:p w14:paraId="34D936F2"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Mortality + rebleeding composite</w:t>
            </w:r>
          </w:p>
        </w:tc>
        <w:tc>
          <w:tcPr>
            <w:tcW w:w="482" w:type="pct"/>
            <w:vAlign w:val="center"/>
          </w:tcPr>
          <w:p w14:paraId="0C1DAF8B"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Internal 5-fold CV</w:t>
            </w:r>
          </w:p>
        </w:tc>
        <w:tc>
          <w:tcPr>
            <w:tcW w:w="364" w:type="pct"/>
            <w:vAlign w:val="center"/>
          </w:tcPr>
          <w:p w14:paraId="69E421DD"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HIGH</w:t>
            </w:r>
          </w:p>
        </w:tc>
        <w:tc>
          <w:tcPr>
            <w:tcW w:w="390" w:type="pct"/>
            <w:vAlign w:val="center"/>
          </w:tcPr>
          <w:p w14:paraId="6FF4083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71%</w:t>
            </w:r>
          </w:p>
        </w:tc>
        <w:tc>
          <w:tcPr>
            <w:tcW w:w="303" w:type="pct"/>
            <w:vAlign w:val="center"/>
          </w:tcPr>
          <w:p w14:paraId="7FEC9D51"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S2</w:t>
            </w:r>
          </w:p>
        </w:tc>
      </w:tr>
      <w:tr w:rsidR="004B2C8C" w:rsidRPr="004205E6" w14:paraId="5496ED2E" w14:textId="77777777" w:rsidTr="00C41AB7">
        <w:trPr>
          <w:trHeight w:val="644"/>
        </w:trPr>
        <w:tc>
          <w:tcPr>
            <w:tcW w:w="467" w:type="pct"/>
            <w:vAlign w:val="center"/>
          </w:tcPr>
          <w:p w14:paraId="6FD8C8E0"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 xml:space="preserve">Zhao 2024 </w:t>
            </w:r>
          </w:p>
        </w:tc>
        <w:tc>
          <w:tcPr>
            <w:tcW w:w="343" w:type="pct"/>
            <w:vAlign w:val="center"/>
          </w:tcPr>
          <w:p w14:paraId="6A9F1EAD"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USA</w:t>
            </w:r>
          </w:p>
        </w:tc>
        <w:tc>
          <w:tcPr>
            <w:tcW w:w="625" w:type="pct"/>
            <w:vAlign w:val="center"/>
          </w:tcPr>
          <w:p w14:paraId="7568C2DD"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inhospital mortality ICU</w:t>
            </w:r>
          </w:p>
        </w:tc>
        <w:tc>
          <w:tcPr>
            <w:tcW w:w="258" w:type="pct"/>
            <w:vAlign w:val="center"/>
          </w:tcPr>
          <w:p w14:paraId="4F088754"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2716</w:t>
            </w:r>
          </w:p>
        </w:tc>
        <w:tc>
          <w:tcPr>
            <w:tcW w:w="363" w:type="pct"/>
            <w:vAlign w:val="center"/>
          </w:tcPr>
          <w:p w14:paraId="153C82D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485</w:t>
            </w:r>
          </w:p>
        </w:tc>
        <w:tc>
          <w:tcPr>
            <w:tcW w:w="691" w:type="pct"/>
            <w:vAlign w:val="center"/>
          </w:tcPr>
          <w:p w14:paraId="4D7496CC"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Tree-ensemble (GBDT)</w:t>
            </w:r>
          </w:p>
        </w:tc>
        <w:tc>
          <w:tcPr>
            <w:tcW w:w="713" w:type="pct"/>
            <w:vAlign w:val="center"/>
          </w:tcPr>
          <w:p w14:paraId="0CC9F365"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ICU mortality</w:t>
            </w:r>
          </w:p>
        </w:tc>
        <w:tc>
          <w:tcPr>
            <w:tcW w:w="482" w:type="pct"/>
            <w:vAlign w:val="center"/>
          </w:tcPr>
          <w:p w14:paraId="3A8B10A8"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Internal 80:20</w:t>
            </w:r>
          </w:p>
        </w:tc>
        <w:tc>
          <w:tcPr>
            <w:tcW w:w="364" w:type="pct"/>
            <w:vAlign w:val="center"/>
          </w:tcPr>
          <w:p w14:paraId="040AC1E5"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HIGH</w:t>
            </w:r>
          </w:p>
        </w:tc>
        <w:tc>
          <w:tcPr>
            <w:tcW w:w="390" w:type="pct"/>
            <w:vAlign w:val="center"/>
          </w:tcPr>
          <w:p w14:paraId="2BBD1EE5"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64%</w:t>
            </w:r>
          </w:p>
        </w:tc>
        <w:tc>
          <w:tcPr>
            <w:tcW w:w="303" w:type="pct"/>
            <w:vAlign w:val="center"/>
          </w:tcPr>
          <w:p w14:paraId="11571395"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S4</w:t>
            </w:r>
          </w:p>
        </w:tc>
      </w:tr>
      <w:tr w:rsidR="004B2C8C" w:rsidRPr="004205E6" w14:paraId="0811444E" w14:textId="77777777" w:rsidTr="00C41AB7">
        <w:trPr>
          <w:trHeight w:val="644"/>
        </w:trPr>
        <w:tc>
          <w:tcPr>
            <w:tcW w:w="467" w:type="pct"/>
            <w:vAlign w:val="center"/>
          </w:tcPr>
          <w:p w14:paraId="3D15E470"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 xml:space="preserve">Das 2008 </w:t>
            </w:r>
          </w:p>
        </w:tc>
        <w:tc>
          <w:tcPr>
            <w:tcW w:w="343" w:type="pct"/>
            <w:vAlign w:val="center"/>
          </w:tcPr>
          <w:p w14:paraId="0BE977A7"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USA</w:t>
            </w:r>
          </w:p>
        </w:tc>
        <w:tc>
          <w:tcPr>
            <w:tcW w:w="625" w:type="pct"/>
            <w:vAlign w:val="center"/>
          </w:tcPr>
          <w:p w14:paraId="16A008C7"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mortality + rebleed</w:t>
            </w:r>
          </w:p>
        </w:tc>
        <w:tc>
          <w:tcPr>
            <w:tcW w:w="258" w:type="pct"/>
            <w:vAlign w:val="center"/>
          </w:tcPr>
          <w:p w14:paraId="147D7C3C"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387</w:t>
            </w:r>
          </w:p>
        </w:tc>
        <w:tc>
          <w:tcPr>
            <w:tcW w:w="363" w:type="pct"/>
            <w:vAlign w:val="center"/>
          </w:tcPr>
          <w:p w14:paraId="2D13B748"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65</w:t>
            </w:r>
          </w:p>
        </w:tc>
        <w:tc>
          <w:tcPr>
            <w:tcW w:w="691" w:type="pct"/>
            <w:vAlign w:val="center"/>
          </w:tcPr>
          <w:p w14:paraId="686B0272"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ANN (ANN)</w:t>
            </w:r>
          </w:p>
        </w:tc>
        <w:tc>
          <w:tcPr>
            <w:tcW w:w="713" w:type="pct"/>
            <w:vAlign w:val="center"/>
          </w:tcPr>
          <w:p w14:paraId="6C49BF94"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Mortality</w:t>
            </w:r>
          </w:p>
        </w:tc>
        <w:tc>
          <w:tcPr>
            <w:tcW w:w="482" w:type="pct"/>
            <w:vAlign w:val="center"/>
          </w:tcPr>
          <w:p w14:paraId="64478DBE"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Split+External</w:t>
            </w:r>
          </w:p>
        </w:tc>
        <w:tc>
          <w:tcPr>
            <w:tcW w:w="364" w:type="pct"/>
            <w:vAlign w:val="center"/>
          </w:tcPr>
          <w:p w14:paraId="2815B154"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HIGH</w:t>
            </w:r>
          </w:p>
        </w:tc>
        <w:tc>
          <w:tcPr>
            <w:tcW w:w="390" w:type="pct"/>
            <w:vAlign w:val="center"/>
          </w:tcPr>
          <w:p w14:paraId="6340AE4B"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42%</w:t>
            </w:r>
          </w:p>
        </w:tc>
        <w:tc>
          <w:tcPr>
            <w:tcW w:w="303" w:type="pct"/>
            <w:vAlign w:val="center"/>
          </w:tcPr>
          <w:p w14:paraId="436B57B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S2</w:t>
            </w:r>
          </w:p>
        </w:tc>
      </w:tr>
      <w:tr w:rsidR="004B2C8C" w:rsidRPr="004205E6" w14:paraId="28BE8144" w14:textId="77777777" w:rsidTr="00C41AB7">
        <w:trPr>
          <w:trHeight w:val="644"/>
        </w:trPr>
        <w:tc>
          <w:tcPr>
            <w:tcW w:w="467" w:type="pct"/>
            <w:vAlign w:val="center"/>
          </w:tcPr>
          <w:p w14:paraId="19760DA0"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Shung 2024 (2024)</w:t>
            </w:r>
          </w:p>
        </w:tc>
        <w:tc>
          <w:tcPr>
            <w:tcW w:w="343" w:type="pct"/>
            <w:vAlign w:val="center"/>
          </w:tcPr>
          <w:p w14:paraId="60F569D2"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USA</w:t>
            </w:r>
          </w:p>
        </w:tc>
        <w:tc>
          <w:tcPr>
            <w:tcW w:w="625" w:type="pct"/>
            <w:vAlign w:val="center"/>
          </w:tcPr>
          <w:p w14:paraId="41E98E0E"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composite outcome</w:t>
            </w:r>
          </w:p>
        </w:tc>
        <w:tc>
          <w:tcPr>
            <w:tcW w:w="258" w:type="pct"/>
            <w:vAlign w:val="center"/>
          </w:tcPr>
          <w:p w14:paraId="37FB9716"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4322</w:t>
            </w:r>
          </w:p>
        </w:tc>
        <w:tc>
          <w:tcPr>
            <w:tcW w:w="363" w:type="pct"/>
            <w:vAlign w:val="center"/>
          </w:tcPr>
          <w:p w14:paraId="49E00554"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N/A</w:t>
            </w:r>
          </w:p>
        </w:tc>
        <w:tc>
          <w:tcPr>
            <w:tcW w:w="691" w:type="pct"/>
            <w:vAlign w:val="center"/>
          </w:tcPr>
          <w:p w14:paraId="3239354B"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ML EHR-based (GBM-EHR)</w:t>
            </w:r>
          </w:p>
        </w:tc>
        <w:tc>
          <w:tcPr>
            <w:tcW w:w="713" w:type="pct"/>
            <w:vAlign w:val="center"/>
          </w:tcPr>
          <w:p w14:paraId="57BE468D"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Composite high-risk outcome</w:t>
            </w:r>
          </w:p>
        </w:tc>
        <w:tc>
          <w:tcPr>
            <w:tcW w:w="482" w:type="pct"/>
            <w:vAlign w:val="center"/>
          </w:tcPr>
          <w:p w14:paraId="39A573ED"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External(3rd hosp)</w:t>
            </w:r>
          </w:p>
        </w:tc>
        <w:tc>
          <w:tcPr>
            <w:tcW w:w="364" w:type="pct"/>
            <w:vAlign w:val="center"/>
          </w:tcPr>
          <w:p w14:paraId="1B5D29BC"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LOW</w:t>
            </w:r>
          </w:p>
        </w:tc>
        <w:tc>
          <w:tcPr>
            <w:tcW w:w="390" w:type="pct"/>
            <w:vAlign w:val="center"/>
          </w:tcPr>
          <w:p w14:paraId="6016D495"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82%</w:t>
            </w:r>
          </w:p>
        </w:tc>
        <w:tc>
          <w:tcPr>
            <w:tcW w:w="303" w:type="pct"/>
            <w:vAlign w:val="center"/>
          </w:tcPr>
          <w:p w14:paraId="66E63650"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S2</w:t>
            </w:r>
          </w:p>
        </w:tc>
      </w:tr>
      <w:tr w:rsidR="004B2C8C" w:rsidRPr="004205E6" w14:paraId="689DC460" w14:textId="77777777" w:rsidTr="00C41AB7">
        <w:trPr>
          <w:trHeight w:val="644"/>
        </w:trPr>
        <w:tc>
          <w:tcPr>
            <w:tcW w:w="467" w:type="pct"/>
            <w:vAlign w:val="center"/>
          </w:tcPr>
          <w:p w14:paraId="2F71DE41"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Nazarian 2024</w:t>
            </w:r>
          </w:p>
        </w:tc>
        <w:tc>
          <w:tcPr>
            <w:tcW w:w="343" w:type="pct"/>
            <w:vAlign w:val="center"/>
          </w:tcPr>
          <w:p w14:paraId="3E682134"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UK</w:t>
            </w:r>
          </w:p>
        </w:tc>
        <w:tc>
          <w:tcPr>
            <w:tcW w:w="625" w:type="pct"/>
            <w:vAlign w:val="center"/>
          </w:tcPr>
          <w:p w14:paraId="3BCEAD92"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hemostatic therapy</w:t>
            </w:r>
          </w:p>
        </w:tc>
        <w:tc>
          <w:tcPr>
            <w:tcW w:w="258" w:type="pct"/>
            <w:vAlign w:val="center"/>
          </w:tcPr>
          <w:p w14:paraId="02E5802D"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970</w:t>
            </w:r>
          </w:p>
        </w:tc>
        <w:tc>
          <w:tcPr>
            <w:tcW w:w="363" w:type="pct"/>
            <w:vAlign w:val="center"/>
          </w:tcPr>
          <w:p w14:paraId="3972F26C"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N/A</w:t>
            </w:r>
          </w:p>
        </w:tc>
        <w:tc>
          <w:tcPr>
            <w:tcW w:w="691" w:type="pct"/>
            <w:vAlign w:val="center"/>
          </w:tcPr>
          <w:p w14:paraId="09CAFC4C"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Tree-ensemble (Random Forest)</w:t>
            </w:r>
          </w:p>
        </w:tc>
        <w:tc>
          <w:tcPr>
            <w:tcW w:w="713" w:type="pct"/>
            <w:vAlign w:val="center"/>
          </w:tcPr>
          <w:p w14:paraId="4B3D98AB"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Major intervention-related (hemostatic therapy)</w:t>
            </w:r>
          </w:p>
        </w:tc>
        <w:tc>
          <w:tcPr>
            <w:tcW w:w="482" w:type="pct"/>
            <w:vAlign w:val="center"/>
          </w:tcPr>
          <w:p w14:paraId="1516C6A5"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Internal CV</w:t>
            </w:r>
          </w:p>
        </w:tc>
        <w:tc>
          <w:tcPr>
            <w:tcW w:w="364" w:type="pct"/>
            <w:vAlign w:val="center"/>
          </w:tcPr>
          <w:p w14:paraId="25CF5859"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MODERATE</w:t>
            </w:r>
          </w:p>
        </w:tc>
        <w:tc>
          <w:tcPr>
            <w:tcW w:w="390" w:type="pct"/>
            <w:vAlign w:val="center"/>
          </w:tcPr>
          <w:p w14:paraId="1E7D0ED9"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72%</w:t>
            </w:r>
          </w:p>
        </w:tc>
        <w:tc>
          <w:tcPr>
            <w:tcW w:w="303" w:type="pct"/>
            <w:vAlign w:val="center"/>
          </w:tcPr>
          <w:p w14:paraId="3EAF5D5E"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S2</w:t>
            </w:r>
          </w:p>
        </w:tc>
      </w:tr>
      <w:tr w:rsidR="004B2C8C" w:rsidRPr="004205E6" w14:paraId="02DD35AA" w14:textId="77777777" w:rsidTr="00C41AB7">
        <w:trPr>
          <w:trHeight w:val="644"/>
        </w:trPr>
        <w:tc>
          <w:tcPr>
            <w:tcW w:w="467" w:type="pct"/>
            <w:vAlign w:val="center"/>
          </w:tcPr>
          <w:p w14:paraId="07837FEE"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Raghareutai 2025</w:t>
            </w:r>
          </w:p>
        </w:tc>
        <w:tc>
          <w:tcPr>
            <w:tcW w:w="343" w:type="pct"/>
            <w:vAlign w:val="center"/>
          </w:tcPr>
          <w:p w14:paraId="5ACF73E6"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Thailand</w:t>
            </w:r>
          </w:p>
        </w:tc>
        <w:tc>
          <w:tcPr>
            <w:tcW w:w="625" w:type="pct"/>
            <w:vAlign w:val="center"/>
          </w:tcPr>
          <w:p w14:paraId="639E1F5C"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endoscopic intervention</w:t>
            </w:r>
          </w:p>
        </w:tc>
        <w:tc>
          <w:tcPr>
            <w:tcW w:w="258" w:type="pct"/>
            <w:vAlign w:val="center"/>
          </w:tcPr>
          <w:p w14:paraId="44260056"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1389</w:t>
            </w:r>
          </w:p>
        </w:tc>
        <w:tc>
          <w:tcPr>
            <w:tcW w:w="363" w:type="pct"/>
            <w:vAlign w:val="center"/>
          </w:tcPr>
          <w:p w14:paraId="00E7BD03"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615</w:t>
            </w:r>
          </w:p>
        </w:tc>
        <w:tc>
          <w:tcPr>
            <w:tcW w:w="691" w:type="pct"/>
            <w:vAlign w:val="center"/>
          </w:tcPr>
          <w:p w14:paraId="554AC06E"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Multi-ML (15 ML models)</w:t>
            </w:r>
          </w:p>
        </w:tc>
        <w:tc>
          <w:tcPr>
            <w:tcW w:w="713" w:type="pct"/>
            <w:vAlign w:val="center"/>
          </w:tcPr>
          <w:p w14:paraId="2FC51979"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Major intervention-related (endoscopic intervention)</w:t>
            </w:r>
          </w:p>
        </w:tc>
        <w:tc>
          <w:tcPr>
            <w:tcW w:w="482" w:type="pct"/>
            <w:vAlign w:val="center"/>
          </w:tcPr>
          <w:p w14:paraId="376F1046"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Internal 80:20</w:t>
            </w:r>
          </w:p>
        </w:tc>
        <w:tc>
          <w:tcPr>
            <w:tcW w:w="364" w:type="pct"/>
            <w:vAlign w:val="center"/>
          </w:tcPr>
          <w:p w14:paraId="3AD014B0"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MODERATE</w:t>
            </w:r>
          </w:p>
        </w:tc>
        <w:tc>
          <w:tcPr>
            <w:tcW w:w="390" w:type="pct"/>
            <w:vAlign w:val="center"/>
          </w:tcPr>
          <w:p w14:paraId="5BB673CF"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70%</w:t>
            </w:r>
          </w:p>
        </w:tc>
        <w:tc>
          <w:tcPr>
            <w:tcW w:w="303" w:type="pct"/>
            <w:vAlign w:val="center"/>
          </w:tcPr>
          <w:p w14:paraId="0185BE2B"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S2</w:t>
            </w:r>
          </w:p>
        </w:tc>
      </w:tr>
      <w:tr w:rsidR="004B2C8C" w:rsidRPr="004205E6" w14:paraId="758F5E1A" w14:textId="77777777" w:rsidTr="00C41AB7">
        <w:trPr>
          <w:trHeight w:val="644"/>
        </w:trPr>
        <w:tc>
          <w:tcPr>
            <w:tcW w:w="467" w:type="pct"/>
            <w:vAlign w:val="center"/>
          </w:tcPr>
          <w:p w14:paraId="7B607D84"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In 2024</w:t>
            </w:r>
          </w:p>
        </w:tc>
        <w:tc>
          <w:tcPr>
            <w:tcW w:w="343" w:type="pct"/>
            <w:vAlign w:val="center"/>
          </w:tcPr>
          <w:p w14:paraId="3FBC3696"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Korea</w:t>
            </w:r>
          </w:p>
        </w:tc>
        <w:tc>
          <w:tcPr>
            <w:tcW w:w="625" w:type="pct"/>
            <w:vAlign w:val="center"/>
          </w:tcPr>
          <w:p w14:paraId="3286ECF0"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mortality+rebleed+interv</w:t>
            </w:r>
          </w:p>
        </w:tc>
        <w:tc>
          <w:tcPr>
            <w:tcW w:w="258" w:type="pct"/>
            <w:vAlign w:val="center"/>
          </w:tcPr>
          <w:p w14:paraId="7D3C81DC"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1241</w:t>
            </w:r>
          </w:p>
        </w:tc>
        <w:tc>
          <w:tcPr>
            <w:tcW w:w="363" w:type="pct"/>
            <w:vAlign w:val="center"/>
          </w:tcPr>
          <w:p w14:paraId="154ECA7D"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N/A</w:t>
            </w:r>
          </w:p>
        </w:tc>
        <w:tc>
          <w:tcPr>
            <w:tcW w:w="691" w:type="pct"/>
            <w:vAlign w:val="center"/>
          </w:tcPr>
          <w:p w14:paraId="0ABAD0BD"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Conventional risk score</w:t>
            </w:r>
          </w:p>
        </w:tc>
        <w:tc>
          <w:tcPr>
            <w:tcW w:w="713" w:type="pct"/>
            <w:vAlign w:val="center"/>
          </w:tcPr>
          <w:p w14:paraId="3BE6A665"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Mortality + rebleeding + intervention (CCS-only)</w:t>
            </w:r>
          </w:p>
        </w:tc>
        <w:tc>
          <w:tcPr>
            <w:tcW w:w="482" w:type="pct"/>
            <w:vAlign w:val="center"/>
          </w:tcPr>
          <w:p w14:paraId="1A8A5253"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Internal retrospective</w:t>
            </w:r>
          </w:p>
        </w:tc>
        <w:tc>
          <w:tcPr>
            <w:tcW w:w="364" w:type="pct"/>
            <w:vAlign w:val="center"/>
          </w:tcPr>
          <w:p w14:paraId="478507A1"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MODERATE</w:t>
            </w:r>
          </w:p>
        </w:tc>
        <w:tc>
          <w:tcPr>
            <w:tcW w:w="390" w:type="pct"/>
            <w:vAlign w:val="center"/>
          </w:tcPr>
          <w:p w14:paraId="55827E48"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w:t>
            </w:r>
          </w:p>
        </w:tc>
        <w:tc>
          <w:tcPr>
            <w:tcW w:w="303" w:type="pct"/>
            <w:vAlign w:val="center"/>
          </w:tcPr>
          <w:p w14:paraId="0A338559"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S2</w:t>
            </w:r>
          </w:p>
        </w:tc>
      </w:tr>
      <w:tr w:rsidR="004B2C8C" w:rsidRPr="004205E6" w14:paraId="64A8B03D" w14:textId="77777777" w:rsidTr="00C41AB7">
        <w:trPr>
          <w:trHeight w:val="644"/>
        </w:trPr>
        <w:tc>
          <w:tcPr>
            <w:tcW w:w="467" w:type="pct"/>
            <w:vAlign w:val="center"/>
          </w:tcPr>
          <w:p w14:paraId="181A032F"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Chen 2025</w:t>
            </w:r>
          </w:p>
        </w:tc>
        <w:tc>
          <w:tcPr>
            <w:tcW w:w="343" w:type="pct"/>
            <w:vAlign w:val="center"/>
          </w:tcPr>
          <w:p w14:paraId="38F8DFBE"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China</w:t>
            </w:r>
          </w:p>
        </w:tc>
        <w:tc>
          <w:tcPr>
            <w:tcW w:w="625" w:type="pct"/>
            <w:vAlign w:val="center"/>
          </w:tcPr>
          <w:p w14:paraId="3EAC424E"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7d rebleeding</w:t>
            </w:r>
          </w:p>
        </w:tc>
        <w:tc>
          <w:tcPr>
            <w:tcW w:w="258" w:type="pct"/>
            <w:vAlign w:val="center"/>
          </w:tcPr>
          <w:p w14:paraId="717892B5"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965</w:t>
            </w:r>
          </w:p>
        </w:tc>
        <w:tc>
          <w:tcPr>
            <w:tcW w:w="363" w:type="pct"/>
            <w:vAlign w:val="center"/>
          </w:tcPr>
          <w:p w14:paraId="39A12AEE"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88</w:t>
            </w:r>
          </w:p>
        </w:tc>
        <w:tc>
          <w:tcPr>
            <w:tcW w:w="691" w:type="pct"/>
            <w:vAlign w:val="center"/>
          </w:tcPr>
          <w:p w14:paraId="76F8CBFE"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Tree-ensemble (XGBoost web)</w:t>
            </w:r>
          </w:p>
        </w:tc>
        <w:tc>
          <w:tcPr>
            <w:tcW w:w="713" w:type="pct"/>
            <w:vAlign w:val="center"/>
          </w:tcPr>
          <w:p w14:paraId="41B6BFD1"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Rebleeding</w:t>
            </w:r>
          </w:p>
        </w:tc>
        <w:tc>
          <w:tcPr>
            <w:tcW w:w="482" w:type="pct"/>
            <w:vAlign w:val="center"/>
          </w:tcPr>
          <w:p w14:paraId="1AE9882C"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Internal bootstrap</w:t>
            </w:r>
          </w:p>
        </w:tc>
        <w:tc>
          <w:tcPr>
            <w:tcW w:w="364" w:type="pct"/>
            <w:vAlign w:val="center"/>
          </w:tcPr>
          <w:p w14:paraId="0C19D242"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MODERATE</w:t>
            </w:r>
          </w:p>
        </w:tc>
        <w:tc>
          <w:tcPr>
            <w:tcW w:w="390" w:type="pct"/>
            <w:vAlign w:val="center"/>
          </w:tcPr>
          <w:p w14:paraId="55A3F263"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73%</w:t>
            </w:r>
          </w:p>
        </w:tc>
        <w:tc>
          <w:tcPr>
            <w:tcW w:w="303" w:type="pct"/>
            <w:vAlign w:val="center"/>
          </w:tcPr>
          <w:p w14:paraId="0D969397"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S3</w:t>
            </w:r>
          </w:p>
        </w:tc>
      </w:tr>
      <w:tr w:rsidR="004B2C8C" w:rsidRPr="004205E6" w14:paraId="26BEDF07" w14:textId="77777777" w:rsidTr="00C41AB7">
        <w:trPr>
          <w:trHeight w:val="644"/>
        </w:trPr>
        <w:tc>
          <w:tcPr>
            <w:tcW w:w="467" w:type="pct"/>
            <w:vAlign w:val="center"/>
          </w:tcPr>
          <w:p w14:paraId="367E10B1"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lastRenderedPageBreak/>
              <w:t xml:space="preserve">Chen 2025 </w:t>
            </w:r>
          </w:p>
        </w:tc>
        <w:tc>
          <w:tcPr>
            <w:tcW w:w="343" w:type="pct"/>
            <w:vAlign w:val="center"/>
          </w:tcPr>
          <w:p w14:paraId="1D532BCC"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China</w:t>
            </w:r>
          </w:p>
        </w:tc>
        <w:tc>
          <w:tcPr>
            <w:tcW w:w="625" w:type="pct"/>
            <w:vAlign w:val="center"/>
          </w:tcPr>
          <w:p w14:paraId="1AC3EE41"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rebleeding</w:t>
            </w:r>
          </w:p>
        </w:tc>
        <w:tc>
          <w:tcPr>
            <w:tcW w:w="258" w:type="pct"/>
            <w:vAlign w:val="center"/>
          </w:tcPr>
          <w:p w14:paraId="6997EF7B"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279</w:t>
            </w:r>
          </w:p>
        </w:tc>
        <w:tc>
          <w:tcPr>
            <w:tcW w:w="363" w:type="pct"/>
            <w:vAlign w:val="center"/>
          </w:tcPr>
          <w:p w14:paraId="04CB208C"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45</w:t>
            </w:r>
          </w:p>
        </w:tc>
        <w:tc>
          <w:tcPr>
            <w:tcW w:w="691" w:type="pct"/>
            <w:vAlign w:val="center"/>
          </w:tcPr>
          <w:p w14:paraId="7FAC4CAF"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Nomogram-LASSO (LASSO+Nomogram)</w:t>
            </w:r>
          </w:p>
        </w:tc>
        <w:tc>
          <w:tcPr>
            <w:tcW w:w="713" w:type="pct"/>
            <w:vAlign w:val="center"/>
          </w:tcPr>
          <w:p w14:paraId="1006CDC3"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Rebleeding</w:t>
            </w:r>
          </w:p>
        </w:tc>
        <w:tc>
          <w:tcPr>
            <w:tcW w:w="482" w:type="pct"/>
            <w:vAlign w:val="center"/>
          </w:tcPr>
          <w:p w14:paraId="701072CD"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Internal 7:3</w:t>
            </w:r>
          </w:p>
        </w:tc>
        <w:tc>
          <w:tcPr>
            <w:tcW w:w="364" w:type="pct"/>
            <w:vAlign w:val="center"/>
          </w:tcPr>
          <w:p w14:paraId="42110ED2"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MODERATE</w:t>
            </w:r>
          </w:p>
        </w:tc>
        <w:tc>
          <w:tcPr>
            <w:tcW w:w="390" w:type="pct"/>
            <w:vAlign w:val="center"/>
          </w:tcPr>
          <w:p w14:paraId="23725AF1"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76%</w:t>
            </w:r>
          </w:p>
        </w:tc>
        <w:tc>
          <w:tcPr>
            <w:tcW w:w="303" w:type="pct"/>
            <w:vAlign w:val="center"/>
          </w:tcPr>
          <w:p w14:paraId="7517A26B"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S3</w:t>
            </w:r>
          </w:p>
        </w:tc>
      </w:tr>
      <w:tr w:rsidR="004B2C8C" w:rsidRPr="004205E6" w14:paraId="58570CAB" w14:textId="77777777" w:rsidTr="00C41AB7">
        <w:trPr>
          <w:trHeight w:val="644"/>
        </w:trPr>
        <w:tc>
          <w:tcPr>
            <w:tcW w:w="467" w:type="pct"/>
            <w:vAlign w:val="center"/>
          </w:tcPr>
          <w:p w14:paraId="037EE8A3"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Zang 2025</w:t>
            </w:r>
          </w:p>
        </w:tc>
        <w:tc>
          <w:tcPr>
            <w:tcW w:w="343" w:type="pct"/>
            <w:vAlign w:val="center"/>
          </w:tcPr>
          <w:p w14:paraId="36AF6791"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China</w:t>
            </w:r>
          </w:p>
        </w:tc>
        <w:tc>
          <w:tcPr>
            <w:tcW w:w="625" w:type="pct"/>
            <w:vAlign w:val="center"/>
          </w:tcPr>
          <w:p w14:paraId="022501EB"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rebleeding</w:t>
            </w:r>
          </w:p>
        </w:tc>
        <w:tc>
          <w:tcPr>
            <w:tcW w:w="258" w:type="pct"/>
            <w:vAlign w:val="center"/>
          </w:tcPr>
          <w:p w14:paraId="60C7387C"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254</w:t>
            </w:r>
          </w:p>
        </w:tc>
        <w:tc>
          <w:tcPr>
            <w:tcW w:w="363" w:type="pct"/>
            <w:vAlign w:val="center"/>
          </w:tcPr>
          <w:p w14:paraId="55CEDC04"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N/A</w:t>
            </w:r>
          </w:p>
        </w:tc>
        <w:tc>
          <w:tcPr>
            <w:tcW w:w="691" w:type="pct"/>
            <w:vAlign w:val="center"/>
          </w:tcPr>
          <w:p w14:paraId="7BDB76AB"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Deep (Transformer+KAN)</w:t>
            </w:r>
          </w:p>
        </w:tc>
        <w:tc>
          <w:tcPr>
            <w:tcW w:w="713" w:type="pct"/>
            <w:vAlign w:val="center"/>
          </w:tcPr>
          <w:p w14:paraId="2D646992"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Rebleeding</w:t>
            </w:r>
          </w:p>
        </w:tc>
        <w:tc>
          <w:tcPr>
            <w:tcW w:w="482" w:type="pct"/>
            <w:vAlign w:val="center"/>
          </w:tcPr>
          <w:p w14:paraId="0032CBCD"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Internal 5-fold CV</w:t>
            </w:r>
          </w:p>
        </w:tc>
        <w:tc>
          <w:tcPr>
            <w:tcW w:w="364" w:type="pct"/>
            <w:vAlign w:val="center"/>
          </w:tcPr>
          <w:p w14:paraId="37C12F12"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MODERATE</w:t>
            </w:r>
          </w:p>
        </w:tc>
        <w:tc>
          <w:tcPr>
            <w:tcW w:w="390" w:type="pct"/>
            <w:vAlign w:val="center"/>
          </w:tcPr>
          <w:p w14:paraId="093796D7"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74%</w:t>
            </w:r>
          </w:p>
        </w:tc>
        <w:tc>
          <w:tcPr>
            <w:tcW w:w="303" w:type="pct"/>
            <w:vAlign w:val="center"/>
          </w:tcPr>
          <w:p w14:paraId="34A27B0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S3</w:t>
            </w:r>
          </w:p>
        </w:tc>
      </w:tr>
      <w:tr w:rsidR="004B2C8C" w:rsidRPr="004205E6" w14:paraId="096B632B" w14:textId="77777777" w:rsidTr="00C41AB7">
        <w:trPr>
          <w:trHeight w:val="644"/>
        </w:trPr>
        <w:tc>
          <w:tcPr>
            <w:tcW w:w="467" w:type="pct"/>
            <w:vAlign w:val="center"/>
          </w:tcPr>
          <w:p w14:paraId="1E8DD464"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Li 2026</w:t>
            </w:r>
          </w:p>
        </w:tc>
        <w:tc>
          <w:tcPr>
            <w:tcW w:w="343" w:type="pct"/>
            <w:vAlign w:val="center"/>
          </w:tcPr>
          <w:p w14:paraId="4219B2C1"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China</w:t>
            </w:r>
          </w:p>
        </w:tc>
        <w:tc>
          <w:tcPr>
            <w:tcW w:w="625" w:type="pct"/>
            <w:vAlign w:val="center"/>
          </w:tcPr>
          <w:p w14:paraId="6EEB7951"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short-term rebleed</w:t>
            </w:r>
          </w:p>
        </w:tc>
        <w:tc>
          <w:tcPr>
            <w:tcW w:w="258" w:type="pct"/>
            <w:vAlign w:val="center"/>
          </w:tcPr>
          <w:p w14:paraId="5A9A0525"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204</w:t>
            </w:r>
          </w:p>
        </w:tc>
        <w:tc>
          <w:tcPr>
            <w:tcW w:w="363" w:type="pct"/>
            <w:vAlign w:val="center"/>
          </w:tcPr>
          <w:p w14:paraId="61C44BDC"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25</w:t>
            </w:r>
          </w:p>
        </w:tc>
        <w:tc>
          <w:tcPr>
            <w:tcW w:w="691" w:type="pct"/>
            <w:vAlign w:val="center"/>
          </w:tcPr>
          <w:p w14:paraId="429F1495"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Tree-ensemble (CatBoost+SHAP)</w:t>
            </w:r>
          </w:p>
        </w:tc>
        <w:tc>
          <w:tcPr>
            <w:tcW w:w="713" w:type="pct"/>
            <w:vAlign w:val="center"/>
          </w:tcPr>
          <w:p w14:paraId="6BE573EA"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Rebleeding (PUB)</w:t>
            </w:r>
          </w:p>
        </w:tc>
        <w:tc>
          <w:tcPr>
            <w:tcW w:w="482" w:type="pct"/>
            <w:vAlign w:val="center"/>
          </w:tcPr>
          <w:p w14:paraId="5C9CC567"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Internal 7:3</w:t>
            </w:r>
          </w:p>
        </w:tc>
        <w:tc>
          <w:tcPr>
            <w:tcW w:w="364" w:type="pct"/>
            <w:vAlign w:val="center"/>
          </w:tcPr>
          <w:p w14:paraId="054DE1C1"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MODERATE</w:t>
            </w:r>
          </w:p>
        </w:tc>
        <w:tc>
          <w:tcPr>
            <w:tcW w:w="390" w:type="pct"/>
            <w:vAlign w:val="center"/>
          </w:tcPr>
          <w:p w14:paraId="17DA5AB8"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74%</w:t>
            </w:r>
          </w:p>
        </w:tc>
        <w:tc>
          <w:tcPr>
            <w:tcW w:w="303" w:type="pct"/>
            <w:vAlign w:val="center"/>
          </w:tcPr>
          <w:p w14:paraId="2ED701C3"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S3</w:t>
            </w:r>
          </w:p>
        </w:tc>
      </w:tr>
      <w:tr w:rsidR="004B2C8C" w:rsidRPr="004205E6" w14:paraId="3182E7F1" w14:textId="77777777" w:rsidTr="00C41AB7">
        <w:trPr>
          <w:trHeight w:val="644"/>
        </w:trPr>
        <w:tc>
          <w:tcPr>
            <w:tcW w:w="467" w:type="pct"/>
            <w:vAlign w:val="center"/>
          </w:tcPr>
          <w:p w14:paraId="77C82D7A"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Zhang 2025</w:t>
            </w:r>
          </w:p>
        </w:tc>
        <w:tc>
          <w:tcPr>
            <w:tcW w:w="343" w:type="pct"/>
            <w:vAlign w:val="center"/>
          </w:tcPr>
          <w:p w14:paraId="55859EC0"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China</w:t>
            </w:r>
          </w:p>
        </w:tc>
        <w:tc>
          <w:tcPr>
            <w:tcW w:w="625" w:type="pct"/>
            <w:vAlign w:val="center"/>
          </w:tcPr>
          <w:p w14:paraId="0228084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1yr rebleed</w:t>
            </w:r>
          </w:p>
        </w:tc>
        <w:tc>
          <w:tcPr>
            <w:tcW w:w="258" w:type="pct"/>
            <w:vAlign w:val="center"/>
          </w:tcPr>
          <w:p w14:paraId="54D2BEDF"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575</w:t>
            </w:r>
          </w:p>
        </w:tc>
        <w:tc>
          <w:tcPr>
            <w:tcW w:w="363" w:type="pct"/>
            <w:vAlign w:val="center"/>
          </w:tcPr>
          <w:p w14:paraId="33F14F80"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N/A</w:t>
            </w:r>
          </w:p>
        </w:tc>
        <w:tc>
          <w:tcPr>
            <w:tcW w:w="691" w:type="pct"/>
            <w:vAlign w:val="center"/>
          </w:tcPr>
          <w:p w14:paraId="4B83ADD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Logistic+RF (LR+RF)</w:t>
            </w:r>
          </w:p>
        </w:tc>
        <w:tc>
          <w:tcPr>
            <w:tcW w:w="713" w:type="pct"/>
            <w:vAlign w:val="center"/>
          </w:tcPr>
          <w:p w14:paraId="15B1618F"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Long-term rebleeding</w:t>
            </w:r>
          </w:p>
        </w:tc>
        <w:tc>
          <w:tcPr>
            <w:tcW w:w="482" w:type="pct"/>
            <w:vAlign w:val="center"/>
          </w:tcPr>
          <w:p w14:paraId="50F86ADD"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Internal 7:3</w:t>
            </w:r>
          </w:p>
        </w:tc>
        <w:tc>
          <w:tcPr>
            <w:tcW w:w="364" w:type="pct"/>
            <w:vAlign w:val="center"/>
          </w:tcPr>
          <w:p w14:paraId="652877CD"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MODERATE</w:t>
            </w:r>
          </w:p>
        </w:tc>
        <w:tc>
          <w:tcPr>
            <w:tcW w:w="390" w:type="pct"/>
            <w:vAlign w:val="center"/>
          </w:tcPr>
          <w:p w14:paraId="5C88D34E"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68%</w:t>
            </w:r>
          </w:p>
        </w:tc>
        <w:tc>
          <w:tcPr>
            <w:tcW w:w="303" w:type="pct"/>
            <w:vAlign w:val="center"/>
          </w:tcPr>
          <w:p w14:paraId="081F3D64"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S3</w:t>
            </w:r>
          </w:p>
        </w:tc>
      </w:tr>
      <w:tr w:rsidR="004B2C8C" w:rsidRPr="004205E6" w14:paraId="2AEBD505" w14:textId="77777777" w:rsidTr="00C41AB7">
        <w:trPr>
          <w:trHeight w:val="644"/>
        </w:trPr>
        <w:tc>
          <w:tcPr>
            <w:tcW w:w="467" w:type="pct"/>
            <w:vAlign w:val="center"/>
          </w:tcPr>
          <w:p w14:paraId="0608CE63"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 xml:space="preserve">Deng 2025 </w:t>
            </w:r>
          </w:p>
        </w:tc>
        <w:tc>
          <w:tcPr>
            <w:tcW w:w="343" w:type="pct"/>
            <w:vAlign w:val="center"/>
          </w:tcPr>
          <w:p w14:paraId="1AE26A88"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USA</w:t>
            </w:r>
          </w:p>
        </w:tc>
        <w:tc>
          <w:tcPr>
            <w:tcW w:w="625" w:type="pct"/>
            <w:vAlign w:val="center"/>
          </w:tcPr>
          <w:p w14:paraId="7B1DB094"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major bleeding</w:t>
            </w:r>
          </w:p>
        </w:tc>
        <w:tc>
          <w:tcPr>
            <w:tcW w:w="258" w:type="pct"/>
            <w:vAlign w:val="center"/>
          </w:tcPr>
          <w:p w14:paraId="3D0C216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2604</w:t>
            </w:r>
          </w:p>
        </w:tc>
        <w:tc>
          <w:tcPr>
            <w:tcW w:w="363" w:type="pct"/>
            <w:vAlign w:val="center"/>
          </w:tcPr>
          <w:p w14:paraId="156ABEE5"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N/A</w:t>
            </w:r>
          </w:p>
        </w:tc>
        <w:tc>
          <w:tcPr>
            <w:tcW w:w="691" w:type="pct"/>
            <w:vAlign w:val="center"/>
          </w:tcPr>
          <w:p w14:paraId="3B2A136F"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Deep (Residual-LSTM)</w:t>
            </w:r>
          </w:p>
        </w:tc>
        <w:tc>
          <w:tcPr>
            <w:tcW w:w="713" w:type="pct"/>
            <w:vAlign w:val="center"/>
          </w:tcPr>
          <w:p w14:paraId="583864A9"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Major bleeding (ICU)</w:t>
            </w:r>
          </w:p>
        </w:tc>
        <w:tc>
          <w:tcPr>
            <w:tcW w:w="482" w:type="pct"/>
            <w:vAlign w:val="center"/>
          </w:tcPr>
          <w:p w14:paraId="067A9159"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External(eICU)</w:t>
            </w:r>
          </w:p>
        </w:tc>
        <w:tc>
          <w:tcPr>
            <w:tcW w:w="364" w:type="pct"/>
            <w:vAlign w:val="center"/>
          </w:tcPr>
          <w:p w14:paraId="2726B0A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MODERATE</w:t>
            </w:r>
          </w:p>
        </w:tc>
        <w:tc>
          <w:tcPr>
            <w:tcW w:w="390" w:type="pct"/>
            <w:vAlign w:val="center"/>
          </w:tcPr>
          <w:p w14:paraId="12543F7B"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70%</w:t>
            </w:r>
          </w:p>
        </w:tc>
        <w:tc>
          <w:tcPr>
            <w:tcW w:w="303" w:type="pct"/>
            <w:vAlign w:val="center"/>
          </w:tcPr>
          <w:p w14:paraId="4513FD5E"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S4</w:t>
            </w:r>
          </w:p>
        </w:tc>
      </w:tr>
      <w:tr w:rsidR="004B2C8C" w:rsidRPr="004205E6" w14:paraId="592DB318" w14:textId="77777777" w:rsidTr="00C41AB7">
        <w:trPr>
          <w:trHeight w:val="644"/>
        </w:trPr>
        <w:tc>
          <w:tcPr>
            <w:tcW w:w="467" w:type="pct"/>
            <w:vAlign w:val="center"/>
          </w:tcPr>
          <w:p w14:paraId="3457DA70"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Huang 2025</w:t>
            </w:r>
          </w:p>
        </w:tc>
        <w:tc>
          <w:tcPr>
            <w:tcW w:w="343" w:type="pct"/>
            <w:vAlign w:val="center"/>
          </w:tcPr>
          <w:p w14:paraId="2963C851"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USA</w:t>
            </w:r>
          </w:p>
        </w:tc>
        <w:tc>
          <w:tcPr>
            <w:tcW w:w="625" w:type="pct"/>
            <w:vAlign w:val="center"/>
          </w:tcPr>
          <w:p w14:paraId="740885CB"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inhospital mortality</w:t>
            </w:r>
          </w:p>
        </w:tc>
        <w:tc>
          <w:tcPr>
            <w:tcW w:w="258" w:type="pct"/>
            <w:vAlign w:val="center"/>
          </w:tcPr>
          <w:p w14:paraId="0601A9B2"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19834</w:t>
            </w:r>
          </w:p>
        </w:tc>
        <w:tc>
          <w:tcPr>
            <w:tcW w:w="363" w:type="pct"/>
            <w:vAlign w:val="center"/>
          </w:tcPr>
          <w:p w14:paraId="08D7C957"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231</w:t>
            </w:r>
          </w:p>
        </w:tc>
        <w:tc>
          <w:tcPr>
            <w:tcW w:w="691" w:type="pct"/>
            <w:vAlign w:val="center"/>
          </w:tcPr>
          <w:p w14:paraId="5953C082"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Multi-ML (LR+LASSO+XGB+RF)</w:t>
            </w:r>
          </w:p>
        </w:tc>
        <w:tc>
          <w:tcPr>
            <w:tcW w:w="713" w:type="pct"/>
            <w:vAlign w:val="center"/>
          </w:tcPr>
          <w:p w14:paraId="7D0D1403"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Major intervention-related (endoscopic)</w:t>
            </w:r>
          </w:p>
        </w:tc>
        <w:tc>
          <w:tcPr>
            <w:tcW w:w="482" w:type="pct"/>
            <w:vAlign w:val="center"/>
          </w:tcPr>
          <w:p w14:paraId="79C5C0A8"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External(NIS+37)</w:t>
            </w:r>
          </w:p>
        </w:tc>
        <w:tc>
          <w:tcPr>
            <w:tcW w:w="364" w:type="pct"/>
            <w:vAlign w:val="center"/>
          </w:tcPr>
          <w:p w14:paraId="327CD9C1"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MODERATE</w:t>
            </w:r>
          </w:p>
        </w:tc>
        <w:tc>
          <w:tcPr>
            <w:tcW w:w="390" w:type="pct"/>
            <w:vAlign w:val="center"/>
          </w:tcPr>
          <w:p w14:paraId="7ABA8A2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65%</w:t>
            </w:r>
          </w:p>
        </w:tc>
        <w:tc>
          <w:tcPr>
            <w:tcW w:w="303" w:type="pct"/>
            <w:vAlign w:val="center"/>
          </w:tcPr>
          <w:p w14:paraId="61537148"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S2</w:t>
            </w:r>
          </w:p>
        </w:tc>
      </w:tr>
      <w:tr w:rsidR="004B2C8C" w:rsidRPr="004205E6" w14:paraId="11AD5F23" w14:textId="77777777" w:rsidTr="00C41AB7">
        <w:trPr>
          <w:trHeight w:val="644"/>
        </w:trPr>
        <w:tc>
          <w:tcPr>
            <w:tcW w:w="467" w:type="pct"/>
            <w:vAlign w:val="center"/>
          </w:tcPr>
          <w:p w14:paraId="493C74B0"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Li 2025</w:t>
            </w:r>
          </w:p>
        </w:tc>
        <w:tc>
          <w:tcPr>
            <w:tcW w:w="343" w:type="pct"/>
            <w:vAlign w:val="center"/>
          </w:tcPr>
          <w:p w14:paraId="2F555D07"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China</w:t>
            </w:r>
          </w:p>
        </w:tc>
        <w:tc>
          <w:tcPr>
            <w:tcW w:w="625" w:type="pct"/>
            <w:vAlign w:val="center"/>
          </w:tcPr>
          <w:p w14:paraId="78DEAE41"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transfusion</w:t>
            </w:r>
          </w:p>
        </w:tc>
        <w:tc>
          <w:tcPr>
            <w:tcW w:w="258" w:type="pct"/>
            <w:vAlign w:val="center"/>
          </w:tcPr>
          <w:p w14:paraId="11CFF637"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1,386 total / 1,177 analytic</w:t>
            </w:r>
          </w:p>
        </w:tc>
        <w:tc>
          <w:tcPr>
            <w:tcW w:w="363" w:type="pct"/>
            <w:vAlign w:val="center"/>
          </w:tcPr>
          <w:p w14:paraId="72256688"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475</w:t>
            </w:r>
          </w:p>
        </w:tc>
        <w:tc>
          <w:tcPr>
            <w:tcW w:w="691" w:type="pct"/>
            <w:vAlign w:val="center"/>
          </w:tcPr>
          <w:p w14:paraId="1FDB6558"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Multi-task deep (HGBVE)</w:t>
            </w:r>
          </w:p>
        </w:tc>
        <w:tc>
          <w:tcPr>
            <w:tcW w:w="713" w:type="pct"/>
            <w:vAlign w:val="center"/>
          </w:tcPr>
          <w:p w14:paraId="3ECBB736"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Multi-outcome (mortality/rebleed/transfusion)</w:t>
            </w:r>
          </w:p>
        </w:tc>
        <w:tc>
          <w:tcPr>
            <w:tcW w:w="482" w:type="pct"/>
            <w:vAlign w:val="center"/>
          </w:tcPr>
          <w:p w14:paraId="28406F15"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External(Fenyang n=209)</w:t>
            </w:r>
          </w:p>
        </w:tc>
        <w:tc>
          <w:tcPr>
            <w:tcW w:w="364" w:type="pct"/>
            <w:vAlign w:val="center"/>
          </w:tcPr>
          <w:p w14:paraId="4AF231A6"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MODERATE</w:t>
            </w:r>
          </w:p>
        </w:tc>
        <w:tc>
          <w:tcPr>
            <w:tcW w:w="390" w:type="pct"/>
            <w:vAlign w:val="center"/>
          </w:tcPr>
          <w:p w14:paraId="48678FE9"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89%</w:t>
            </w:r>
          </w:p>
        </w:tc>
        <w:tc>
          <w:tcPr>
            <w:tcW w:w="303" w:type="pct"/>
            <w:vAlign w:val="center"/>
          </w:tcPr>
          <w:p w14:paraId="4808B8FB"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S5</w:t>
            </w:r>
          </w:p>
        </w:tc>
      </w:tr>
      <w:tr w:rsidR="004B2C8C" w:rsidRPr="004205E6" w14:paraId="5BEE344E" w14:textId="77777777" w:rsidTr="00C41AB7">
        <w:trPr>
          <w:trHeight w:val="644"/>
        </w:trPr>
        <w:tc>
          <w:tcPr>
            <w:tcW w:w="467" w:type="pct"/>
            <w:vAlign w:val="center"/>
          </w:tcPr>
          <w:p w14:paraId="43276F0C"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Lin 202</w:t>
            </w:r>
            <w:r w:rsidR="00F44497" w:rsidRPr="004205E6">
              <w:rPr>
                <w:rFonts w:ascii="Arial" w:hAnsi="Arial" w:cs="Arial" w:hint="eastAsia"/>
                <w:color w:val="000000" w:themeColor="text1"/>
                <w:sz w:val="14"/>
                <w:szCs w:val="14"/>
              </w:rPr>
              <w:t>6</w:t>
            </w:r>
          </w:p>
        </w:tc>
        <w:tc>
          <w:tcPr>
            <w:tcW w:w="343" w:type="pct"/>
            <w:vAlign w:val="center"/>
          </w:tcPr>
          <w:p w14:paraId="5ADBF513"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China</w:t>
            </w:r>
          </w:p>
        </w:tc>
        <w:tc>
          <w:tcPr>
            <w:tcW w:w="625" w:type="pct"/>
            <w:vAlign w:val="center"/>
          </w:tcPr>
          <w:p w14:paraId="4355D250"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massive transfusion</w:t>
            </w:r>
          </w:p>
        </w:tc>
        <w:tc>
          <w:tcPr>
            <w:tcW w:w="258" w:type="pct"/>
            <w:vAlign w:val="center"/>
          </w:tcPr>
          <w:p w14:paraId="4E721CEE"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700</w:t>
            </w:r>
          </w:p>
        </w:tc>
        <w:tc>
          <w:tcPr>
            <w:tcW w:w="363" w:type="pct"/>
            <w:vAlign w:val="center"/>
          </w:tcPr>
          <w:p w14:paraId="0ACCB673"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N/A</w:t>
            </w:r>
          </w:p>
        </w:tc>
        <w:tc>
          <w:tcPr>
            <w:tcW w:w="691" w:type="pct"/>
            <w:vAlign w:val="center"/>
          </w:tcPr>
          <w:p w14:paraId="6A80010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Tree-ensemble (Explainable ML)</w:t>
            </w:r>
          </w:p>
        </w:tc>
        <w:tc>
          <w:tcPr>
            <w:tcW w:w="713" w:type="pct"/>
            <w:vAlign w:val="center"/>
          </w:tcPr>
          <w:p w14:paraId="4BB4BD5D"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Massive transfusion</w:t>
            </w:r>
          </w:p>
        </w:tc>
        <w:tc>
          <w:tcPr>
            <w:tcW w:w="482" w:type="pct"/>
            <w:vAlign w:val="center"/>
          </w:tcPr>
          <w:p w14:paraId="6FD185B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Internal</w:t>
            </w:r>
          </w:p>
        </w:tc>
        <w:tc>
          <w:tcPr>
            <w:tcW w:w="364" w:type="pct"/>
            <w:vAlign w:val="center"/>
          </w:tcPr>
          <w:p w14:paraId="540434D1"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MODERATE</w:t>
            </w:r>
          </w:p>
        </w:tc>
        <w:tc>
          <w:tcPr>
            <w:tcW w:w="390" w:type="pct"/>
            <w:vAlign w:val="center"/>
          </w:tcPr>
          <w:p w14:paraId="406B26B1"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74%</w:t>
            </w:r>
          </w:p>
        </w:tc>
        <w:tc>
          <w:tcPr>
            <w:tcW w:w="303" w:type="pct"/>
            <w:vAlign w:val="center"/>
          </w:tcPr>
          <w:p w14:paraId="69B83C4D"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S5</w:t>
            </w:r>
          </w:p>
        </w:tc>
      </w:tr>
      <w:tr w:rsidR="004B2C8C" w:rsidRPr="004205E6" w14:paraId="37F005AD" w14:textId="77777777" w:rsidTr="00C41AB7">
        <w:trPr>
          <w:trHeight w:val="644"/>
        </w:trPr>
        <w:tc>
          <w:tcPr>
            <w:tcW w:w="467" w:type="pct"/>
            <w:vAlign w:val="center"/>
          </w:tcPr>
          <w:p w14:paraId="5C598879"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Thiebaud 2025</w:t>
            </w:r>
          </w:p>
        </w:tc>
        <w:tc>
          <w:tcPr>
            <w:tcW w:w="343" w:type="pct"/>
            <w:vAlign w:val="center"/>
          </w:tcPr>
          <w:p w14:paraId="71D578A0"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France</w:t>
            </w:r>
          </w:p>
        </w:tc>
        <w:tc>
          <w:tcPr>
            <w:tcW w:w="625" w:type="pct"/>
            <w:vAlign w:val="center"/>
          </w:tcPr>
          <w:p w14:paraId="258176D5"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composite intervention</w:t>
            </w:r>
          </w:p>
        </w:tc>
        <w:tc>
          <w:tcPr>
            <w:tcW w:w="258" w:type="pct"/>
            <w:vAlign w:val="center"/>
          </w:tcPr>
          <w:p w14:paraId="72B881A6"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990</w:t>
            </w:r>
          </w:p>
        </w:tc>
        <w:tc>
          <w:tcPr>
            <w:tcW w:w="363" w:type="pct"/>
            <w:vAlign w:val="center"/>
          </w:tcPr>
          <w:p w14:paraId="2B52A6F5"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755</w:t>
            </w:r>
          </w:p>
        </w:tc>
        <w:tc>
          <w:tcPr>
            <w:tcW w:w="691" w:type="pct"/>
            <w:vAlign w:val="center"/>
          </w:tcPr>
          <w:p w14:paraId="1CDBBCF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Conventional risk score</w:t>
            </w:r>
          </w:p>
        </w:tc>
        <w:tc>
          <w:tcPr>
            <w:tcW w:w="713" w:type="pct"/>
            <w:vAlign w:val="center"/>
          </w:tcPr>
          <w:p w14:paraId="34ED9099"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Mortality + transfusion (CCS-only)</w:t>
            </w:r>
          </w:p>
        </w:tc>
        <w:tc>
          <w:tcPr>
            <w:tcW w:w="482" w:type="pct"/>
            <w:vAlign w:val="center"/>
          </w:tcPr>
          <w:p w14:paraId="18D105E4"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Internal retrospective</w:t>
            </w:r>
          </w:p>
        </w:tc>
        <w:tc>
          <w:tcPr>
            <w:tcW w:w="364" w:type="pct"/>
            <w:vAlign w:val="center"/>
          </w:tcPr>
          <w:p w14:paraId="25DBBA2C"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LOW</w:t>
            </w:r>
          </w:p>
        </w:tc>
        <w:tc>
          <w:tcPr>
            <w:tcW w:w="390" w:type="pct"/>
            <w:vAlign w:val="center"/>
          </w:tcPr>
          <w:p w14:paraId="7981E241"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w:t>
            </w:r>
          </w:p>
        </w:tc>
        <w:tc>
          <w:tcPr>
            <w:tcW w:w="303" w:type="pct"/>
            <w:vAlign w:val="center"/>
          </w:tcPr>
          <w:p w14:paraId="06D1C144"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S1</w:t>
            </w:r>
          </w:p>
        </w:tc>
      </w:tr>
      <w:tr w:rsidR="004B2C8C" w:rsidRPr="004205E6" w14:paraId="73B6EC2A" w14:textId="77777777" w:rsidTr="00C41AB7">
        <w:trPr>
          <w:trHeight w:val="644"/>
        </w:trPr>
        <w:tc>
          <w:tcPr>
            <w:tcW w:w="467" w:type="pct"/>
            <w:vAlign w:val="center"/>
          </w:tcPr>
          <w:p w14:paraId="0E168BA0"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Alomari 2026</w:t>
            </w:r>
          </w:p>
        </w:tc>
        <w:tc>
          <w:tcPr>
            <w:tcW w:w="343" w:type="pct"/>
            <w:vAlign w:val="center"/>
          </w:tcPr>
          <w:p w14:paraId="11F7416F"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USA</w:t>
            </w:r>
          </w:p>
        </w:tc>
        <w:tc>
          <w:tcPr>
            <w:tcW w:w="625" w:type="pct"/>
            <w:vAlign w:val="center"/>
          </w:tcPr>
          <w:p w14:paraId="5595FDA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30d mortality</w:t>
            </w:r>
          </w:p>
        </w:tc>
        <w:tc>
          <w:tcPr>
            <w:tcW w:w="258" w:type="pct"/>
            <w:vAlign w:val="center"/>
          </w:tcPr>
          <w:p w14:paraId="76314164"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12,619 total / 7,166 analytic</w:t>
            </w:r>
          </w:p>
        </w:tc>
        <w:tc>
          <w:tcPr>
            <w:tcW w:w="363" w:type="pct"/>
            <w:vAlign w:val="center"/>
          </w:tcPr>
          <w:p w14:paraId="5AA682F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N/A</w:t>
            </w:r>
          </w:p>
        </w:tc>
        <w:tc>
          <w:tcPr>
            <w:tcW w:w="691" w:type="pct"/>
            <w:vAlign w:val="center"/>
          </w:tcPr>
          <w:p w14:paraId="40FB8F28"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Cluster-ML (RF cluster ensemble)</w:t>
            </w:r>
          </w:p>
        </w:tc>
        <w:tc>
          <w:tcPr>
            <w:tcW w:w="713" w:type="pct"/>
            <w:vAlign w:val="center"/>
          </w:tcPr>
          <w:p w14:paraId="0DAFBF4F"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Mortality</w:t>
            </w:r>
          </w:p>
        </w:tc>
        <w:tc>
          <w:tcPr>
            <w:tcW w:w="482" w:type="pct"/>
            <w:vAlign w:val="center"/>
          </w:tcPr>
          <w:p w14:paraId="2A4B0202"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External(Jefferson)</w:t>
            </w:r>
          </w:p>
        </w:tc>
        <w:tc>
          <w:tcPr>
            <w:tcW w:w="364" w:type="pct"/>
            <w:vAlign w:val="center"/>
          </w:tcPr>
          <w:p w14:paraId="1A98C512"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MODERATE</w:t>
            </w:r>
          </w:p>
        </w:tc>
        <w:tc>
          <w:tcPr>
            <w:tcW w:w="390" w:type="pct"/>
            <w:vAlign w:val="center"/>
          </w:tcPr>
          <w:p w14:paraId="71CCFBCF"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76%</w:t>
            </w:r>
          </w:p>
        </w:tc>
        <w:tc>
          <w:tcPr>
            <w:tcW w:w="303" w:type="pct"/>
            <w:vAlign w:val="center"/>
          </w:tcPr>
          <w:p w14:paraId="5FE51DD9"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S2</w:t>
            </w:r>
          </w:p>
        </w:tc>
      </w:tr>
      <w:tr w:rsidR="004B2C8C" w:rsidRPr="004205E6" w14:paraId="7BBDDA3E" w14:textId="77777777" w:rsidTr="00C41AB7">
        <w:trPr>
          <w:trHeight w:val="644"/>
        </w:trPr>
        <w:tc>
          <w:tcPr>
            <w:tcW w:w="467" w:type="pct"/>
            <w:vAlign w:val="center"/>
          </w:tcPr>
          <w:p w14:paraId="4B8EFB65"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Yildirim 2026</w:t>
            </w:r>
          </w:p>
        </w:tc>
        <w:tc>
          <w:tcPr>
            <w:tcW w:w="343" w:type="pct"/>
            <w:vAlign w:val="center"/>
          </w:tcPr>
          <w:p w14:paraId="474F4083"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Turkey</w:t>
            </w:r>
          </w:p>
        </w:tc>
        <w:tc>
          <w:tcPr>
            <w:tcW w:w="625" w:type="pct"/>
            <w:vAlign w:val="center"/>
          </w:tcPr>
          <w:p w14:paraId="466AADDE"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inhospital mortality</w:t>
            </w:r>
          </w:p>
        </w:tc>
        <w:tc>
          <w:tcPr>
            <w:tcW w:w="258" w:type="pct"/>
            <w:vAlign w:val="center"/>
          </w:tcPr>
          <w:p w14:paraId="059CF40B"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178</w:t>
            </w:r>
          </w:p>
        </w:tc>
        <w:tc>
          <w:tcPr>
            <w:tcW w:w="363" w:type="pct"/>
            <w:vAlign w:val="center"/>
          </w:tcPr>
          <w:p w14:paraId="714B0E07"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36</w:t>
            </w:r>
          </w:p>
        </w:tc>
        <w:tc>
          <w:tcPr>
            <w:tcW w:w="691" w:type="pct"/>
            <w:vAlign w:val="center"/>
          </w:tcPr>
          <w:p w14:paraId="6766200C"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Conventional risk score</w:t>
            </w:r>
          </w:p>
        </w:tc>
        <w:tc>
          <w:tcPr>
            <w:tcW w:w="713" w:type="pct"/>
            <w:vAlign w:val="center"/>
          </w:tcPr>
          <w:p w14:paraId="53E84FCA"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Mortality (CCS-only ED)</w:t>
            </w:r>
          </w:p>
        </w:tc>
        <w:tc>
          <w:tcPr>
            <w:tcW w:w="482" w:type="pct"/>
            <w:vAlign w:val="center"/>
          </w:tcPr>
          <w:p w14:paraId="1249D3A6"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Prospective ED</w:t>
            </w:r>
          </w:p>
        </w:tc>
        <w:tc>
          <w:tcPr>
            <w:tcW w:w="364" w:type="pct"/>
            <w:vAlign w:val="center"/>
          </w:tcPr>
          <w:p w14:paraId="354943EC"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MODERATE</w:t>
            </w:r>
          </w:p>
        </w:tc>
        <w:tc>
          <w:tcPr>
            <w:tcW w:w="390" w:type="pct"/>
            <w:vAlign w:val="center"/>
          </w:tcPr>
          <w:p w14:paraId="56BF8C8D"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w:t>
            </w:r>
          </w:p>
        </w:tc>
        <w:tc>
          <w:tcPr>
            <w:tcW w:w="303" w:type="pct"/>
            <w:vAlign w:val="center"/>
          </w:tcPr>
          <w:p w14:paraId="0D7FD292"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S2</w:t>
            </w:r>
          </w:p>
        </w:tc>
      </w:tr>
      <w:tr w:rsidR="004B2C8C" w:rsidRPr="004205E6" w14:paraId="2BD19E2A" w14:textId="77777777" w:rsidTr="00C41AB7">
        <w:trPr>
          <w:trHeight w:val="644"/>
        </w:trPr>
        <w:tc>
          <w:tcPr>
            <w:tcW w:w="467" w:type="pct"/>
            <w:vAlign w:val="center"/>
          </w:tcPr>
          <w:p w14:paraId="3D6A66FF"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Isik 2025</w:t>
            </w:r>
          </w:p>
        </w:tc>
        <w:tc>
          <w:tcPr>
            <w:tcW w:w="343" w:type="pct"/>
            <w:vAlign w:val="center"/>
          </w:tcPr>
          <w:p w14:paraId="35FE22D3"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Turkey</w:t>
            </w:r>
          </w:p>
        </w:tc>
        <w:tc>
          <w:tcPr>
            <w:tcW w:w="625" w:type="pct"/>
            <w:vAlign w:val="center"/>
          </w:tcPr>
          <w:p w14:paraId="718AB87D"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intervention+mortality</w:t>
            </w:r>
          </w:p>
        </w:tc>
        <w:tc>
          <w:tcPr>
            <w:tcW w:w="258" w:type="pct"/>
            <w:vAlign w:val="center"/>
          </w:tcPr>
          <w:p w14:paraId="71D48A52"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795</w:t>
            </w:r>
          </w:p>
        </w:tc>
        <w:tc>
          <w:tcPr>
            <w:tcW w:w="363" w:type="pct"/>
            <w:vAlign w:val="center"/>
          </w:tcPr>
          <w:p w14:paraId="01CB4FD3"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N/A</w:t>
            </w:r>
          </w:p>
        </w:tc>
        <w:tc>
          <w:tcPr>
            <w:tcW w:w="691" w:type="pct"/>
            <w:vAlign w:val="center"/>
          </w:tcPr>
          <w:p w14:paraId="6FC1F1A5"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Conventional risk score</w:t>
            </w:r>
          </w:p>
        </w:tc>
        <w:tc>
          <w:tcPr>
            <w:tcW w:w="713" w:type="pct"/>
            <w:vAlign w:val="center"/>
          </w:tcPr>
          <w:p w14:paraId="7E603649"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Mortality + rebleeding (CCS-only)</w:t>
            </w:r>
          </w:p>
        </w:tc>
        <w:tc>
          <w:tcPr>
            <w:tcW w:w="482" w:type="pct"/>
            <w:vAlign w:val="center"/>
          </w:tcPr>
          <w:p w14:paraId="4C0F7C4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Internal retrospective</w:t>
            </w:r>
          </w:p>
        </w:tc>
        <w:tc>
          <w:tcPr>
            <w:tcW w:w="364" w:type="pct"/>
            <w:vAlign w:val="center"/>
          </w:tcPr>
          <w:p w14:paraId="092000C6"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MODERATE</w:t>
            </w:r>
          </w:p>
        </w:tc>
        <w:tc>
          <w:tcPr>
            <w:tcW w:w="390" w:type="pct"/>
            <w:vAlign w:val="center"/>
          </w:tcPr>
          <w:p w14:paraId="2BCA4FE6"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w:t>
            </w:r>
          </w:p>
        </w:tc>
        <w:tc>
          <w:tcPr>
            <w:tcW w:w="303" w:type="pct"/>
            <w:vAlign w:val="center"/>
          </w:tcPr>
          <w:p w14:paraId="0B67E53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S2</w:t>
            </w:r>
          </w:p>
        </w:tc>
      </w:tr>
      <w:tr w:rsidR="004B2C8C" w:rsidRPr="004205E6" w14:paraId="25E6FE4D" w14:textId="77777777" w:rsidTr="00C41AB7">
        <w:trPr>
          <w:trHeight w:val="644"/>
        </w:trPr>
        <w:tc>
          <w:tcPr>
            <w:tcW w:w="467" w:type="pct"/>
            <w:vAlign w:val="center"/>
          </w:tcPr>
          <w:p w14:paraId="23AD7EA9"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Aydin 2025</w:t>
            </w:r>
          </w:p>
        </w:tc>
        <w:tc>
          <w:tcPr>
            <w:tcW w:w="343" w:type="pct"/>
            <w:vAlign w:val="center"/>
          </w:tcPr>
          <w:p w14:paraId="51E0E539"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Turkey</w:t>
            </w:r>
          </w:p>
        </w:tc>
        <w:tc>
          <w:tcPr>
            <w:tcW w:w="625" w:type="pct"/>
            <w:vAlign w:val="center"/>
          </w:tcPr>
          <w:p w14:paraId="3BC68EA7"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inhospital mortality</w:t>
            </w:r>
          </w:p>
        </w:tc>
        <w:tc>
          <w:tcPr>
            <w:tcW w:w="258" w:type="pct"/>
            <w:vAlign w:val="center"/>
          </w:tcPr>
          <w:p w14:paraId="4B5B796E"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315</w:t>
            </w:r>
          </w:p>
        </w:tc>
        <w:tc>
          <w:tcPr>
            <w:tcW w:w="363" w:type="pct"/>
            <w:vAlign w:val="center"/>
          </w:tcPr>
          <w:p w14:paraId="0F4E45DC"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25</w:t>
            </w:r>
          </w:p>
        </w:tc>
        <w:tc>
          <w:tcPr>
            <w:tcW w:w="691" w:type="pct"/>
            <w:vAlign w:val="center"/>
          </w:tcPr>
          <w:p w14:paraId="48DAB4AE"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Conventional risk score</w:t>
            </w:r>
          </w:p>
        </w:tc>
        <w:tc>
          <w:tcPr>
            <w:tcW w:w="713" w:type="pct"/>
            <w:vAlign w:val="center"/>
          </w:tcPr>
          <w:p w14:paraId="0952540D"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Mortality (geriatric, CCS-only)</w:t>
            </w:r>
          </w:p>
        </w:tc>
        <w:tc>
          <w:tcPr>
            <w:tcW w:w="482" w:type="pct"/>
            <w:vAlign w:val="center"/>
          </w:tcPr>
          <w:p w14:paraId="366F2C39"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Internal retrospective</w:t>
            </w:r>
          </w:p>
        </w:tc>
        <w:tc>
          <w:tcPr>
            <w:tcW w:w="364" w:type="pct"/>
            <w:vAlign w:val="center"/>
          </w:tcPr>
          <w:p w14:paraId="620054B5"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MODERATE</w:t>
            </w:r>
          </w:p>
        </w:tc>
        <w:tc>
          <w:tcPr>
            <w:tcW w:w="390" w:type="pct"/>
            <w:vAlign w:val="center"/>
          </w:tcPr>
          <w:p w14:paraId="41BE80F7"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w:t>
            </w:r>
          </w:p>
        </w:tc>
        <w:tc>
          <w:tcPr>
            <w:tcW w:w="303" w:type="pct"/>
            <w:vAlign w:val="center"/>
          </w:tcPr>
          <w:p w14:paraId="44665C12"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S2</w:t>
            </w:r>
          </w:p>
        </w:tc>
      </w:tr>
      <w:tr w:rsidR="004B2C8C" w:rsidRPr="004205E6" w14:paraId="46F1E82E" w14:textId="77777777" w:rsidTr="00C41AB7">
        <w:trPr>
          <w:trHeight w:val="644"/>
        </w:trPr>
        <w:tc>
          <w:tcPr>
            <w:tcW w:w="467" w:type="pct"/>
            <w:tcBorders>
              <w:bottom w:val="single" w:sz="4" w:space="0" w:color="BFBFBF" w:themeColor="background1" w:themeShade="BF"/>
            </w:tcBorders>
            <w:vAlign w:val="center"/>
          </w:tcPr>
          <w:p w14:paraId="29B688B2"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Tan 2018</w:t>
            </w:r>
          </w:p>
        </w:tc>
        <w:tc>
          <w:tcPr>
            <w:tcW w:w="343" w:type="pct"/>
            <w:tcBorders>
              <w:bottom w:val="single" w:sz="4" w:space="0" w:color="BFBFBF" w:themeColor="background1" w:themeShade="BF"/>
            </w:tcBorders>
            <w:vAlign w:val="center"/>
          </w:tcPr>
          <w:p w14:paraId="5AA6DB65"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HongKong</w:t>
            </w:r>
          </w:p>
        </w:tc>
        <w:tc>
          <w:tcPr>
            <w:tcW w:w="625" w:type="pct"/>
            <w:tcBorders>
              <w:bottom w:val="single" w:sz="4" w:space="0" w:color="BFBFBF" w:themeColor="background1" w:themeShade="BF"/>
            </w:tcBorders>
            <w:vAlign w:val="center"/>
          </w:tcPr>
          <w:p w14:paraId="4E3B9D83"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PUB mortality</w:t>
            </w:r>
          </w:p>
        </w:tc>
        <w:tc>
          <w:tcPr>
            <w:tcW w:w="258" w:type="pct"/>
            <w:tcBorders>
              <w:bottom w:val="single" w:sz="4" w:space="0" w:color="BFBFBF" w:themeColor="background1" w:themeShade="BF"/>
            </w:tcBorders>
            <w:vAlign w:val="center"/>
          </w:tcPr>
          <w:p w14:paraId="6016930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N/A</w:t>
            </w:r>
          </w:p>
        </w:tc>
        <w:tc>
          <w:tcPr>
            <w:tcW w:w="363" w:type="pct"/>
            <w:tcBorders>
              <w:bottom w:val="single" w:sz="4" w:space="0" w:color="BFBFBF" w:themeColor="background1" w:themeShade="BF"/>
            </w:tcBorders>
            <w:vAlign w:val="center"/>
          </w:tcPr>
          <w:p w14:paraId="5D13C86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N/A</w:t>
            </w:r>
          </w:p>
        </w:tc>
        <w:tc>
          <w:tcPr>
            <w:tcW w:w="691" w:type="pct"/>
            <w:tcBorders>
              <w:bottom w:val="single" w:sz="4" w:space="0" w:color="BFBFBF" w:themeColor="background1" w:themeShade="BF"/>
            </w:tcBorders>
            <w:vAlign w:val="center"/>
          </w:tcPr>
          <w:p w14:paraId="5AFC65EB"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Deep (ResNet+LSTM)</w:t>
            </w:r>
          </w:p>
        </w:tc>
        <w:tc>
          <w:tcPr>
            <w:tcW w:w="713" w:type="pct"/>
            <w:tcBorders>
              <w:bottom w:val="single" w:sz="4" w:space="0" w:color="BFBFBF" w:themeColor="background1" w:themeShade="BF"/>
            </w:tcBorders>
            <w:vAlign w:val="center"/>
          </w:tcPr>
          <w:p w14:paraId="1FDED94A"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Mortality (PUB)</w:t>
            </w:r>
          </w:p>
        </w:tc>
        <w:tc>
          <w:tcPr>
            <w:tcW w:w="482" w:type="pct"/>
            <w:tcBorders>
              <w:bottom w:val="single" w:sz="4" w:space="0" w:color="BFBFBF" w:themeColor="background1" w:themeShade="BF"/>
            </w:tcBorders>
            <w:vAlign w:val="center"/>
          </w:tcPr>
          <w:p w14:paraId="4342BB75"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Split</w:t>
            </w:r>
          </w:p>
        </w:tc>
        <w:tc>
          <w:tcPr>
            <w:tcW w:w="364" w:type="pct"/>
            <w:tcBorders>
              <w:bottom w:val="single" w:sz="4" w:space="0" w:color="BFBFBF" w:themeColor="background1" w:themeShade="BF"/>
            </w:tcBorders>
            <w:vAlign w:val="center"/>
          </w:tcPr>
          <w:p w14:paraId="721E4D98"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HIGH</w:t>
            </w:r>
          </w:p>
        </w:tc>
        <w:tc>
          <w:tcPr>
            <w:tcW w:w="390" w:type="pct"/>
            <w:tcBorders>
              <w:bottom w:val="single" w:sz="4" w:space="0" w:color="BFBFBF" w:themeColor="background1" w:themeShade="BF"/>
            </w:tcBorders>
            <w:vAlign w:val="center"/>
          </w:tcPr>
          <w:p w14:paraId="0F93B51C"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58%</w:t>
            </w:r>
          </w:p>
        </w:tc>
        <w:tc>
          <w:tcPr>
            <w:tcW w:w="303" w:type="pct"/>
            <w:tcBorders>
              <w:bottom w:val="single" w:sz="4" w:space="0" w:color="BFBFBF" w:themeColor="background1" w:themeShade="BF"/>
            </w:tcBorders>
            <w:vAlign w:val="center"/>
          </w:tcPr>
          <w:p w14:paraId="3097B470"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S2</w:t>
            </w:r>
          </w:p>
        </w:tc>
      </w:tr>
      <w:tr w:rsidR="004B2C8C" w:rsidRPr="004205E6" w14:paraId="6ACA4A8B" w14:textId="77777777" w:rsidTr="00C41AB7">
        <w:trPr>
          <w:trHeight w:val="644"/>
        </w:trPr>
        <w:tc>
          <w:tcPr>
            <w:tcW w:w="467" w:type="pct"/>
            <w:tcBorders>
              <w:bottom w:val="single" w:sz="12" w:space="0" w:color="auto"/>
            </w:tcBorders>
            <w:vAlign w:val="center"/>
          </w:tcPr>
          <w:p w14:paraId="49650F17"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lastRenderedPageBreak/>
              <w:t>Park 2018</w:t>
            </w:r>
          </w:p>
        </w:tc>
        <w:tc>
          <w:tcPr>
            <w:tcW w:w="343" w:type="pct"/>
            <w:tcBorders>
              <w:bottom w:val="single" w:sz="12" w:space="0" w:color="auto"/>
            </w:tcBorders>
            <w:vAlign w:val="center"/>
          </w:tcPr>
          <w:p w14:paraId="4500D227"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Korea</w:t>
            </w:r>
          </w:p>
        </w:tc>
        <w:tc>
          <w:tcPr>
            <w:tcW w:w="625" w:type="pct"/>
            <w:tcBorders>
              <w:bottom w:val="single" w:sz="12" w:space="0" w:color="auto"/>
            </w:tcBorders>
            <w:vAlign w:val="center"/>
          </w:tcPr>
          <w:p w14:paraId="4B8AF21E"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mortality+rebleed+interv</w:t>
            </w:r>
          </w:p>
        </w:tc>
        <w:tc>
          <w:tcPr>
            <w:tcW w:w="258" w:type="pct"/>
            <w:tcBorders>
              <w:bottom w:val="single" w:sz="12" w:space="0" w:color="auto"/>
            </w:tcBorders>
            <w:vAlign w:val="center"/>
          </w:tcPr>
          <w:p w14:paraId="2C773B79"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1796</w:t>
            </w:r>
          </w:p>
        </w:tc>
        <w:tc>
          <w:tcPr>
            <w:tcW w:w="363" w:type="pct"/>
            <w:tcBorders>
              <w:bottom w:val="single" w:sz="12" w:space="0" w:color="auto"/>
            </w:tcBorders>
            <w:vAlign w:val="center"/>
          </w:tcPr>
          <w:p w14:paraId="75314AE0"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N/A</w:t>
            </w:r>
          </w:p>
        </w:tc>
        <w:tc>
          <w:tcPr>
            <w:tcW w:w="691" w:type="pct"/>
            <w:tcBorders>
              <w:bottom w:val="single" w:sz="12" w:space="0" w:color="auto"/>
            </w:tcBorders>
            <w:vAlign w:val="center"/>
          </w:tcPr>
          <w:p w14:paraId="7F125CDF"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Multi-ML (RF+XGB+LR)</w:t>
            </w:r>
          </w:p>
        </w:tc>
        <w:tc>
          <w:tcPr>
            <w:tcW w:w="713" w:type="pct"/>
            <w:tcBorders>
              <w:bottom w:val="single" w:sz="12" w:space="0" w:color="auto"/>
            </w:tcBorders>
            <w:vAlign w:val="center"/>
          </w:tcPr>
          <w:p w14:paraId="7E81CD9F" w14:textId="77777777" w:rsidR="004B2C8C" w:rsidRPr="004205E6" w:rsidRDefault="00000000" w:rsidP="00F44497">
            <w:pPr>
              <w:rPr>
                <w:rFonts w:ascii="Arial" w:hAnsi="Arial" w:cs="Arial"/>
                <w:color w:val="000000" w:themeColor="text1"/>
                <w:sz w:val="14"/>
                <w:szCs w:val="14"/>
              </w:rPr>
            </w:pPr>
            <w:r w:rsidRPr="004205E6">
              <w:rPr>
                <w:rFonts w:ascii="Arial" w:hAnsi="Arial" w:cs="Arial"/>
                <w:color w:val="000000" w:themeColor="text1"/>
                <w:sz w:val="14"/>
                <w:szCs w:val="14"/>
              </w:rPr>
              <w:t>Composite high-risk outcome</w:t>
            </w:r>
          </w:p>
        </w:tc>
        <w:tc>
          <w:tcPr>
            <w:tcW w:w="482" w:type="pct"/>
            <w:tcBorders>
              <w:bottom w:val="single" w:sz="12" w:space="0" w:color="auto"/>
            </w:tcBorders>
            <w:vAlign w:val="center"/>
          </w:tcPr>
          <w:p w14:paraId="54BA3B48"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Internal 5-fold CV</w:t>
            </w:r>
          </w:p>
        </w:tc>
        <w:tc>
          <w:tcPr>
            <w:tcW w:w="364" w:type="pct"/>
            <w:tcBorders>
              <w:bottom w:val="single" w:sz="12" w:space="0" w:color="auto"/>
            </w:tcBorders>
            <w:vAlign w:val="center"/>
          </w:tcPr>
          <w:p w14:paraId="07811000"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HIGH</w:t>
            </w:r>
          </w:p>
        </w:tc>
        <w:tc>
          <w:tcPr>
            <w:tcW w:w="390" w:type="pct"/>
            <w:tcBorders>
              <w:bottom w:val="single" w:sz="12" w:space="0" w:color="auto"/>
            </w:tcBorders>
            <w:vAlign w:val="center"/>
          </w:tcPr>
          <w:p w14:paraId="7D4F977A"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58%</w:t>
            </w:r>
          </w:p>
        </w:tc>
        <w:tc>
          <w:tcPr>
            <w:tcW w:w="303" w:type="pct"/>
            <w:tcBorders>
              <w:bottom w:val="single" w:sz="12" w:space="0" w:color="auto"/>
            </w:tcBorders>
            <w:vAlign w:val="center"/>
          </w:tcPr>
          <w:p w14:paraId="71732E76" w14:textId="77777777" w:rsidR="004B2C8C" w:rsidRPr="004205E6" w:rsidRDefault="00000000" w:rsidP="00F44497">
            <w:pPr>
              <w:jc w:val="both"/>
              <w:rPr>
                <w:rFonts w:ascii="Arial" w:hAnsi="Arial" w:cs="Arial"/>
                <w:color w:val="000000" w:themeColor="text1"/>
                <w:sz w:val="14"/>
                <w:szCs w:val="14"/>
              </w:rPr>
            </w:pPr>
            <w:r w:rsidRPr="004205E6">
              <w:rPr>
                <w:rFonts w:ascii="Arial" w:hAnsi="Arial" w:cs="Arial"/>
                <w:color w:val="000000" w:themeColor="text1"/>
                <w:sz w:val="14"/>
                <w:szCs w:val="14"/>
              </w:rPr>
              <w:t>S2</w:t>
            </w:r>
          </w:p>
        </w:tc>
      </w:tr>
    </w:tbl>
    <w:p w14:paraId="6D9AA311" w14:textId="77777777" w:rsidR="004B2C8C" w:rsidRPr="004205E6" w:rsidRDefault="00000000">
      <w:pPr>
        <w:spacing w:before="80" w:after="80"/>
        <w:rPr>
          <w:rFonts w:ascii="Arial" w:hAnsi="Arial" w:cs="Arial"/>
          <w:color w:val="000000" w:themeColor="text1"/>
        </w:rPr>
      </w:pPr>
      <w:r w:rsidRPr="004205E6">
        <w:rPr>
          <w:rFonts w:ascii="Arial" w:hAnsi="Arial" w:cs="Arial"/>
          <w:i/>
          <w:iCs/>
          <w:color w:val="000000" w:themeColor="text1"/>
          <w:sz w:val="14"/>
          <w:szCs w:val="14"/>
        </w:rPr>
        <w:t>Abbreviations: NV-UGIB, non-variceal upper gastrointestinal bleeding; AUGIB, acute upper gastrointestinal bleeding; PUB, peptic ulcer bleeding; ICU, intensive care unit; ML, machine learning; CCS, conventional clinical risk score; GBS, Glasgow-Blatchford Score; ANN, artificial neural network. PROBAST overall risk-of-bias: LOW (blue), MODERATE (orange), HIGH (red). TRIPOD+AI completeness reported only for studies that developed or validated an ML model; CCS-only studies marked as "—". Scenarios: S1 ED triage, S2 high-risk adverse outcome (mortality, composite high-risk outcome, or major intervention-related outcome), S3 rebleeding, S4 ICU mortality, S5 transfusion. Companion-pair records (Park 2018 companion, Das 2000, Das 2001) are not counted as independent included studies and are tabulated separately in Supplementary Table S8.</w:t>
      </w:r>
    </w:p>
    <w:p w14:paraId="606EA4A8" w14:textId="77777777" w:rsidR="004B2C8C" w:rsidRPr="004205E6" w:rsidRDefault="00000000">
      <w:pPr>
        <w:rPr>
          <w:rFonts w:ascii="Arial" w:hAnsi="Arial" w:cs="Arial"/>
          <w:color w:val="000000" w:themeColor="text1"/>
        </w:rPr>
      </w:pPr>
      <w:r w:rsidRPr="004205E6">
        <w:rPr>
          <w:rFonts w:ascii="Arial" w:hAnsi="Arial" w:cs="Arial"/>
          <w:color w:val="000000" w:themeColor="text1"/>
        </w:rPr>
        <w:br w:type="page"/>
      </w:r>
    </w:p>
    <w:p w14:paraId="0FAFA703" w14:textId="77777777" w:rsidR="004B2C8C" w:rsidRPr="004205E6" w:rsidRDefault="00000000">
      <w:pPr>
        <w:pStyle w:val="2"/>
        <w:spacing w:before="280" w:after="140"/>
        <w:rPr>
          <w:rFonts w:ascii="Arial" w:hAnsi="Arial" w:cs="Arial"/>
          <w:color w:val="000000" w:themeColor="text1"/>
          <w:sz w:val="24"/>
          <w:szCs w:val="24"/>
        </w:rPr>
      </w:pPr>
      <w:r w:rsidRPr="004205E6">
        <w:rPr>
          <w:rFonts w:ascii="Arial" w:hAnsi="Arial" w:cs="Arial"/>
          <w:b/>
          <w:bCs/>
          <w:color w:val="000000" w:themeColor="text1"/>
          <w:sz w:val="24"/>
          <w:szCs w:val="24"/>
        </w:rPr>
        <w:lastRenderedPageBreak/>
        <w:t>Supplementary Table S2. Direct ML-versus-CCS AUROC contrasts contributing to the S2 network</w:t>
      </w:r>
    </w:p>
    <w:p w14:paraId="60A6D9BB" w14:textId="77777777" w:rsidR="004B2C8C" w:rsidRPr="004205E6" w:rsidRDefault="00000000">
      <w:pPr>
        <w:spacing w:before="80" w:after="80"/>
        <w:rPr>
          <w:rFonts w:ascii="Arial" w:hAnsi="Arial" w:cs="Arial"/>
          <w:color w:val="000000" w:themeColor="text1"/>
        </w:rPr>
      </w:pPr>
      <w:r w:rsidRPr="004205E6">
        <w:rPr>
          <w:rFonts w:ascii="Arial" w:hAnsi="Arial" w:cs="Arial"/>
          <w:color w:val="000000" w:themeColor="text1"/>
        </w:rPr>
        <w:t>ΔAUROC is reported as the discrimination advantage of A over B (positive values favor A). Direct contrasts use inverse-variance pooling across studies within each comparison. Bucher indirect estimates are not listed as rows in this table and are shown separately in Figure 4 where applicable. k indicates the number of contributing studies for direct contrasts.</w:t>
      </w:r>
    </w:p>
    <w:tbl>
      <w:tblPr>
        <w:tblStyle w:val="aa"/>
        <w:tblW w:w="5000" w:type="pct"/>
        <w:tblLook w:val="04A0" w:firstRow="1" w:lastRow="0" w:firstColumn="1" w:lastColumn="0" w:noHBand="0" w:noVBand="1"/>
      </w:tblPr>
      <w:tblGrid>
        <w:gridCol w:w="5130"/>
        <w:gridCol w:w="2197"/>
        <w:gridCol w:w="3958"/>
        <w:gridCol w:w="2493"/>
        <w:gridCol w:w="1610"/>
      </w:tblGrid>
      <w:tr w:rsidR="004B2C8C" w:rsidRPr="004205E6" w14:paraId="012C8065" w14:textId="77777777" w:rsidTr="00F44497">
        <w:trPr>
          <w:trHeight w:val="397"/>
        </w:trPr>
        <w:tc>
          <w:tcPr>
            <w:tcW w:w="1667" w:type="pct"/>
            <w:tcBorders>
              <w:top w:val="single" w:sz="12" w:space="0" w:color="auto"/>
              <w:bottom w:val="single" w:sz="12" w:space="0" w:color="auto"/>
            </w:tcBorders>
            <w:vAlign w:val="center"/>
          </w:tcPr>
          <w:p w14:paraId="7BFBCB3F" w14:textId="77777777" w:rsidR="004B2C8C" w:rsidRPr="004205E6" w:rsidRDefault="00000000" w:rsidP="00F44497">
            <w:pPr>
              <w:jc w:val="both"/>
              <w:rPr>
                <w:rFonts w:ascii="Arial" w:hAnsi="Arial" w:cs="Arial"/>
                <w:color w:val="000000" w:themeColor="text1"/>
              </w:rPr>
            </w:pPr>
            <w:r w:rsidRPr="004205E6">
              <w:rPr>
                <w:rFonts w:ascii="Arial" w:hAnsi="Arial" w:cs="Arial"/>
                <w:b/>
                <w:bCs/>
                <w:color w:val="000000" w:themeColor="text1"/>
                <w:sz w:val="16"/>
                <w:szCs w:val="16"/>
              </w:rPr>
              <w:t>Comparison (A vs B)</w:t>
            </w:r>
          </w:p>
        </w:tc>
        <w:tc>
          <w:tcPr>
            <w:tcW w:w="714" w:type="pct"/>
            <w:tcBorders>
              <w:top w:val="single" w:sz="12" w:space="0" w:color="auto"/>
              <w:bottom w:val="single" w:sz="12" w:space="0" w:color="auto"/>
            </w:tcBorders>
            <w:vAlign w:val="center"/>
          </w:tcPr>
          <w:p w14:paraId="05B13ACF" w14:textId="77777777" w:rsidR="004B2C8C" w:rsidRPr="004205E6" w:rsidRDefault="00000000" w:rsidP="00F44497">
            <w:pPr>
              <w:jc w:val="both"/>
              <w:rPr>
                <w:rFonts w:ascii="Arial" w:hAnsi="Arial" w:cs="Arial"/>
                <w:color w:val="000000" w:themeColor="text1"/>
              </w:rPr>
            </w:pPr>
            <w:r w:rsidRPr="004205E6">
              <w:rPr>
                <w:rFonts w:ascii="Arial" w:hAnsi="Arial" w:cs="Arial"/>
                <w:b/>
                <w:bCs/>
                <w:color w:val="000000" w:themeColor="text1"/>
                <w:sz w:val="16"/>
                <w:szCs w:val="16"/>
              </w:rPr>
              <w:t>ΔAUROC</w:t>
            </w:r>
          </w:p>
        </w:tc>
        <w:tc>
          <w:tcPr>
            <w:tcW w:w="1286" w:type="pct"/>
            <w:tcBorders>
              <w:top w:val="single" w:sz="12" w:space="0" w:color="auto"/>
              <w:bottom w:val="single" w:sz="12" w:space="0" w:color="auto"/>
            </w:tcBorders>
            <w:vAlign w:val="center"/>
          </w:tcPr>
          <w:p w14:paraId="7B29C1AE" w14:textId="77777777" w:rsidR="004B2C8C" w:rsidRPr="004205E6" w:rsidRDefault="00000000" w:rsidP="00F44497">
            <w:pPr>
              <w:jc w:val="both"/>
              <w:rPr>
                <w:rFonts w:ascii="Arial" w:hAnsi="Arial" w:cs="Arial"/>
                <w:color w:val="000000" w:themeColor="text1"/>
              </w:rPr>
            </w:pPr>
            <w:r w:rsidRPr="004205E6">
              <w:rPr>
                <w:rFonts w:ascii="Arial" w:hAnsi="Arial" w:cs="Arial"/>
                <w:b/>
                <w:bCs/>
                <w:color w:val="000000" w:themeColor="text1"/>
                <w:sz w:val="16"/>
                <w:szCs w:val="16"/>
              </w:rPr>
              <w:t>95% CI</w:t>
            </w:r>
          </w:p>
        </w:tc>
        <w:tc>
          <w:tcPr>
            <w:tcW w:w="810" w:type="pct"/>
            <w:tcBorders>
              <w:top w:val="single" w:sz="12" w:space="0" w:color="auto"/>
              <w:bottom w:val="single" w:sz="12" w:space="0" w:color="auto"/>
            </w:tcBorders>
            <w:vAlign w:val="center"/>
          </w:tcPr>
          <w:p w14:paraId="0BF8300B" w14:textId="77777777" w:rsidR="004B2C8C" w:rsidRPr="004205E6" w:rsidRDefault="00000000" w:rsidP="00F44497">
            <w:pPr>
              <w:jc w:val="both"/>
              <w:rPr>
                <w:rFonts w:ascii="Arial" w:hAnsi="Arial" w:cs="Arial"/>
                <w:color w:val="000000" w:themeColor="text1"/>
              </w:rPr>
            </w:pPr>
            <w:r w:rsidRPr="004205E6">
              <w:rPr>
                <w:rFonts w:ascii="Arial" w:hAnsi="Arial" w:cs="Arial"/>
                <w:b/>
                <w:bCs/>
                <w:color w:val="000000" w:themeColor="text1"/>
                <w:sz w:val="16"/>
                <w:szCs w:val="16"/>
              </w:rPr>
              <w:t>Evidence type</w:t>
            </w:r>
          </w:p>
        </w:tc>
        <w:tc>
          <w:tcPr>
            <w:tcW w:w="524" w:type="pct"/>
            <w:tcBorders>
              <w:top w:val="single" w:sz="12" w:space="0" w:color="auto"/>
              <w:bottom w:val="single" w:sz="12" w:space="0" w:color="auto"/>
            </w:tcBorders>
            <w:vAlign w:val="center"/>
          </w:tcPr>
          <w:p w14:paraId="4B57C4FA" w14:textId="77777777" w:rsidR="004B2C8C" w:rsidRPr="004205E6" w:rsidRDefault="00000000" w:rsidP="00F44497">
            <w:pPr>
              <w:jc w:val="both"/>
              <w:rPr>
                <w:rFonts w:ascii="Arial" w:hAnsi="Arial" w:cs="Arial"/>
                <w:color w:val="000000" w:themeColor="text1"/>
              </w:rPr>
            </w:pPr>
            <w:r w:rsidRPr="004205E6">
              <w:rPr>
                <w:rFonts w:ascii="Arial" w:hAnsi="Arial" w:cs="Arial"/>
                <w:b/>
                <w:bCs/>
                <w:color w:val="000000" w:themeColor="text1"/>
                <w:sz w:val="16"/>
                <w:szCs w:val="16"/>
              </w:rPr>
              <w:t>k (direct)</w:t>
            </w:r>
          </w:p>
        </w:tc>
      </w:tr>
      <w:tr w:rsidR="004B2C8C" w:rsidRPr="004205E6" w14:paraId="1688D005" w14:textId="77777777" w:rsidTr="00F44497">
        <w:trPr>
          <w:trHeight w:val="397"/>
        </w:trPr>
        <w:tc>
          <w:tcPr>
            <w:tcW w:w="1667" w:type="pct"/>
            <w:tcBorders>
              <w:top w:val="single" w:sz="12" w:space="0" w:color="auto"/>
            </w:tcBorders>
            <w:vAlign w:val="center"/>
          </w:tcPr>
          <w:p w14:paraId="23464071"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ANN vs AIMS65</w:t>
            </w:r>
          </w:p>
        </w:tc>
        <w:tc>
          <w:tcPr>
            <w:tcW w:w="714" w:type="pct"/>
            <w:tcBorders>
              <w:top w:val="single" w:sz="12" w:space="0" w:color="auto"/>
            </w:tcBorders>
            <w:vAlign w:val="center"/>
          </w:tcPr>
          <w:p w14:paraId="5922E6CC"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+0.270</w:t>
            </w:r>
          </w:p>
        </w:tc>
        <w:tc>
          <w:tcPr>
            <w:tcW w:w="1286" w:type="pct"/>
            <w:tcBorders>
              <w:top w:val="single" w:sz="12" w:space="0" w:color="auto"/>
            </w:tcBorders>
            <w:vAlign w:val="center"/>
          </w:tcPr>
          <w:p w14:paraId="2AFD0AD9"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[+0.233, +0.307]</w:t>
            </w:r>
          </w:p>
        </w:tc>
        <w:tc>
          <w:tcPr>
            <w:tcW w:w="810" w:type="pct"/>
            <w:tcBorders>
              <w:top w:val="single" w:sz="12" w:space="0" w:color="auto"/>
            </w:tcBorders>
            <w:vAlign w:val="center"/>
          </w:tcPr>
          <w:p w14:paraId="4895E3D3"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direct</w:t>
            </w:r>
          </w:p>
        </w:tc>
        <w:tc>
          <w:tcPr>
            <w:tcW w:w="524" w:type="pct"/>
            <w:tcBorders>
              <w:top w:val="single" w:sz="12" w:space="0" w:color="auto"/>
            </w:tcBorders>
            <w:vAlign w:val="center"/>
          </w:tcPr>
          <w:p w14:paraId="3951E9F3"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r>
      <w:tr w:rsidR="004B2C8C" w:rsidRPr="004205E6" w14:paraId="1108B883" w14:textId="77777777" w:rsidTr="00F44497">
        <w:trPr>
          <w:trHeight w:val="397"/>
        </w:trPr>
        <w:tc>
          <w:tcPr>
            <w:tcW w:w="1667" w:type="pct"/>
            <w:vAlign w:val="center"/>
          </w:tcPr>
          <w:p w14:paraId="19A100E6"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ANN vs Rockall</w:t>
            </w:r>
          </w:p>
        </w:tc>
        <w:tc>
          <w:tcPr>
            <w:tcW w:w="714" w:type="pct"/>
            <w:vAlign w:val="center"/>
          </w:tcPr>
          <w:p w14:paraId="50AC2A0E"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+0.170</w:t>
            </w:r>
          </w:p>
        </w:tc>
        <w:tc>
          <w:tcPr>
            <w:tcW w:w="1286" w:type="pct"/>
            <w:vAlign w:val="center"/>
          </w:tcPr>
          <w:p w14:paraId="77D64542"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[+0.107, +0.233]</w:t>
            </w:r>
          </w:p>
        </w:tc>
        <w:tc>
          <w:tcPr>
            <w:tcW w:w="810" w:type="pct"/>
            <w:vAlign w:val="center"/>
          </w:tcPr>
          <w:p w14:paraId="722BDD93"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direct</w:t>
            </w:r>
          </w:p>
        </w:tc>
        <w:tc>
          <w:tcPr>
            <w:tcW w:w="524" w:type="pct"/>
            <w:vAlign w:val="center"/>
          </w:tcPr>
          <w:p w14:paraId="17E04020"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r>
      <w:tr w:rsidR="004B2C8C" w:rsidRPr="004205E6" w14:paraId="2252C432" w14:textId="77777777" w:rsidTr="00F44497">
        <w:trPr>
          <w:trHeight w:val="397"/>
        </w:trPr>
        <w:tc>
          <w:tcPr>
            <w:tcW w:w="1667" w:type="pct"/>
            <w:vAlign w:val="center"/>
          </w:tcPr>
          <w:p w14:paraId="169B2580"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Cluster-ML vs AIMS65</w:t>
            </w:r>
          </w:p>
        </w:tc>
        <w:tc>
          <w:tcPr>
            <w:tcW w:w="714" w:type="pct"/>
            <w:vAlign w:val="center"/>
          </w:tcPr>
          <w:p w14:paraId="58FA63E9"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+0.162</w:t>
            </w:r>
          </w:p>
        </w:tc>
        <w:tc>
          <w:tcPr>
            <w:tcW w:w="1286" w:type="pct"/>
            <w:vAlign w:val="center"/>
          </w:tcPr>
          <w:p w14:paraId="18D7B544"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[+0.149, +0.175]</w:t>
            </w:r>
          </w:p>
        </w:tc>
        <w:tc>
          <w:tcPr>
            <w:tcW w:w="810" w:type="pct"/>
            <w:vAlign w:val="center"/>
          </w:tcPr>
          <w:p w14:paraId="2651C074"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direct</w:t>
            </w:r>
          </w:p>
        </w:tc>
        <w:tc>
          <w:tcPr>
            <w:tcW w:w="524" w:type="pct"/>
            <w:vAlign w:val="center"/>
          </w:tcPr>
          <w:p w14:paraId="2950F84F"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r>
      <w:tr w:rsidR="004B2C8C" w:rsidRPr="004205E6" w14:paraId="0DD734C4" w14:textId="77777777" w:rsidTr="00F44497">
        <w:trPr>
          <w:trHeight w:val="397"/>
        </w:trPr>
        <w:tc>
          <w:tcPr>
            <w:tcW w:w="1667" w:type="pct"/>
            <w:vAlign w:val="center"/>
          </w:tcPr>
          <w:p w14:paraId="5C3D6F4E"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Cluster-ML vs GBS</w:t>
            </w:r>
          </w:p>
        </w:tc>
        <w:tc>
          <w:tcPr>
            <w:tcW w:w="714" w:type="pct"/>
            <w:vAlign w:val="center"/>
          </w:tcPr>
          <w:p w14:paraId="3BE3E591"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+0.142</w:t>
            </w:r>
          </w:p>
        </w:tc>
        <w:tc>
          <w:tcPr>
            <w:tcW w:w="1286" w:type="pct"/>
            <w:vAlign w:val="center"/>
          </w:tcPr>
          <w:p w14:paraId="30EACA89"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[+0.129, +0.155]</w:t>
            </w:r>
          </w:p>
        </w:tc>
        <w:tc>
          <w:tcPr>
            <w:tcW w:w="810" w:type="pct"/>
            <w:vAlign w:val="center"/>
          </w:tcPr>
          <w:p w14:paraId="3A68C1F6"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direct</w:t>
            </w:r>
          </w:p>
        </w:tc>
        <w:tc>
          <w:tcPr>
            <w:tcW w:w="524" w:type="pct"/>
            <w:vAlign w:val="center"/>
          </w:tcPr>
          <w:p w14:paraId="5FE5CC30"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r>
      <w:tr w:rsidR="004B2C8C" w:rsidRPr="004205E6" w14:paraId="5C39A9FB" w14:textId="77777777" w:rsidTr="00F44497">
        <w:trPr>
          <w:trHeight w:val="397"/>
        </w:trPr>
        <w:tc>
          <w:tcPr>
            <w:tcW w:w="1667" w:type="pct"/>
            <w:vAlign w:val="center"/>
          </w:tcPr>
          <w:p w14:paraId="14100930"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ML EHR-based vs GBS</w:t>
            </w:r>
          </w:p>
        </w:tc>
        <w:tc>
          <w:tcPr>
            <w:tcW w:w="714" w:type="pct"/>
            <w:vAlign w:val="center"/>
          </w:tcPr>
          <w:p w14:paraId="463D42F0"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+0.030</w:t>
            </w:r>
          </w:p>
        </w:tc>
        <w:tc>
          <w:tcPr>
            <w:tcW w:w="1286" w:type="pct"/>
            <w:vAlign w:val="center"/>
          </w:tcPr>
          <w:p w14:paraId="373DDC7C"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[+0.013, +0.047]</w:t>
            </w:r>
          </w:p>
        </w:tc>
        <w:tc>
          <w:tcPr>
            <w:tcW w:w="810" w:type="pct"/>
            <w:vAlign w:val="center"/>
          </w:tcPr>
          <w:p w14:paraId="5B405F15"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direct</w:t>
            </w:r>
          </w:p>
        </w:tc>
        <w:tc>
          <w:tcPr>
            <w:tcW w:w="524" w:type="pct"/>
            <w:vAlign w:val="center"/>
          </w:tcPr>
          <w:p w14:paraId="4F8C80E5"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r>
      <w:tr w:rsidR="004B2C8C" w:rsidRPr="004205E6" w14:paraId="0870B9DE" w14:textId="77777777" w:rsidTr="00F44497">
        <w:trPr>
          <w:trHeight w:val="397"/>
        </w:trPr>
        <w:tc>
          <w:tcPr>
            <w:tcW w:w="1667" w:type="pct"/>
            <w:vAlign w:val="center"/>
          </w:tcPr>
          <w:p w14:paraId="2B3AE564"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Multi-ML vs GBS</w:t>
            </w:r>
          </w:p>
        </w:tc>
        <w:tc>
          <w:tcPr>
            <w:tcW w:w="714" w:type="pct"/>
            <w:vAlign w:val="center"/>
          </w:tcPr>
          <w:p w14:paraId="0D7EF3B0"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+0.130</w:t>
            </w:r>
          </w:p>
        </w:tc>
        <w:tc>
          <w:tcPr>
            <w:tcW w:w="1286" w:type="pct"/>
            <w:vAlign w:val="center"/>
          </w:tcPr>
          <w:p w14:paraId="5A576FEB"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[+0.108, +0.152]</w:t>
            </w:r>
          </w:p>
        </w:tc>
        <w:tc>
          <w:tcPr>
            <w:tcW w:w="810" w:type="pct"/>
            <w:vAlign w:val="center"/>
          </w:tcPr>
          <w:p w14:paraId="676D6110"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direct</w:t>
            </w:r>
          </w:p>
        </w:tc>
        <w:tc>
          <w:tcPr>
            <w:tcW w:w="524" w:type="pct"/>
            <w:vAlign w:val="center"/>
          </w:tcPr>
          <w:p w14:paraId="6A3182B8"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r>
      <w:tr w:rsidR="004B2C8C" w:rsidRPr="004205E6" w14:paraId="27ECA6E1" w14:textId="77777777" w:rsidTr="00F44497">
        <w:trPr>
          <w:trHeight w:val="397"/>
        </w:trPr>
        <w:tc>
          <w:tcPr>
            <w:tcW w:w="1667" w:type="pct"/>
            <w:vAlign w:val="center"/>
          </w:tcPr>
          <w:p w14:paraId="67973823"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Tree-ensemble vs ABC</w:t>
            </w:r>
          </w:p>
        </w:tc>
        <w:tc>
          <w:tcPr>
            <w:tcW w:w="714" w:type="pct"/>
            <w:vAlign w:val="center"/>
          </w:tcPr>
          <w:p w14:paraId="2F51834A"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+0.070</w:t>
            </w:r>
          </w:p>
        </w:tc>
        <w:tc>
          <w:tcPr>
            <w:tcW w:w="1286" w:type="pct"/>
            <w:vAlign w:val="center"/>
          </w:tcPr>
          <w:p w14:paraId="652668ED"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[+0.024, +0.116]</w:t>
            </w:r>
          </w:p>
        </w:tc>
        <w:tc>
          <w:tcPr>
            <w:tcW w:w="810" w:type="pct"/>
            <w:vAlign w:val="center"/>
          </w:tcPr>
          <w:p w14:paraId="0D942B09"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direct</w:t>
            </w:r>
          </w:p>
        </w:tc>
        <w:tc>
          <w:tcPr>
            <w:tcW w:w="524" w:type="pct"/>
            <w:vAlign w:val="center"/>
          </w:tcPr>
          <w:p w14:paraId="0843B112"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r>
      <w:tr w:rsidR="004B2C8C" w:rsidRPr="004205E6" w14:paraId="31562A9E" w14:textId="77777777" w:rsidTr="00F44497">
        <w:trPr>
          <w:trHeight w:val="397"/>
        </w:trPr>
        <w:tc>
          <w:tcPr>
            <w:tcW w:w="1667" w:type="pct"/>
            <w:vAlign w:val="center"/>
          </w:tcPr>
          <w:p w14:paraId="3CCAC714"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Tree-ensemble vs AIMS65</w:t>
            </w:r>
          </w:p>
        </w:tc>
        <w:tc>
          <w:tcPr>
            <w:tcW w:w="714" w:type="pct"/>
            <w:vAlign w:val="center"/>
          </w:tcPr>
          <w:p w14:paraId="4A440CBA"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+0.183</w:t>
            </w:r>
          </w:p>
        </w:tc>
        <w:tc>
          <w:tcPr>
            <w:tcW w:w="1286" w:type="pct"/>
            <w:vAlign w:val="center"/>
          </w:tcPr>
          <w:p w14:paraId="2FA919D5"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[+0.167, +0.199]</w:t>
            </w:r>
          </w:p>
        </w:tc>
        <w:tc>
          <w:tcPr>
            <w:tcW w:w="810" w:type="pct"/>
            <w:vAlign w:val="center"/>
          </w:tcPr>
          <w:p w14:paraId="0550C731"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direct</w:t>
            </w:r>
          </w:p>
        </w:tc>
        <w:tc>
          <w:tcPr>
            <w:tcW w:w="524" w:type="pct"/>
            <w:vAlign w:val="center"/>
          </w:tcPr>
          <w:p w14:paraId="06F648DE"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r>
      <w:tr w:rsidR="004B2C8C" w:rsidRPr="004205E6" w14:paraId="774F40FE" w14:textId="77777777" w:rsidTr="00F44497">
        <w:trPr>
          <w:trHeight w:val="397"/>
        </w:trPr>
        <w:tc>
          <w:tcPr>
            <w:tcW w:w="1667" w:type="pct"/>
            <w:vAlign w:val="center"/>
          </w:tcPr>
          <w:p w14:paraId="51ADAB31"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Tree-ensemble vs GBS</w:t>
            </w:r>
          </w:p>
        </w:tc>
        <w:tc>
          <w:tcPr>
            <w:tcW w:w="714" w:type="pct"/>
            <w:vAlign w:val="center"/>
          </w:tcPr>
          <w:p w14:paraId="0E8D4EB2"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+0.269</w:t>
            </w:r>
          </w:p>
        </w:tc>
        <w:tc>
          <w:tcPr>
            <w:tcW w:w="1286" w:type="pct"/>
            <w:vAlign w:val="center"/>
          </w:tcPr>
          <w:p w14:paraId="5E10B89C"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[+0.254, +0.283]</w:t>
            </w:r>
          </w:p>
        </w:tc>
        <w:tc>
          <w:tcPr>
            <w:tcW w:w="810" w:type="pct"/>
            <w:vAlign w:val="center"/>
          </w:tcPr>
          <w:p w14:paraId="4287307B"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direct</w:t>
            </w:r>
          </w:p>
        </w:tc>
        <w:tc>
          <w:tcPr>
            <w:tcW w:w="524" w:type="pct"/>
            <w:vAlign w:val="center"/>
          </w:tcPr>
          <w:p w14:paraId="575BC988"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3</w:t>
            </w:r>
          </w:p>
        </w:tc>
      </w:tr>
      <w:tr w:rsidR="004B2C8C" w:rsidRPr="004205E6" w14:paraId="76DAD3B9" w14:textId="77777777" w:rsidTr="00F44497">
        <w:trPr>
          <w:trHeight w:val="397"/>
        </w:trPr>
        <w:tc>
          <w:tcPr>
            <w:tcW w:w="1667" w:type="pct"/>
            <w:vAlign w:val="center"/>
          </w:tcPr>
          <w:p w14:paraId="367D4144"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Tree-ensemble vs Rockall</w:t>
            </w:r>
          </w:p>
        </w:tc>
        <w:tc>
          <w:tcPr>
            <w:tcW w:w="714" w:type="pct"/>
            <w:vAlign w:val="center"/>
          </w:tcPr>
          <w:p w14:paraId="7E3DA43E"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+0.241</w:t>
            </w:r>
          </w:p>
        </w:tc>
        <w:tc>
          <w:tcPr>
            <w:tcW w:w="1286" w:type="pct"/>
            <w:vAlign w:val="center"/>
          </w:tcPr>
          <w:p w14:paraId="1DD2D6DC"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[+0.225, +0.256]</w:t>
            </w:r>
          </w:p>
        </w:tc>
        <w:tc>
          <w:tcPr>
            <w:tcW w:w="810" w:type="pct"/>
            <w:vAlign w:val="center"/>
          </w:tcPr>
          <w:p w14:paraId="3C8984F9"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direct</w:t>
            </w:r>
          </w:p>
        </w:tc>
        <w:tc>
          <w:tcPr>
            <w:tcW w:w="524" w:type="pct"/>
            <w:vAlign w:val="center"/>
          </w:tcPr>
          <w:p w14:paraId="02BF1024"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2</w:t>
            </w:r>
          </w:p>
        </w:tc>
      </w:tr>
      <w:tr w:rsidR="004B2C8C" w:rsidRPr="004205E6" w14:paraId="6EEA70B1" w14:textId="77777777" w:rsidTr="00F44497">
        <w:trPr>
          <w:trHeight w:val="397"/>
        </w:trPr>
        <w:tc>
          <w:tcPr>
            <w:tcW w:w="1667" w:type="pct"/>
            <w:tcBorders>
              <w:bottom w:val="single" w:sz="4" w:space="0" w:color="BFBFBF" w:themeColor="background1" w:themeShade="BF"/>
            </w:tcBorders>
            <w:vAlign w:val="center"/>
          </w:tcPr>
          <w:p w14:paraId="43F94536"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Voting+RF vs GBS</w:t>
            </w:r>
          </w:p>
        </w:tc>
        <w:tc>
          <w:tcPr>
            <w:tcW w:w="714" w:type="pct"/>
            <w:tcBorders>
              <w:bottom w:val="single" w:sz="4" w:space="0" w:color="BFBFBF" w:themeColor="background1" w:themeShade="BF"/>
            </w:tcBorders>
            <w:vAlign w:val="center"/>
          </w:tcPr>
          <w:p w14:paraId="4CE113D7"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+0.194</w:t>
            </w:r>
          </w:p>
        </w:tc>
        <w:tc>
          <w:tcPr>
            <w:tcW w:w="1286" w:type="pct"/>
            <w:tcBorders>
              <w:bottom w:val="single" w:sz="4" w:space="0" w:color="BFBFBF" w:themeColor="background1" w:themeShade="BF"/>
            </w:tcBorders>
            <w:vAlign w:val="center"/>
          </w:tcPr>
          <w:p w14:paraId="71C2F62B"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[+0.082, +0.306]</w:t>
            </w:r>
          </w:p>
        </w:tc>
        <w:tc>
          <w:tcPr>
            <w:tcW w:w="810" w:type="pct"/>
            <w:tcBorders>
              <w:bottom w:val="single" w:sz="4" w:space="0" w:color="BFBFBF" w:themeColor="background1" w:themeShade="BF"/>
            </w:tcBorders>
            <w:vAlign w:val="center"/>
          </w:tcPr>
          <w:p w14:paraId="5F6AD25F"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direct</w:t>
            </w:r>
          </w:p>
        </w:tc>
        <w:tc>
          <w:tcPr>
            <w:tcW w:w="524" w:type="pct"/>
            <w:tcBorders>
              <w:bottom w:val="single" w:sz="4" w:space="0" w:color="BFBFBF" w:themeColor="background1" w:themeShade="BF"/>
            </w:tcBorders>
            <w:vAlign w:val="center"/>
          </w:tcPr>
          <w:p w14:paraId="20155F01"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r>
      <w:tr w:rsidR="004B2C8C" w:rsidRPr="004205E6" w14:paraId="6AF3898A" w14:textId="77777777" w:rsidTr="00F44497">
        <w:trPr>
          <w:trHeight w:val="397"/>
        </w:trPr>
        <w:tc>
          <w:tcPr>
            <w:tcW w:w="1667" w:type="pct"/>
            <w:tcBorders>
              <w:bottom w:val="single" w:sz="12" w:space="0" w:color="auto"/>
            </w:tcBorders>
            <w:vAlign w:val="center"/>
          </w:tcPr>
          <w:p w14:paraId="32F23382"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Voting+RF vs Rockall</w:t>
            </w:r>
          </w:p>
        </w:tc>
        <w:tc>
          <w:tcPr>
            <w:tcW w:w="714" w:type="pct"/>
            <w:tcBorders>
              <w:bottom w:val="single" w:sz="12" w:space="0" w:color="auto"/>
            </w:tcBorders>
            <w:vAlign w:val="center"/>
          </w:tcPr>
          <w:p w14:paraId="10AEC9C9"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+0.215</w:t>
            </w:r>
          </w:p>
        </w:tc>
        <w:tc>
          <w:tcPr>
            <w:tcW w:w="1286" w:type="pct"/>
            <w:tcBorders>
              <w:bottom w:val="single" w:sz="12" w:space="0" w:color="auto"/>
            </w:tcBorders>
            <w:vAlign w:val="center"/>
          </w:tcPr>
          <w:p w14:paraId="1C7FE968"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[+0.102, +0.328]</w:t>
            </w:r>
          </w:p>
        </w:tc>
        <w:tc>
          <w:tcPr>
            <w:tcW w:w="810" w:type="pct"/>
            <w:tcBorders>
              <w:bottom w:val="single" w:sz="12" w:space="0" w:color="auto"/>
            </w:tcBorders>
            <w:vAlign w:val="center"/>
          </w:tcPr>
          <w:p w14:paraId="7229F5E6"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direct</w:t>
            </w:r>
          </w:p>
        </w:tc>
        <w:tc>
          <w:tcPr>
            <w:tcW w:w="524" w:type="pct"/>
            <w:tcBorders>
              <w:bottom w:val="single" w:sz="12" w:space="0" w:color="auto"/>
            </w:tcBorders>
            <w:vAlign w:val="center"/>
          </w:tcPr>
          <w:p w14:paraId="4ECB5E75"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r>
    </w:tbl>
    <w:p w14:paraId="1BF06793" w14:textId="77777777" w:rsidR="004B2C8C" w:rsidRPr="004205E6" w:rsidRDefault="00000000">
      <w:pPr>
        <w:rPr>
          <w:rFonts w:ascii="Arial" w:hAnsi="Arial" w:cs="Arial"/>
          <w:color w:val="000000" w:themeColor="text1"/>
        </w:rPr>
      </w:pPr>
      <w:r w:rsidRPr="004205E6">
        <w:rPr>
          <w:rFonts w:ascii="Arial" w:hAnsi="Arial" w:cs="Arial"/>
          <w:color w:val="000000" w:themeColor="text1"/>
        </w:rPr>
        <w:br w:type="page"/>
      </w:r>
    </w:p>
    <w:p w14:paraId="70C2305E" w14:textId="77777777" w:rsidR="004B2C8C" w:rsidRPr="004205E6" w:rsidRDefault="00000000">
      <w:pPr>
        <w:pStyle w:val="2"/>
        <w:spacing w:before="280" w:after="140"/>
        <w:rPr>
          <w:rFonts w:ascii="Arial" w:hAnsi="Arial" w:cs="Arial"/>
          <w:color w:val="000000" w:themeColor="text1"/>
          <w:sz w:val="24"/>
          <w:szCs w:val="24"/>
        </w:rPr>
      </w:pPr>
      <w:r w:rsidRPr="004205E6">
        <w:rPr>
          <w:rFonts w:ascii="Arial" w:hAnsi="Arial" w:cs="Arial"/>
          <w:b/>
          <w:bCs/>
          <w:color w:val="000000" w:themeColor="text1"/>
          <w:sz w:val="24"/>
          <w:szCs w:val="24"/>
        </w:rPr>
        <w:lastRenderedPageBreak/>
        <w:t>Supplementary Table S3. Per-Comparison GRADE Certainty Assessment</w:t>
      </w:r>
    </w:p>
    <w:p w14:paraId="64C6684D" w14:textId="77777777" w:rsidR="004B2C8C" w:rsidRPr="004205E6" w:rsidRDefault="00000000">
      <w:pPr>
        <w:spacing w:before="80" w:after="80"/>
        <w:rPr>
          <w:rFonts w:ascii="Arial" w:hAnsi="Arial" w:cs="Arial"/>
          <w:color w:val="000000" w:themeColor="text1"/>
        </w:rPr>
      </w:pPr>
      <w:r w:rsidRPr="004205E6">
        <w:rPr>
          <w:rFonts w:ascii="Arial" w:hAnsi="Arial" w:cs="Arial"/>
          <w:color w:val="000000" w:themeColor="text1"/>
        </w:rPr>
        <w:t>Adapted CINeMA + GRADE-NMA + GRADE-DTA framework. Adapted for AUROC-difference contrasts; not formally validated. Downgrade columns: 0 = no downgrade; 1 = serious; 2 = very serious. Imprecision uses an extended 0–3 scale where 3 = extremely serious (95% CI crosses both zero and the pre-specified MCID anchor, ΔAUROC ±0.10). Total_DG = sum of downgrades; Certainty = final certainty rating from starting High.</w:t>
      </w:r>
    </w:p>
    <w:tbl>
      <w:tblPr>
        <w:tblStyle w:val="aa"/>
        <w:tblW w:w="5000" w:type="pct"/>
        <w:tblLook w:val="04A0" w:firstRow="1" w:lastRow="0" w:firstColumn="1" w:lastColumn="0" w:noHBand="0" w:noVBand="1"/>
      </w:tblPr>
      <w:tblGrid>
        <w:gridCol w:w="2691"/>
        <w:gridCol w:w="992"/>
        <w:gridCol w:w="2124"/>
        <w:gridCol w:w="708"/>
        <w:gridCol w:w="708"/>
        <w:gridCol w:w="2410"/>
        <w:gridCol w:w="1277"/>
        <w:gridCol w:w="4478"/>
      </w:tblGrid>
      <w:tr w:rsidR="004B2C8C" w:rsidRPr="004205E6" w14:paraId="1F51013E" w14:textId="77777777" w:rsidTr="00F44497">
        <w:trPr>
          <w:trHeight w:val="736"/>
        </w:trPr>
        <w:tc>
          <w:tcPr>
            <w:tcW w:w="874" w:type="pct"/>
            <w:tcBorders>
              <w:top w:val="single" w:sz="12" w:space="0" w:color="auto"/>
              <w:bottom w:val="single" w:sz="12" w:space="0" w:color="auto"/>
            </w:tcBorders>
            <w:vAlign w:val="center"/>
          </w:tcPr>
          <w:p w14:paraId="2A9C5061" w14:textId="77777777" w:rsidR="004B2C8C" w:rsidRPr="004205E6" w:rsidRDefault="00000000" w:rsidP="00F44497">
            <w:pPr>
              <w:jc w:val="both"/>
              <w:rPr>
                <w:rFonts w:ascii="Arial" w:hAnsi="Arial" w:cs="Arial"/>
                <w:color w:val="000000" w:themeColor="text1"/>
              </w:rPr>
            </w:pPr>
            <w:r w:rsidRPr="004205E6">
              <w:rPr>
                <w:rFonts w:ascii="Arial" w:hAnsi="Arial" w:cs="Arial"/>
                <w:b/>
                <w:bCs/>
                <w:color w:val="000000" w:themeColor="text1"/>
                <w:sz w:val="16"/>
                <w:szCs w:val="16"/>
              </w:rPr>
              <w:t>Comparison</w:t>
            </w:r>
          </w:p>
        </w:tc>
        <w:tc>
          <w:tcPr>
            <w:tcW w:w="322" w:type="pct"/>
            <w:tcBorders>
              <w:top w:val="single" w:sz="12" w:space="0" w:color="auto"/>
              <w:bottom w:val="single" w:sz="12" w:space="0" w:color="auto"/>
            </w:tcBorders>
            <w:vAlign w:val="center"/>
          </w:tcPr>
          <w:p w14:paraId="49C45D1F" w14:textId="77777777" w:rsidR="004B2C8C" w:rsidRPr="004205E6" w:rsidRDefault="00000000" w:rsidP="00F44497">
            <w:pPr>
              <w:jc w:val="both"/>
              <w:rPr>
                <w:rFonts w:ascii="Arial" w:hAnsi="Arial" w:cs="Arial"/>
                <w:color w:val="000000" w:themeColor="text1"/>
              </w:rPr>
            </w:pPr>
            <w:r w:rsidRPr="004205E6">
              <w:rPr>
                <w:rFonts w:ascii="Arial" w:hAnsi="Arial" w:cs="Arial"/>
                <w:b/>
                <w:bCs/>
                <w:color w:val="000000" w:themeColor="text1"/>
                <w:sz w:val="16"/>
                <w:szCs w:val="16"/>
              </w:rPr>
              <w:t>Scenario</w:t>
            </w:r>
          </w:p>
        </w:tc>
        <w:tc>
          <w:tcPr>
            <w:tcW w:w="690" w:type="pct"/>
            <w:tcBorders>
              <w:top w:val="single" w:sz="12" w:space="0" w:color="auto"/>
              <w:bottom w:val="single" w:sz="12" w:space="0" w:color="auto"/>
            </w:tcBorders>
            <w:vAlign w:val="center"/>
          </w:tcPr>
          <w:p w14:paraId="0D355DD5" w14:textId="77777777" w:rsidR="004B2C8C" w:rsidRPr="004205E6" w:rsidRDefault="00000000" w:rsidP="00F44497">
            <w:pPr>
              <w:jc w:val="both"/>
              <w:rPr>
                <w:rFonts w:ascii="Arial" w:hAnsi="Arial" w:cs="Arial"/>
                <w:color w:val="000000" w:themeColor="text1"/>
              </w:rPr>
            </w:pPr>
            <w:r w:rsidRPr="004205E6">
              <w:rPr>
                <w:rFonts w:ascii="Arial" w:hAnsi="Arial" w:cs="Arial"/>
                <w:b/>
                <w:bCs/>
                <w:color w:val="000000" w:themeColor="text1"/>
                <w:sz w:val="16"/>
                <w:szCs w:val="16"/>
              </w:rPr>
              <w:t>ΔAUROC (95% CI)</w:t>
            </w:r>
          </w:p>
        </w:tc>
        <w:tc>
          <w:tcPr>
            <w:tcW w:w="230" w:type="pct"/>
            <w:tcBorders>
              <w:top w:val="single" w:sz="12" w:space="0" w:color="auto"/>
              <w:bottom w:val="single" w:sz="12" w:space="0" w:color="auto"/>
            </w:tcBorders>
            <w:vAlign w:val="center"/>
          </w:tcPr>
          <w:p w14:paraId="535D799D" w14:textId="77777777" w:rsidR="004B2C8C" w:rsidRPr="004205E6" w:rsidRDefault="00000000" w:rsidP="00F44497">
            <w:pPr>
              <w:jc w:val="both"/>
              <w:rPr>
                <w:rFonts w:ascii="Arial" w:hAnsi="Arial" w:cs="Arial"/>
                <w:color w:val="000000" w:themeColor="text1"/>
              </w:rPr>
            </w:pPr>
            <w:r w:rsidRPr="004205E6">
              <w:rPr>
                <w:rFonts w:ascii="Arial" w:hAnsi="Arial" w:cs="Arial"/>
                <w:b/>
                <w:bCs/>
                <w:color w:val="000000" w:themeColor="text1"/>
                <w:sz w:val="16"/>
                <w:szCs w:val="16"/>
              </w:rPr>
              <w:t>I²</w:t>
            </w:r>
          </w:p>
        </w:tc>
        <w:tc>
          <w:tcPr>
            <w:tcW w:w="230" w:type="pct"/>
            <w:tcBorders>
              <w:top w:val="single" w:sz="12" w:space="0" w:color="auto"/>
              <w:bottom w:val="single" w:sz="12" w:space="0" w:color="auto"/>
            </w:tcBorders>
            <w:vAlign w:val="center"/>
          </w:tcPr>
          <w:p w14:paraId="440F4F95" w14:textId="77777777" w:rsidR="004B2C8C" w:rsidRPr="004205E6" w:rsidRDefault="00000000" w:rsidP="00F44497">
            <w:pPr>
              <w:jc w:val="both"/>
              <w:rPr>
                <w:rFonts w:ascii="Arial" w:hAnsi="Arial" w:cs="Arial"/>
                <w:color w:val="000000" w:themeColor="text1"/>
              </w:rPr>
            </w:pPr>
            <w:r w:rsidRPr="004205E6">
              <w:rPr>
                <w:rFonts w:ascii="Arial" w:hAnsi="Arial" w:cs="Arial"/>
                <w:b/>
                <w:bCs/>
                <w:color w:val="000000" w:themeColor="text1"/>
                <w:sz w:val="16"/>
                <w:szCs w:val="16"/>
              </w:rPr>
              <w:t>k</w:t>
            </w:r>
          </w:p>
        </w:tc>
        <w:tc>
          <w:tcPr>
            <w:tcW w:w="783" w:type="pct"/>
            <w:tcBorders>
              <w:top w:val="single" w:sz="12" w:space="0" w:color="auto"/>
              <w:bottom w:val="single" w:sz="12" w:space="0" w:color="auto"/>
            </w:tcBorders>
            <w:vAlign w:val="center"/>
          </w:tcPr>
          <w:p w14:paraId="1A6CCEEA" w14:textId="77777777" w:rsidR="00F44497" w:rsidRPr="004205E6" w:rsidRDefault="00000000" w:rsidP="00F44497">
            <w:pPr>
              <w:jc w:val="both"/>
              <w:rPr>
                <w:rFonts w:ascii="Arial" w:hAnsi="Arial" w:cs="Arial"/>
                <w:b/>
                <w:bCs/>
                <w:color w:val="000000" w:themeColor="text1"/>
                <w:sz w:val="16"/>
                <w:szCs w:val="16"/>
              </w:rPr>
            </w:pPr>
            <w:r w:rsidRPr="004205E6">
              <w:rPr>
                <w:rFonts w:ascii="Arial" w:hAnsi="Arial" w:cs="Arial"/>
                <w:b/>
                <w:bCs/>
                <w:color w:val="000000" w:themeColor="text1"/>
                <w:sz w:val="16"/>
                <w:szCs w:val="16"/>
              </w:rPr>
              <w:t xml:space="preserve">Downgrade summary </w:t>
            </w:r>
          </w:p>
          <w:p w14:paraId="5B4A9AEF" w14:textId="77777777" w:rsidR="004B2C8C" w:rsidRPr="004205E6" w:rsidRDefault="00000000" w:rsidP="00F44497">
            <w:pPr>
              <w:jc w:val="both"/>
              <w:rPr>
                <w:rFonts w:ascii="Arial" w:hAnsi="Arial" w:cs="Arial"/>
                <w:color w:val="000000" w:themeColor="text1"/>
              </w:rPr>
            </w:pPr>
            <w:r w:rsidRPr="004205E6">
              <w:rPr>
                <w:rFonts w:ascii="Arial" w:hAnsi="Arial" w:cs="Arial"/>
                <w:b/>
                <w:bCs/>
                <w:color w:val="000000" w:themeColor="text1"/>
                <w:sz w:val="16"/>
                <w:szCs w:val="16"/>
              </w:rPr>
              <w:t>(Bias / Rep / Ind / Imp / Het)</w:t>
            </w:r>
          </w:p>
        </w:tc>
        <w:tc>
          <w:tcPr>
            <w:tcW w:w="415" w:type="pct"/>
            <w:tcBorders>
              <w:top w:val="single" w:sz="12" w:space="0" w:color="auto"/>
              <w:bottom w:val="single" w:sz="12" w:space="0" w:color="auto"/>
            </w:tcBorders>
            <w:vAlign w:val="center"/>
          </w:tcPr>
          <w:p w14:paraId="582697F1" w14:textId="77777777" w:rsidR="004B2C8C" w:rsidRPr="004205E6" w:rsidRDefault="00000000" w:rsidP="00F44497">
            <w:pPr>
              <w:jc w:val="both"/>
              <w:rPr>
                <w:rFonts w:ascii="Arial" w:hAnsi="Arial" w:cs="Arial"/>
                <w:color w:val="000000" w:themeColor="text1"/>
              </w:rPr>
            </w:pPr>
            <w:r w:rsidRPr="004205E6">
              <w:rPr>
                <w:rFonts w:ascii="Arial" w:hAnsi="Arial" w:cs="Arial"/>
                <w:b/>
                <w:bCs/>
                <w:color w:val="000000" w:themeColor="text1"/>
                <w:sz w:val="16"/>
                <w:szCs w:val="16"/>
              </w:rPr>
              <w:t>Certainty</w:t>
            </w:r>
          </w:p>
        </w:tc>
        <w:tc>
          <w:tcPr>
            <w:tcW w:w="1455" w:type="pct"/>
            <w:tcBorders>
              <w:top w:val="single" w:sz="12" w:space="0" w:color="auto"/>
              <w:bottom w:val="single" w:sz="12" w:space="0" w:color="auto"/>
            </w:tcBorders>
            <w:vAlign w:val="center"/>
          </w:tcPr>
          <w:p w14:paraId="5B9FDF93" w14:textId="77777777" w:rsidR="004B2C8C" w:rsidRPr="004205E6" w:rsidRDefault="00000000" w:rsidP="00F44497">
            <w:pPr>
              <w:jc w:val="both"/>
              <w:rPr>
                <w:rFonts w:ascii="Arial" w:hAnsi="Arial" w:cs="Arial"/>
                <w:color w:val="000000" w:themeColor="text1"/>
              </w:rPr>
            </w:pPr>
            <w:r w:rsidRPr="004205E6">
              <w:rPr>
                <w:rFonts w:ascii="Arial" w:hAnsi="Arial" w:cs="Arial"/>
                <w:b/>
                <w:bCs/>
                <w:color w:val="000000" w:themeColor="text1"/>
                <w:sz w:val="16"/>
                <w:szCs w:val="16"/>
              </w:rPr>
              <w:t>Rationale</w:t>
            </w:r>
          </w:p>
        </w:tc>
      </w:tr>
      <w:tr w:rsidR="004B2C8C" w:rsidRPr="004205E6" w14:paraId="45B0AF9E" w14:textId="77777777" w:rsidTr="00F44497">
        <w:trPr>
          <w:trHeight w:val="736"/>
        </w:trPr>
        <w:tc>
          <w:tcPr>
            <w:tcW w:w="874" w:type="pct"/>
            <w:tcBorders>
              <w:top w:val="single" w:sz="12" w:space="0" w:color="auto"/>
            </w:tcBorders>
            <w:vAlign w:val="center"/>
          </w:tcPr>
          <w:p w14:paraId="01A95E26"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Tree-ensemble vs GBS</w:t>
            </w:r>
          </w:p>
        </w:tc>
        <w:tc>
          <w:tcPr>
            <w:tcW w:w="322" w:type="pct"/>
            <w:tcBorders>
              <w:top w:val="single" w:sz="12" w:space="0" w:color="auto"/>
            </w:tcBorders>
            <w:vAlign w:val="center"/>
          </w:tcPr>
          <w:p w14:paraId="598D9B3D"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S2</w:t>
            </w:r>
          </w:p>
        </w:tc>
        <w:tc>
          <w:tcPr>
            <w:tcW w:w="690" w:type="pct"/>
            <w:tcBorders>
              <w:top w:val="single" w:sz="12" w:space="0" w:color="auto"/>
            </w:tcBorders>
            <w:vAlign w:val="center"/>
          </w:tcPr>
          <w:p w14:paraId="28895F49"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+0.185 [-0.083, +0.453]</w:t>
            </w:r>
          </w:p>
        </w:tc>
        <w:tc>
          <w:tcPr>
            <w:tcW w:w="230" w:type="pct"/>
            <w:tcBorders>
              <w:top w:val="single" w:sz="12" w:space="0" w:color="auto"/>
            </w:tcBorders>
            <w:vAlign w:val="center"/>
          </w:tcPr>
          <w:p w14:paraId="39193695"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98%</w:t>
            </w:r>
          </w:p>
        </w:tc>
        <w:tc>
          <w:tcPr>
            <w:tcW w:w="230" w:type="pct"/>
            <w:tcBorders>
              <w:top w:val="single" w:sz="12" w:space="0" w:color="auto"/>
            </w:tcBorders>
            <w:vAlign w:val="center"/>
          </w:tcPr>
          <w:p w14:paraId="174FBB69"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3</w:t>
            </w:r>
          </w:p>
        </w:tc>
        <w:tc>
          <w:tcPr>
            <w:tcW w:w="783" w:type="pct"/>
            <w:tcBorders>
              <w:top w:val="single" w:sz="12" w:space="0" w:color="auto"/>
            </w:tcBorders>
            <w:vAlign w:val="center"/>
          </w:tcPr>
          <w:p w14:paraId="68D57758"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1/1/1/3/2</w:t>
            </w:r>
          </w:p>
        </w:tc>
        <w:tc>
          <w:tcPr>
            <w:tcW w:w="415" w:type="pct"/>
            <w:tcBorders>
              <w:top w:val="single" w:sz="12" w:space="0" w:color="auto"/>
            </w:tcBorders>
            <w:vAlign w:val="center"/>
          </w:tcPr>
          <w:p w14:paraId="605060C1"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Very Low</w:t>
            </w:r>
          </w:p>
        </w:tc>
        <w:tc>
          <w:tcPr>
            <w:tcW w:w="1455" w:type="pct"/>
            <w:tcBorders>
              <w:top w:val="single" w:sz="12" w:space="0" w:color="auto"/>
            </w:tcBorders>
            <w:vAlign w:val="center"/>
          </w:tcPr>
          <w:p w14:paraId="069CBAA3"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Mixed outcomes (mortality + hemostatic therapy via Nazarian); high heterogeneity; CI crosses zero and MCID</w:t>
            </w:r>
          </w:p>
        </w:tc>
      </w:tr>
      <w:tr w:rsidR="004B2C8C" w:rsidRPr="004205E6" w14:paraId="7CA5ED9B" w14:textId="77777777" w:rsidTr="00F44497">
        <w:trPr>
          <w:trHeight w:val="736"/>
        </w:trPr>
        <w:tc>
          <w:tcPr>
            <w:tcW w:w="874" w:type="pct"/>
            <w:vAlign w:val="center"/>
          </w:tcPr>
          <w:p w14:paraId="264E2747"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Tree-ensemble vs AIMS65</w:t>
            </w:r>
          </w:p>
        </w:tc>
        <w:tc>
          <w:tcPr>
            <w:tcW w:w="322" w:type="pct"/>
            <w:vAlign w:val="center"/>
          </w:tcPr>
          <w:p w14:paraId="1F459155"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S2</w:t>
            </w:r>
          </w:p>
        </w:tc>
        <w:tc>
          <w:tcPr>
            <w:tcW w:w="690" w:type="pct"/>
            <w:vAlign w:val="center"/>
          </w:tcPr>
          <w:p w14:paraId="4AE528BE"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+0.183 [+0.167, +0.199]</w:t>
            </w:r>
          </w:p>
        </w:tc>
        <w:tc>
          <w:tcPr>
            <w:tcW w:w="230" w:type="pct"/>
            <w:vAlign w:val="center"/>
          </w:tcPr>
          <w:p w14:paraId="5458EA12"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w:t>
            </w:r>
          </w:p>
        </w:tc>
        <w:tc>
          <w:tcPr>
            <w:tcW w:w="230" w:type="pct"/>
            <w:vAlign w:val="center"/>
          </w:tcPr>
          <w:p w14:paraId="7218A7B3"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c>
          <w:tcPr>
            <w:tcW w:w="783" w:type="pct"/>
            <w:vAlign w:val="center"/>
          </w:tcPr>
          <w:p w14:paraId="36E68533"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1/1/0/0/0</w:t>
            </w:r>
          </w:p>
        </w:tc>
        <w:tc>
          <w:tcPr>
            <w:tcW w:w="415" w:type="pct"/>
            <w:vAlign w:val="center"/>
          </w:tcPr>
          <w:p w14:paraId="4490C314"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Low</w:t>
            </w:r>
          </w:p>
        </w:tc>
        <w:tc>
          <w:tcPr>
            <w:tcW w:w="1455" w:type="pct"/>
            <w:vAlign w:val="center"/>
          </w:tcPr>
          <w:p w14:paraId="0098B009"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Single direct contrast (Lu); no observed heterogeneity; consistent direction</w:t>
            </w:r>
          </w:p>
        </w:tc>
      </w:tr>
      <w:tr w:rsidR="004B2C8C" w:rsidRPr="004205E6" w14:paraId="67AFD40F" w14:textId="77777777" w:rsidTr="00F44497">
        <w:trPr>
          <w:trHeight w:val="736"/>
        </w:trPr>
        <w:tc>
          <w:tcPr>
            <w:tcW w:w="874" w:type="pct"/>
            <w:vAlign w:val="center"/>
          </w:tcPr>
          <w:p w14:paraId="04995730"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Tree-ensemble vs Rockall</w:t>
            </w:r>
          </w:p>
        </w:tc>
        <w:tc>
          <w:tcPr>
            <w:tcW w:w="322" w:type="pct"/>
            <w:vAlign w:val="center"/>
          </w:tcPr>
          <w:p w14:paraId="09B27F78"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S2</w:t>
            </w:r>
          </w:p>
        </w:tc>
        <w:tc>
          <w:tcPr>
            <w:tcW w:w="690" w:type="pct"/>
            <w:vAlign w:val="center"/>
          </w:tcPr>
          <w:p w14:paraId="1FD0C675"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+0.241 [+0.153, +0.329]</w:t>
            </w:r>
          </w:p>
        </w:tc>
        <w:tc>
          <w:tcPr>
            <w:tcW w:w="230" w:type="pct"/>
            <w:vAlign w:val="center"/>
          </w:tcPr>
          <w:p w14:paraId="275A4242"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w:t>
            </w:r>
          </w:p>
        </w:tc>
        <w:tc>
          <w:tcPr>
            <w:tcW w:w="230" w:type="pct"/>
            <w:vAlign w:val="center"/>
          </w:tcPr>
          <w:p w14:paraId="4CACA9F4"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2</w:t>
            </w:r>
          </w:p>
        </w:tc>
        <w:tc>
          <w:tcPr>
            <w:tcW w:w="783" w:type="pct"/>
            <w:vAlign w:val="center"/>
          </w:tcPr>
          <w:p w14:paraId="1700D687"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1/1/0/0/0</w:t>
            </w:r>
          </w:p>
        </w:tc>
        <w:tc>
          <w:tcPr>
            <w:tcW w:w="415" w:type="pct"/>
            <w:vAlign w:val="center"/>
          </w:tcPr>
          <w:p w14:paraId="1632A734"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Low</w:t>
            </w:r>
          </w:p>
        </w:tc>
        <w:tc>
          <w:tcPr>
            <w:tcW w:w="1455" w:type="pct"/>
            <w:vAlign w:val="center"/>
          </w:tcPr>
          <w:p w14:paraId="3045252C"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Two direct contrasts (Lu, Boros); no observed heterogeneity; consistent direction</w:t>
            </w:r>
          </w:p>
        </w:tc>
      </w:tr>
      <w:tr w:rsidR="004B2C8C" w:rsidRPr="004205E6" w14:paraId="01265441" w14:textId="77777777" w:rsidTr="00F44497">
        <w:trPr>
          <w:trHeight w:val="736"/>
        </w:trPr>
        <w:tc>
          <w:tcPr>
            <w:tcW w:w="874" w:type="pct"/>
            <w:vAlign w:val="center"/>
          </w:tcPr>
          <w:p w14:paraId="5F6743CD"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Tree-ensemble vs ABC</w:t>
            </w:r>
          </w:p>
        </w:tc>
        <w:tc>
          <w:tcPr>
            <w:tcW w:w="322" w:type="pct"/>
            <w:vAlign w:val="center"/>
          </w:tcPr>
          <w:p w14:paraId="17A0EF15"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S2</w:t>
            </w:r>
          </w:p>
        </w:tc>
        <w:tc>
          <w:tcPr>
            <w:tcW w:w="690" w:type="pct"/>
            <w:vAlign w:val="center"/>
          </w:tcPr>
          <w:p w14:paraId="1400C9C7"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+0.070 [+0.024, +0.116]</w:t>
            </w:r>
          </w:p>
        </w:tc>
        <w:tc>
          <w:tcPr>
            <w:tcW w:w="230" w:type="pct"/>
            <w:vAlign w:val="center"/>
          </w:tcPr>
          <w:p w14:paraId="7D49A644"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w:t>
            </w:r>
          </w:p>
        </w:tc>
        <w:tc>
          <w:tcPr>
            <w:tcW w:w="230" w:type="pct"/>
            <w:vAlign w:val="center"/>
          </w:tcPr>
          <w:p w14:paraId="0D7C69C7"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c>
          <w:tcPr>
            <w:tcW w:w="783" w:type="pct"/>
            <w:vAlign w:val="center"/>
          </w:tcPr>
          <w:p w14:paraId="78F2C07F"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1/1/0/2/0</w:t>
            </w:r>
          </w:p>
        </w:tc>
        <w:tc>
          <w:tcPr>
            <w:tcW w:w="415" w:type="pct"/>
            <w:vAlign w:val="center"/>
          </w:tcPr>
          <w:p w14:paraId="13CFB3BD"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Very Low</w:t>
            </w:r>
          </w:p>
        </w:tc>
        <w:tc>
          <w:tcPr>
            <w:tcW w:w="1455" w:type="pct"/>
            <w:vAlign w:val="center"/>
          </w:tcPr>
          <w:p w14:paraId="222F06D8"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Single direct Tree-ensemble vs ABC contrast; ABC was used as a contextual node in the expanded ranking set; CI near MCID threshold</w:t>
            </w:r>
          </w:p>
        </w:tc>
      </w:tr>
      <w:tr w:rsidR="004B2C8C" w:rsidRPr="004205E6" w14:paraId="7E03F432" w14:textId="77777777" w:rsidTr="00F44497">
        <w:trPr>
          <w:trHeight w:val="736"/>
        </w:trPr>
        <w:tc>
          <w:tcPr>
            <w:tcW w:w="874" w:type="pct"/>
            <w:vAlign w:val="center"/>
          </w:tcPr>
          <w:p w14:paraId="367AF58A"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ANN vs AIMS65</w:t>
            </w:r>
          </w:p>
        </w:tc>
        <w:tc>
          <w:tcPr>
            <w:tcW w:w="322" w:type="pct"/>
            <w:vAlign w:val="center"/>
          </w:tcPr>
          <w:p w14:paraId="262A8441"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S2</w:t>
            </w:r>
          </w:p>
        </w:tc>
        <w:tc>
          <w:tcPr>
            <w:tcW w:w="690" w:type="pct"/>
            <w:vAlign w:val="center"/>
          </w:tcPr>
          <w:p w14:paraId="48207DBE"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+0.270 [+0.233, +0.307]</w:t>
            </w:r>
          </w:p>
        </w:tc>
        <w:tc>
          <w:tcPr>
            <w:tcW w:w="230" w:type="pct"/>
            <w:vAlign w:val="center"/>
          </w:tcPr>
          <w:p w14:paraId="2184AA7B"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w:t>
            </w:r>
          </w:p>
        </w:tc>
        <w:tc>
          <w:tcPr>
            <w:tcW w:w="230" w:type="pct"/>
            <w:vAlign w:val="center"/>
          </w:tcPr>
          <w:p w14:paraId="798CFCF5"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c>
          <w:tcPr>
            <w:tcW w:w="783" w:type="pct"/>
            <w:vAlign w:val="center"/>
          </w:tcPr>
          <w:p w14:paraId="30D13FC3"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1/1/0/0/0</w:t>
            </w:r>
          </w:p>
        </w:tc>
        <w:tc>
          <w:tcPr>
            <w:tcW w:w="415" w:type="pct"/>
            <w:vAlign w:val="center"/>
          </w:tcPr>
          <w:p w14:paraId="6687DFF3"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Low</w:t>
            </w:r>
          </w:p>
        </w:tc>
        <w:tc>
          <w:tcPr>
            <w:tcW w:w="1455" w:type="pct"/>
            <w:vAlign w:val="center"/>
          </w:tcPr>
          <w:p w14:paraId="05A74B64"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Single direct contrast (Rotondano historical ANN anchor); CI entirely above MCID 0.10 anchor; consistent direction</w:t>
            </w:r>
          </w:p>
        </w:tc>
      </w:tr>
      <w:tr w:rsidR="004B2C8C" w:rsidRPr="004205E6" w14:paraId="6E33DBA4" w14:textId="77777777" w:rsidTr="00F44497">
        <w:trPr>
          <w:trHeight w:val="736"/>
        </w:trPr>
        <w:tc>
          <w:tcPr>
            <w:tcW w:w="874" w:type="pct"/>
            <w:vAlign w:val="center"/>
          </w:tcPr>
          <w:p w14:paraId="78BC1D31"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ANN vs Rockall</w:t>
            </w:r>
          </w:p>
        </w:tc>
        <w:tc>
          <w:tcPr>
            <w:tcW w:w="322" w:type="pct"/>
            <w:vAlign w:val="center"/>
          </w:tcPr>
          <w:p w14:paraId="63B8EAE4"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S2</w:t>
            </w:r>
          </w:p>
        </w:tc>
        <w:tc>
          <w:tcPr>
            <w:tcW w:w="690" w:type="pct"/>
            <w:vAlign w:val="center"/>
          </w:tcPr>
          <w:p w14:paraId="4818240A"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+0.170 [+0.107, +0.233]</w:t>
            </w:r>
          </w:p>
        </w:tc>
        <w:tc>
          <w:tcPr>
            <w:tcW w:w="230" w:type="pct"/>
            <w:vAlign w:val="center"/>
          </w:tcPr>
          <w:p w14:paraId="612B6D18"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w:t>
            </w:r>
          </w:p>
        </w:tc>
        <w:tc>
          <w:tcPr>
            <w:tcW w:w="230" w:type="pct"/>
            <w:vAlign w:val="center"/>
          </w:tcPr>
          <w:p w14:paraId="5A052D46"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c>
          <w:tcPr>
            <w:tcW w:w="783" w:type="pct"/>
            <w:vAlign w:val="center"/>
          </w:tcPr>
          <w:p w14:paraId="13A6C46D"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1/1/0/0/0</w:t>
            </w:r>
          </w:p>
        </w:tc>
        <w:tc>
          <w:tcPr>
            <w:tcW w:w="415" w:type="pct"/>
            <w:vAlign w:val="center"/>
          </w:tcPr>
          <w:p w14:paraId="7FCA55F2"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Low</w:t>
            </w:r>
          </w:p>
        </w:tc>
        <w:tc>
          <w:tcPr>
            <w:tcW w:w="1455" w:type="pct"/>
            <w:vAlign w:val="center"/>
          </w:tcPr>
          <w:p w14:paraId="105028A4"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Single direct contrast (Das 2008 historical ANN anchor); CI entirely above MCID 0.10 anchor</w:t>
            </w:r>
          </w:p>
        </w:tc>
      </w:tr>
      <w:tr w:rsidR="004B2C8C" w:rsidRPr="004205E6" w14:paraId="33731F99" w14:textId="77777777" w:rsidTr="00F44497">
        <w:trPr>
          <w:trHeight w:val="736"/>
        </w:trPr>
        <w:tc>
          <w:tcPr>
            <w:tcW w:w="874" w:type="pct"/>
            <w:vAlign w:val="center"/>
          </w:tcPr>
          <w:p w14:paraId="567E0808"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Voting+RF vs GBS</w:t>
            </w:r>
          </w:p>
        </w:tc>
        <w:tc>
          <w:tcPr>
            <w:tcW w:w="322" w:type="pct"/>
            <w:vAlign w:val="center"/>
          </w:tcPr>
          <w:p w14:paraId="3C06F2A6"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S2</w:t>
            </w:r>
          </w:p>
        </w:tc>
        <w:tc>
          <w:tcPr>
            <w:tcW w:w="690" w:type="pct"/>
            <w:vAlign w:val="center"/>
          </w:tcPr>
          <w:p w14:paraId="719798AD"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+0.194 [+0.082, +0.306]</w:t>
            </w:r>
          </w:p>
        </w:tc>
        <w:tc>
          <w:tcPr>
            <w:tcW w:w="230" w:type="pct"/>
            <w:vAlign w:val="center"/>
          </w:tcPr>
          <w:p w14:paraId="5FC924E6"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w:t>
            </w:r>
          </w:p>
        </w:tc>
        <w:tc>
          <w:tcPr>
            <w:tcW w:w="230" w:type="pct"/>
            <w:vAlign w:val="center"/>
          </w:tcPr>
          <w:p w14:paraId="429975BA"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c>
          <w:tcPr>
            <w:tcW w:w="783" w:type="pct"/>
            <w:vAlign w:val="center"/>
          </w:tcPr>
          <w:p w14:paraId="1446492C"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1/1/0/1/0</w:t>
            </w:r>
          </w:p>
        </w:tc>
        <w:tc>
          <w:tcPr>
            <w:tcW w:w="415" w:type="pct"/>
            <w:vAlign w:val="center"/>
          </w:tcPr>
          <w:p w14:paraId="6771E656"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Very Low</w:t>
            </w:r>
          </w:p>
        </w:tc>
        <w:tc>
          <w:tcPr>
            <w:tcW w:w="1455" w:type="pct"/>
            <w:vAlign w:val="center"/>
          </w:tcPr>
          <w:p w14:paraId="179E6AC7"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Single study (Seo); CI extends below MCID 0.10 anchor (lower bound +0.082); serious imprecision</w:t>
            </w:r>
          </w:p>
        </w:tc>
      </w:tr>
      <w:tr w:rsidR="004B2C8C" w:rsidRPr="004205E6" w14:paraId="35123E9F" w14:textId="77777777" w:rsidTr="00F44497">
        <w:trPr>
          <w:trHeight w:val="736"/>
        </w:trPr>
        <w:tc>
          <w:tcPr>
            <w:tcW w:w="874" w:type="pct"/>
            <w:vAlign w:val="center"/>
          </w:tcPr>
          <w:p w14:paraId="628FF91C"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Voting+RF vs Rockall</w:t>
            </w:r>
          </w:p>
        </w:tc>
        <w:tc>
          <w:tcPr>
            <w:tcW w:w="322" w:type="pct"/>
            <w:vAlign w:val="center"/>
          </w:tcPr>
          <w:p w14:paraId="4854A0C8"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S2</w:t>
            </w:r>
          </w:p>
        </w:tc>
        <w:tc>
          <w:tcPr>
            <w:tcW w:w="690" w:type="pct"/>
            <w:vAlign w:val="center"/>
          </w:tcPr>
          <w:p w14:paraId="71A8EAED"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+0.215 [+0.102, +0.328]</w:t>
            </w:r>
          </w:p>
        </w:tc>
        <w:tc>
          <w:tcPr>
            <w:tcW w:w="230" w:type="pct"/>
            <w:vAlign w:val="center"/>
          </w:tcPr>
          <w:p w14:paraId="784970DE"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w:t>
            </w:r>
          </w:p>
        </w:tc>
        <w:tc>
          <w:tcPr>
            <w:tcW w:w="230" w:type="pct"/>
            <w:vAlign w:val="center"/>
          </w:tcPr>
          <w:p w14:paraId="347BEEB5"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c>
          <w:tcPr>
            <w:tcW w:w="783" w:type="pct"/>
            <w:vAlign w:val="center"/>
          </w:tcPr>
          <w:p w14:paraId="11816B8D"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1/1/0/0/0</w:t>
            </w:r>
          </w:p>
        </w:tc>
        <w:tc>
          <w:tcPr>
            <w:tcW w:w="415" w:type="pct"/>
            <w:vAlign w:val="center"/>
          </w:tcPr>
          <w:p w14:paraId="2D07B2E0"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Low</w:t>
            </w:r>
          </w:p>
        </w:tc>
        <w:tc>
          <w:tcPr>
            <w:tcW w:w="1455" w:type="pct"/>
            <w:vAlign w:val="center"/>
          </w:tcPr>
          <w:p w14:paraId="1B660D20"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Single direct contrast (Seo); CI entirely above MCID anchor</w:t>
            </w:r>
          </w:p>
        </w:tc>
      </w:tr>
      <w:tr w:rsidR="004B2C8C" w:rsidRPr="004205E6" w14:paraId="5FA3A6BB" w14:textId="77777777" w:rsidTr="00F44497">
        <w:trPr>
          <w:trHeight w:val="736"/>
        </w:trPr>
        <w:tc>
          <w:tcPr>
            <w:tcW w:w="874" w:type="pct"/>
            <w:vAlign w:val="center"/>
          </w:tcPr>
          <w:p w14:paraId="17F923DE"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ML EHR-based vs GBS</w:t>
            </w:r>
          </w:p>
        </w:tc>
        <w:tc>
          <w:tcPr>
            <w:tcW w:w="322" w:type="pct"/>
            <w:vAlign w:val="center"/>
          </w:tcPr>
          <w:p w14:paraId="4BE1C7C6"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S2</w:t>
            </w:r>
          </w:p>
        </w:tc>
        <w:tc>
          <w:tcPr>
            <w:tcW w:w="690" w:type="pct"/>
            <w:vAlign w:val="center"/>
          </w:tcPr>
          <w:p w14:paraId="2FB9E5C0"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+0.030 [+0.013, +0.047]</w:t>
            </w:r>
          </w:p>
        </w:tc>
        <w:tc>
          <w:tcPr>
            <w:tcW w:w="230" w:type="pct"/>
            <w:vAlign w:val="center"/>
          </w:tcPr>
          <w:p w14:paraId="09AFC308"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w:t>
            </w:r>
          </w:p>
        </w:tc>
        <w:tc>
          <w:tcPr>
            <w:tcW w:w="230" w:type="pct"/>
            <w:vAlign w:val="center"/>
          </w:tcPr>
          <w:p w14:paraId="36D9B9F0"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c>
          <w:tcPr>
            <w:tcW w:w="783" w:type="pct"/>
            <w:vAlign w:val="center"/>
          </w:tcPr>
          <w:p w14:paraId="59BEF039"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1/1/1/2/0</w:t>
            </w:r>
          </w:p>
        </w:tc>
        <w:tc>
          <w:tcPr>
            <w:tcW w:w="415" w:type="pct"/>
            <w:vAlign w:val="center"/>
          </w:tcPr>
          <w:p w14:paraId="0D1291DA"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Very Low</w:t>
            </w:r>
          </w:p>
        </w:tc>
        <w:tc>
          <w:tcPr>
            <w:tcW w:w="1455" w:type="pct"/>
            <w:vAlign w:val="center"/>
          </w:tcPr>
          <w:p w14:paraId="1C721530"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Single external validation study (Shung); composite outcome indirectness; small ΔAUROC below MCID</w:t>
            </w:r>
          </w:p>
        </w:tc>
      </w:tr>
      <w:tr w:rsidR="004B2C8C" w:rsidRPr="004205E6" w14:paraId="2704A7D0" w14:textId="77777777" w:rsidTr="00F44497">
        <w:trPr>
          <w:trHeight w:val="736"/>
        </w:trPr>
        <w:tc>
          <w:tcPr>
            <w:tcW w:w="874" w:type="pct"/>
            <w:vAlign w:val="center"/>
          </w:tcPr>
          <w:p w14:paraId="24403B09"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lastRenderedPageBreak/>
              <w:t>Multi-ML vs GBS</w:t>
            </w:r>
          </w:p>
        </w:tc>
        <w:tc>
          <w:tcPr>
            <w:tcW w:w="322" w:type="pct"/>
            <w:vAlign w:val="center"/>
          </w:tcPr>
          <w:p w14:paraId="4F259FB6"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S2</w:t>
            </w:r>
          </w:p>
        </w:tc>
        <w:tc>
          <w:tcPr>
            <w:tcW w:w="690" w:type="pct"/>
            <w:vAlign w:val="center"/>
          </w:tcPr>
          <w:p w14:paraId="716CE1FB"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+0.130 [+0.108, +0.152]</w:t>
            </w:r>
          </w:p>
        </w:tc>
        <w:tc>
          <w:tcPr>
            <w:tcW w:w="230" w:type="pct"/>
            <w:vAlign w:val="center"/>
          </w:tcPr>
          <w:p w14:paraId="7926445B"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w:t>
            </w:r>
          </w:p>
        </w:tc>
        <w:tc>
          <w:tcPr>
            <w:tcW w:w="230" w:type="pct"/>
            <w:vAlign w:val="center"/>
          </w:tcPr>
          <w:p w14:paraId="4C193FBC"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c>
          <w:tcPr>
            <w:tcW w:w="783" w:type="pct"/>
            <w:vAlign w:val="center"/>
          </w:tcPr>
          <w:p w14:paraId="7FAEDFB1"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1/1/1/0/0</w:t>
            </w:r>
          </w:p>
        </w:tc>
        <w:tc>
          <w:tcPr>
            <w:tcW w:w="415" w:type="pct"/>
            <w:vAlign w:val="center"/>
          </w:tcPr>
          <w:p w14:paraId="72C885AE"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Low</w:t>
            </w:r>
          </w:p>
        </w:tc>
        <w:tc>
          <w:tcPr>
            <w:tcW w:w="1455" w:type="pct"/>
            <w:vAlign w:val="center"/>
          </w:tcPr>
          <w:p w14:paraId="11BD5222"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Single study (Raghareutai); endoscopic intervention outcome indirectness; CI narrowly above MCID 0.10 anchor (lower bound +0.108), but endpoint indirectness limits interpretation</w:t>
            </w:r>
          </w:p>
        </w:tc>
      </w:tr>
      <w:tr w:rsidR="004B2C8C" w:rsidRPr="004205E6" w14:paraId="1091CF73" w14:textId="77777777" w:rsidTr="00F44497">
        <w:trPr>
          <w:trHeight w:val="736"/>
        </w:trPr>
        <w:tc>
          <w:tcPr>
            <w:tcW w:w="874" w:type="pct"/>
            <w:tcBorders>
              <w:bottom w:val="single" w:sz="4" w:space="0" w:color="BFBFBF" w:themeColor="background1" w:themeShade="BF"/>
            </w:tcBorders>
            <w:vAlign w:val="center"/>
          </w:tcPr>
          <w:p w14:paraId="78A698A5"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Cluster-ML vs GBS</w:t>
            </w:r>
          </w:p>
        </w:tc>
        <w:tc>
          <w:tcPr>
            <w:tcW w:w="322" w:type="pct"/>
            <w:tcBorders>
              <w:bottom w:val="single" w:sz="4" w:space="0" w:color="BFBFBF" w:themeColor="background1" w:themeShade="BF"/>
            </w:tcBorders>
            <w:vAlign w:val="center"/>
          </w:tcPr>
          <w:p w14:paraId="2A3AFA16"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S2</w:t>
            </w:r>
          </w:p>
        </w:tc>
        <w:tc>
          <w:tcPr>
            <w:tcW w:w="690" w:type="pct"/>
            <w:tcBorders>
              <w:bottom w:val="single" w:sz="4" w:space="0" w:color="BFBFBF" w:themeColor="background1" w:themeShade="BF"/>
            </w:tcBorders>
            <w:vAlign w:val="center"/>
          </w:tcPr>
          <w:p w14:paraId="3398F97B"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+0.142 [+0.129, +0.155]</w:t>
            </w:r>
          </w:p>
        </w:tc>
        <w:tc>
          <w:tcPr>
            <w:tcW w:w="230" w:type="pct"/>
            <w:tcBorders>
              <w:bottom w:val="single" w:sz="4" w:space="0" w:color="BFBFBF" w:themeColor="background1" w:themeShade="BF"/>
            </w:tcBorders>
            <w:vAlign w:val="center"/>
          </w:tcPr>
          <w:p w14:paraId="0EA7B535"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w:t>
            </w:r>
          </w:p>
        </w:tc>
        <w:tc>
          <w:tcPr>
            <w:tcW w:w="230" w:type="pct"/>
            <w:tcBorders>
              <w:bottom w:val="single" w:sz="4" w:space="0" w:color="BFBFBF" w:themeColor="background1" w:themeShade="BF"/>
            </w:tcBorders>
            <w:vAlign w:val="center"/>
          </w:tcPr>
          <w:p w14:paraId="52DF7DB5"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c>
          <w:tcPr>
            <w:tcW w:w="783" w:type="pct"/>
            <w:tcBorders>
              <w:bottom w:val="single" w:sz="4" w:space="0" w:color="BFBFBF" w:themeColor="background1" w:themeShade="BF"/>
            </w:tcBorders>
            <w:vAlign w:val="center"/>
          </w:tcPr>
          <w:p w14:paraId="62E65F38"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1/1/0/0/0</w:t>
            </w:r>
          </w:p>
        </w:tc>
        <w:tc>
          <w:tcPr>
            <w:tcW w:w="415" w:type="pct"/>
            <w:tcBorders>
              <w:bottom w:val="single" w:sz="4" w:space="0" w:color="BFBFBF" w:themeColor="background1" w:themeShade="BF"/>
            </w:tcBorders>
            <w:vAlign w:val="center"/>
          </w:tcPr>
          <w:p w14:paraId="3ADFD8B6"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Low</w:t>
            </w:r>
          </w:p>
        </w:tc>
        <w:tc>
          <w:tcPr>
            <w:tcW w:w="1455" w:type="pct"/>
            <w:tcBorders>
              <w:bottom w:val="single" w:sz="4" w:space="0" w:color="BFBFBF" w:themeColor="background1" w:themeShade="BF"/>
            </w:tcBorders>
            <w:vAlign w:val="center"/>
          </w:tcPr>
          <w:p w14:paraId="38899123"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Single direct contrast (Alomari); CI entirely above MCID anchor</w:t>
            </w:r>
          </w:p>
        </w:tc>
      </w:tr>
      <w:tr w:rsidR="004B2C8C" w:rsidRPr="004205E6" w14:paraId="7D9FB2FB" w14:textId="77777777" w:rsidTr="00F44497">
        <w:trPr>
          <w:trHeight w:val="736"/>
        </w:trPr>
        <w:tc>
          <w:tcPr>
            <w:tcW w:w="874" w:type="pct"/>
            <w:tcBorders>
              <w:bottom w:val="single" w:sz="12" w:space="0" w:color="auto"/>
            </w:tcBorders>
            <w:vAlign w:val="center"/>
          </w:tcPr>
          <w:p w14:paraId="44D01930"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Cluster-ML vs AIMS65</w:t>
            </w:r>
          </w:p>
        </w:tc>
        <w:tc>
          <w:tcPr>
            <w:tcW w:w="322" w:type="pct"/>
            <w:tcBorders>
              <w:bottom w:val="single" w:sz="12" w:space="0" w:color="auto"/>
            </w:tcBorders>
            <w:vAlign w:val="center"/>
          </w:tcPr>
          <w:p w14:paraId="7E6318EE"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S2</w:t>
            </w:r>
          </w:p>
        </w:tc>
        <w:tc>
          <w:tcPr>
            <w:tcW w:w="690" w:type="pct"/>
            <w:tcBorders>
              <w:bottom w:val="single" w:sz="12" w:space="0" w:color="auto"/>
            </w:tcBorders>
            <w:vAlign w:val="center"/>
          </w:tcPr>
          <w:p w14:paraId="3AC06224"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+0.162 [+0.149, +0.175]</w:t>
            </w:r>
          </w:p>
        </w:tc>
        <w:tc>
          <w:tcPr>
            <w:tcW w:w="230" w:type="pct"/>
            <w:tcBorders>
              <w:bottom w:val="single" w:sz="12" w:space="0" w:color="auto"/>
            </w:tcBorders>
            <w:vAlign w:val="center"/>
          </w:tcPr>
          <w:p w14:paraId="0181C657"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0%</w:t>
            </w:r>
          </w:p>
        </w:tc>
        <w:tc>
          <w:tcPr>
            <w:tcW w:w="230" w:type="pct"/>
            <w:tcBorders>
              <w:bottom w:val="single" w:sz="12" w:space="0" w:color="auto"/>
            </w:tcBorders>
            <w:vAlign w:val="center"/>
          </w:tcPr>
          <w:p w14:paraId="6AA2A11D"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w:t>
            </w:r>
          </w:p>
        </w:tc>
        <w:tc>
          <w:tcPr>
            <w:tcW w:w="783" w:type="pct"/>
            <w:tcBorders>
              <w:bottom w:val="single" w:sz="12" w:space="0" w:color="auto"/>
            </w:tcBorders>
            <w:vAlign w:val="center"/>
          </w:tcPr>
          <w:p w14:paraId="7C0BC780"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1/1/0/0/0</w:t>
            </w:r>
          </w:p>
        </w:tc>
        <w:tc>
          <w:tcPr>
            <w:tcW w:w="415" w:type="pct"/>
            <w:tcBorders>
              <w:bottom w:val="single" w:sz="12" w:space="0" w:color="auto"/>
            </w:tcBorders>
            <w:vAlign w:val="center"/>
          </w:tcPr>
          <w:p w14:paraId="6AF1695E"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Low</w:t>
            </w:r>
          </w:p>
        </w:tc>
        <w:tc>
          <w:tcPr>
            <w:tcW w:w="1455" w:type="pct"/>
            <w:tcBorders>
              <w:bottom w:val="single" w:sz="12" w:space="0" w:color="auto"/>
            </w:tcBorders>
            <w:vAlign w:val="center"/>
          </w:tcPr>
          <w:p w14:paraId="4A641C55" w14:textId="77777777" w:rsidR="004B2C8C" w:rsidRPr="004205E6" w:rsidRDefault="00000000" w:rsidP="00F44497">
            <w:pPr>
              <w:jc w:val="both"/>
              <w:rPr>
                <w:rFonts w:ascii="Arial" w:hAnsi="Arial" w:cs="Arial"/>
                <w:color w:val="000000" w:themeColor="text1"/>
              </w:rPr>
            </w:pPr>
            <w:r w:rsidRPr="004205E6">
              <w:rPr>
                <w:rFonts w:ascii="Arial" w:hAnsi="Arial" w:cs="Arial"/>
                <w:color w:val="000000" w:themeColor="text1"/>
                <w:sz w:val="16"/>
                <w:szCs w:val="16"/>
              </w:rPr>
              <w:t>Single direct contrast (Alomari); CI entirely above MCID anchor</w:t>
            </w:r>
          </w:p>
        </w:tc>
      </w:tr>
    </w:tbl>
    <w:p w14:paraId="72A239AC" w14:textId="77777777" w:rsidR="004B2C8C" w:rsidRPr="004205E6" w:rsidRDefault="00000000">
      <w:pPr>
        <w:spacing w:before="80" w:after="80"/>
        <w:rPr>
          <w:rFonts w:ascii="Arial" w:hAnsi="Arial" w:cs="Arial"/>
          <w:color w:val="000000" w:themeColor="text1"/>
        </w:rPr>
      </w:pPr>
      <w:r w:rsidRPr="004205E6">
        <w:rPr>
          <w:rFonts w:ascii="Arial" w:hAnsi="Arial" w:cs="Arial"/>
          <w:i/>
          <w:iCs/>
          <w:color w:val="000000" w:themeColor="text1"/>
          <w:sz w:val="14"/>
          <w:szCs w:val="14"/>
        </w:rPr>
        <w:t>Downgrade summary column reports the per-domain downgrade level for: Bias (within-study risk of bias, PROBAST), Reporting (TRIPOD+AI completeness and selective-reporting concerns), Indirectness, Imprecision, and Heterogeneity. Each domain uses a 0–2 scale (0 = no downgrade; 1 = serious; 2 = very serious); Imprecision uses an extended 0–3 scale where 3 = extremely serious (95% CI crosses both zero and the pre-specified MCID anchor of ΔAUROC ±0.10).</w:t>
      </w:r>
    </w:p>
    <w:p w14:paraId="548B6A4D" w14:textId="77777777" w:rsidR="004B2C8C" w:rsidRPr="004205E6" w:rsidRDefault="00000000">
      <w:pPr>
        <w:rPr>
          <w:rFonts w:ascii="Arial" w:hAnsi="Arial" w:cs="Arial"/>
          <w:color w:val="000000" w:themeColor="text1"/>
        </w:rPr>
      </w:pPr>
      <w:r w:rsidRPr="004205E6">
        <w:rPr>
          <w:rFonts w:ascii="Arial" w:hAnsi="Arial" w:cs="Arial"/>
          <w:color w:val="000000" w:themeColor="text1"/>
        </w:rPr>
        <w:br w:type="page"/>
      </w:r>
    </w:p>
    <w:p w14:paraId="0379FEB1" w14:textId="77777777" w:rsidR="004B2C8C" w:rsidRPr="004205E6" w:rsidRDefault="00000000">
      <w:pPr>
        <w:pStyle w:val="2"/>
        <w:spacing w:before="280" w:after="140"/>
        <w:rPr>
          <w:rFonts w:ascii="Arial" w:hAnsi="Arial" w:cs="Arial"/>
          <w:color w:val="000000" w:themeColor="text1"/>
          <w:sz w:val="24"/>
          <w:szCs w:val="24"/>
        </w:rPr>
      </w:pPr>
      <w:r w:rsidRPr="004205E6">
        <w:rPr>
          <w:rFonts w:ascii="Arial" w:hAnsi="Arial" w:cs="Arial"/>
          <w:b/>
          <w:bCs/>
          <w:color w:val="000000" w:themeColor="text1"/>
          <w:sz w:val="24"/>
          <w:szCs w:val="24"/>
        </w:rPr>
        <w:lastRenderedPageBreak/>
        <w:t>Supplementary Figure S1. GRADE Certainty Domain Heatmap</w:t>
      </w:r>
    </w:p>
    <w:p w14:paraId="7A2C834C" w14:textId="77777777" w:rsidR="004B2C8C" w:rsidRPr="004205E6" w:rsidRDefault="00000000">
      <w:pPr>
        <w:jc w:val="center"/>
        <w:rPr>
          <w:rFonts w:ascii="Arial" w:hAnsi="Arial" w:cs="Arial"/>
          <w:color w:val="000000" w:themeColor="text1"/>
        </w:rPr>
      </w:pPr>
      <w:r w:rsidRPr="004205E6">
        <w:rPr>
          <w:rFonts w:ascii="Arial" w:hAnsi="Arial" w:cs="Arial"/>
          <w:noProof/>
          <w:color w:val="000000" w:themeColor="text1"/>
        </w:rPr>
        <w:drawing>
          <wp:inline distT="0" distB="0" distL="0" distR="0" wp14:anchorId="7D6B629B" wp14:editId="1BB2D0B1">
            <wp:extent cx="5524500" cy="3619500"/>
            <wp:effectExtent l="0" t="0" r="0" b="0"/>
            <wp:docPr id="1" name="GRADE_heatmap" descr="Supp Figure S1 GRADE heatmap" title="GRADE he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524500" cy="3619500"/>
                    </a:xfrm>
                    <a:prstGeom prst="rect">
                      <a:avLst/>
                    </a:prstGeom>
                  </pic:spPr>
                </pic:pic>
              </a:graphicData>
            </a:graphic>
          </wp:inline>
        </w:drawing>
      </w:r>
    </w:p>
    <w:p w14:paraId="18B5E0E4" w14:textId="77777777" w:rsidR="004B2C8C" w:rsidRPr="004205E6" w:rsidRDefault="00000000" w:rsidP="00A6623B">
      <w:pPr>
        <w:spacing w:before="80" w:after="80"/>
        <w:rPr>
          <w:rFonts w:ascii="Arial" w:hAnsi="Arial" w:cs="Arial"/>
          <w:color w:val="000000" w:themeColor="text1"/>
        </w:rPr>
      </w:pPr>
      <w:r w:rsidRPr="004205E6">
        <w:rPr>
          <w:rFonts w:ascii="Arial" w:hAnsi="Arial" w:cs="Arial"/>
          <w:i/>
          <w:iCs/>
          <w:color w:val="000000" w:themeColor="text1"/>
          <w:sz w:val="18"/>
          <w:szCs w:val="18"/>
        </w:rPr>
        <w:t>Heatmap of GRADE certainty for the twelve S2 ML-versus-CCS contrasts. Rows are comparisons; columns are domains (bias, reporting, indirectness, imprecision, heterogeneity, incoherence); cell color shows the downgrade level.</w:t>
      </w:r>
    </w:p>
    <w:p w14:paraId="14813C0F" w14:textId="77777777" w:rsidR="004B2C8C" w:rsidRPr="004205E6" w:rsidRDefault="00000000">
      <w:pPr>
        <w:rPr>
          <w:rFonts w:ascii="Arial" w:hAnsi="Arial" w:cs="Arial"/>
          <w:color w:val="000000" w:themeColor="text1"/>
        </w:rPr>
      </w:pPr>
      <w:r w:rsidRPr="004205E6">
        <w:rPr>
          <w:rFonts w:ascii="Arial" w:hAnsi="Arial" w:cs="Arial"/>
          <w:color w:val="000000" w:themeColor="text1"/>
        </w:rPr>
        <w:br w:type="page"/>
      </w:r>
    </w:p>
    <w:p w14:paraId="3CE9CBE3" w14:textId="77777777" w:rsidR="004B2C8C" w:rsidRPr="004205E6" w:rsidRDefault="00000000">
      <w:pPr>
        <w:pStyle w:val="2"/>
        <w:spacing w:before="280" w:after="140"/>
        <w:rPr>
          <w:rFonts w:ascii="Arial" w:hAnsi="Arial" w:cs="Arial"/>
          <w:color w:val="000000" w:themeColor="text1"/>
          <w:sz w:val="24"/>
          <w:szCs w:val="24"/>
        </w:rPr>
      </w:pPr>
      <w:r w:rsidRPr="004205E6">
        <w:rPr>
          <w:rFonts w:ascii="Arial" w:hAnsi="Arial" w:cs="Arial"/>
          <w:b/>
          <w:bCs/>
          <w:color w:val="000000" w:themeColor="text1"/>
          <w:sz w:val="24"/>
          <w:szCs w:val="24"/>
        </w:rPr>
        <w:lastRenderedPageBreak/>
        <w:t>Supplementary Table S4. PROBAST per Study (Domain-Level Risk-of-Bias)</w:t>
      </w:r>
    </w:p>
    <w:p w14:paraId="703FA565" w14:textId="77777777" w:rsidR="004B2C8C" w:rsidRPr="004205E6" w:rsidRDefault="00000000">
      <w:pPr>
        <w:spacing w:before="80" w:after="80"/>
        <w:rPr>
          <w:rFonts w:ascii="Arial" w:hAnsi="Arial" w:cs="Arial"/>
          <w:color w:val="000000" w:themeColor="text1"/>
        </w:rPr>
      </w:pPr>
      <w:r w:rsidRPr="004205E6">
        <w:rPr>
          <w:rFonts w:ascii="Arial" w:hAnsi="Arial" w:cs="Arial"/>
          <w:color w:val="000000" w:themeColor="text1"/>
        </w:rPr>
        <w:t>Per-study PROBAST domain ratings (Participants, Predictors, Outcome, Analysis) and overall risk-of-bias rating.</w:t>
      </w:r>
    </w:p>
    <w:tbl>
      <w:tblPr>
        <w:tblStyle w:val="aa"/>
        <w:tblW w:w="5000" w:type="pct"/>
        <w:tblLook w:val="04A0" w:firstRow="1" w:lastRow="0" w:firstColumn="1" w:lastColumn="0" w:noHBand="0" w:noVBand="1"/>
      </w:tblPr>
      <w:tblGrid>
        <w:gridCol w:w="2475"/>
        <w:gridCol w:w="1786"/>
        <w:gridCol w:w="1786"/>
        <w:gridCol w:w="1512"/>
        <w:gridCol w:w="1511"/>
        <w:gridCol w:w="1785"/>
        <w:gridCol w:w="4533"/>
      </w:tblGrid>
      <w:tr w:rsidR="004B2C8C" w:rsidRPr="004205E6" w14:paraId="158B4529" w14:textId="77777777" w:rsidTr="00A6623B">
        <w:trPr>
          <w:trHeight w:val="283"/>
        </w:trPr>
        <w:tc>
          <w:tcPr>
            <w:tcW w:w="804" w:type="pct"/>
            <w:tcBorders>
              <w:top w:val="single" w:sz="12" w:space="0" w:color="auto"/>
              <w:bottom w:val="single" w:sz="12" w:space="0" w:color="auto"/>
            </w:tcBorders>
            <w:vAlign w:val="center"/>
          </w:tcPr>
          <w:p w14:paraId="54B8FD0A" w14:textId="77777777" w:rsidR="004B2C8C" w:rsidRPr="004205E6" w:rsidRDefault="00000000" w:rsidP="00A6623B">
            <w:pPr>
              <w:jc w:val="both"/>
              <w:rPr>
                <w:rFonts w:ascii="Arial" w:hAnsi="Arial" w:cs="Arial"/>
                <w:color w:val="000000" w:themeColor="text1"/>
              </w:rPr>
            </w:pPr>
            <w:r w:rsidRPr="004205E6">
              <w:rPr>
                <w:rFonts w:ascii="Arial" w:hAnsi="Arial" w:cs="Arial"/>
                <w:b/>
                <w:bCs/>
                <w:color w:val="000000" w:themeColor="text1"/>
                <w:sz w:val="16"/>
                <w:szCs w:val="16"/>
              </w:rPr>
              <w:t>Study</w:t>
            </w:r>
          </w:p>
        </w:tc>
        <w:tc>
          <w:tcPr>
            <w:tcW w:w="580" w:type="pct"/>
            <w:tcBorders>
              <w:top w:val="single" w:sz="12" w:space="0" w:color="auto"/>
              <w:bottom w:val="single" w:sz="12" w:space="0" w:color="auto"/>
            </w:tcBorders>
            <w:vAlign w:val="center"/>
          </w:tcPr>
          <w:p w14:paraId="57D05175" w14:textId="77777777" w:rsidR="004B2C8C" w:rsidRPr="004205E6" w:rsidRDefault="00000000" w:rsidP="00A6623B">
            <w:pPr>
              <w:jc w:val="both"/>
              <w:rPr>
                <w:rFonts w:ascii="Arial" w:hAnsi="Arial" w:cs="Arial"/>
                <w:color w:val="000000" w:themeColor="text1"/>
              </w:rPr>
            </w:pPr>
            <w:r w:rsidRPr="004205E6">
              <w:rPr>
                <w:rFonts w:ascii="Arial" w:hAnsi="Arial" w:cs="Arial"/>
                <w:b/>
                <w:bCs/>
                <w:color w:val="000000" w:themeColor="text1"/>
                <w:sz w:val="16"/>
                <w:szCs w:val="16"/>
              </w:rPr>
              <w:t>Participants</w:t>
            </w:r>
          </w:p>
        </w:tc>
        <w:tc>
          <w:tcPr>
            <w:tcW w:w="580" w:type="pct"/>
            <w:tcBorders>
              <w:top w:val="single" w:sz="12" w:space="0" w:color="auto"/>
              <w:bottom w:val="single" w:sz="12" w:space="0" w:color="auto"/>
            </w:tcBorders>
            <w:vAlign w:val="center"/>
          </w:tcPr>
          <w:p w14:paraId="6DD1D3C3" w14:textId="77777777" w:rsidR="004B2C8C" w:rsidRPr="004205E6" w:rsidRDefault="00000000" w:rsidP="00A6623B">
            <w:pPr>
              <w:jc w:val="both"/>
              <w:rPr>
                <w:rFonts w:ascii="Arial" w:hAnsi="Arial" w:cs="Arial"/>
                <w:color w:val="000000" w:themeColor="text1"/>
              </w:rPr>
            </w:pPr>
            <w:r w:rsidRPr="004205E6">
              <w:rPr>
                <w:rFonts w:ascii="Arial" w:hAnsi="Arial" w:cs="Arial"/>
                <w:b/>
                <w:bCs/>
                <w:color w:val="000000" w:themeColor="text1"/>
                <w:sz w:val="16"/>
                <w:szCs w:val="16"/>
              </w:rPr>
              <w:t>Predictors</w:t>
            </w:r>
          </w:p>
        </w:tc>
        <w:tc>
          <w:tcPr>
            <w:tcW w:w="491" w:type="pct"/>
            <w:tcBorders>
              <w:top w:val="single" w:sz="12" w:space="0" w:color="auto"/>
              <w:bottom w:val="single" w:sz="12" w:space="0" w:color="auto"/>
            </w:tcBorders>
            <w:vAlign w:val="center"/>
          </w:tcPr>
          <w:p w14:paraId="25B5CD03" w14:textId="77777777" w:rsidR="004B2C8C" w:rsidRPr="004205E6" w:rsidRDefault="00000000" w:rsidP="00A6623B">
            <w:pPr>
              <w:jc w:val="both"/>
              <w:rPr>
                <w:rFonts w:ascii="Arial" w:hAnsi="Arial" w:cs="Arial"/>
                <w:color w:val="000000" w:themeColor="text1"/>
              </w:rPr>
            </w:pPr>
            <w:r w:rsidRPr="004205E6">
              <w:rPr>
                <w:rFonts w:ascii="Arial" w:hAnsi="Arial" w:cs="Arial"/>
                <w:b/>
                <w:bCs/>
                <w:color w:val="000000" w:themeColor="text1"/>
                <w:sz w:val="16"/>
                <w:szCs w:val="16"/>
              </w:rPr>
              <w:t>Outcome</w:t>
            </w:r>
          </w:p>
        </w:tc>
        <w:tc>
          <w:tcPr>
            <w:tcW w:w="491" w:type="pct"/>
            <w:tcBorders>
              <w:top w:val="single" w:sz="12" w:space="0" w:color="auto"/>
              <w:bottom w:val="single" w:sz="12" w:space="0" w:color="auto"/>
            </w:tcBorders>
            <w:vAlign w:val="center"/>
          </w:tcPr>
          <w:p w14:paraId="4A86B897" w14:textId="77777777" w:rsidR="004B2C8C" w:rsidRPr="004205E6" w:rsidRDefault="00000000" w:rsidP="00A6623B">
            <w:pPr>
              <w:jc w:val="both"/>
              <w:rPr>
                <w:rFonts w:ascii="Arial" w:hAnsi="Arial" w:cs="Arial"/>
                <w:color w:val="000000" w:themeColor="text1"/>
              </w:rPr>
            </w:pPr>
            <w:r w:rsidRPr="004205E6">
              <w:rPr>
                <w:rFonts w:ascii="Arial" w:hAnsi="Arial" w:cs="Arial"/>
                <w:b/>
                <w:bCs/>
                <w:color w:val="000000" w:themeColor="text1"/>
                <w:sz w:val="16"/>
                <w:szCs w:val="16"/>
              </w:rPr>
              <w:t>Analysis</w:t>
            </w:r>
          </w:p>
        </w:tc>
        <w:tc>
          <w:tcPr>
            <w:tcW w:w="580" w:type="pct"/>
            <w:tcBorders>
              <w:top w:val="single" w:sz="12" w:space="0" w:color="auto"/>
              <w:bottom w:val="single" w:sz="12" w:space="0" w:color="auto"/>
            </w:tcBorders>
            <w:vAlign w:val="center"/>
          </w:tcPr>
          <w:p w14:paraId="2D646427" w14:textId="77777777" w:rsidR="004B2C8C" w:rsidRPr="004205E6" w:rsidRDefault="00000000" w:rsidP="00A6623B">
            <w:pPr>
              <w:jc w:val="both"/>
              <w:rPr>
                <w:rFonts w:ascii="Arial" w:hAnsi="Arial" w:cs="Arial"/>
                <w:color w:val="000000" w:themeColor="text1"/>
              </w:rPr>
            </w:pPr>
            <w:r w:rsidRPr="004205E6">
              <w:rPr>
                <w:rFonts w:ascii="Arial" w:hAnsi="Arial" w:cs="Arial"/>
                <w:b/>
                <w:bCs/>
                <w:color w:val="000000" w:themeColor="text1"/>
                <w:sz w:val="16"/>
                <w:szCs w:val="16"/>
              </w:rPr>
              <w:t>Overall</w:t>
            </w:r>
          </w:p>
        </w:tc>
        <w:tc>
          <w:tcPr>
            <w:tcW w:w="1473" w:type="pct"/>
            <w:tcBorders>
              <w:top w:val="single" w:sz="12" w:space="0" w:color="auto"/>
              <w:bottom w:val="single" w:sz="12" w:space="0" w:color="auto"/>
            </w:tcBorders>
            <w:vAlign w:val="center"/>
          </w:tcPr>
          <w:p w14:paraId="7F630A33" w14:textId="77777777" w:rsidR="004B2C8C" w:rsidRPr="004205E6" w:rsidRDefault="00000000" w:rsidP="00A6623B">
            <w:pPr>
              <w:jc w:val="both"/>
              <w:rPr>
                <w:rFonts w:ascii="Arial" w:hAnsi="Arial" w:cs="Arial"/>
                <w:color w:val="000000" w:themeColor="text1"/>
              </w:rPr>
            </w:pPr>
            <w:r w:rsidRPr="004205E6">
              <w:rPr>
                <w:rFonts w:ascii="Arial" w:hAnsi="Arial" w:cs="Arial"/>
                <w:b/>
                <w:bCs/>
                <w:color w:val="000000" w:themeColor="text1"/>
                <w:sz w:val="16"/>
                <w:szCs w:val="16"/>
              </w:rPr>
              <w:t>Key issues</w:t>
            </w:r>
          </w:p>
        </w:tc>
      </w:tr>
      <w:tr w:rsidR="004B2C8C" w:rsidRPr="004205E6" w14:paraId="57745F7D" w14:textId="77777777" w:rsidTr="00A6623B">
        <w:trPr>
          <w:trHeight w:val="283"/>
        </w:trPr>
        <w:tc>
          <w:tcPr>
            <w:tcW w:w="804" w:type="pct"/>
            <w:tcBorders>
              <w:top w:val="single" w:sz="12" w:space="0" w:color="auto"/>
            </w:tcBorders>
            <w:vAlign w:val="center"/>
          </w:tcPr>
          <w:p w14:paraId="1AE8E879"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Alomari 2026</w:t>
            </w:r>
          </w:p>
        </w:tc>
        <w:tc>
          <w:tcPr>
            <w:tcW w:w="580" w:type="pct"/>
            <w:tcBorders>
              <w:top w:val="single" w:sz="12" w:space="0" w:color="auto"/>
            </w:tcBorders>
            <w:vAlign w:val="center"/>
          </w:tcPr>
          <w:p w14:paraId="742B34BC"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tcBorders>
              <w:top w:val="single" w:sz="12" w:space="0" w:color="auto"/>
            </w:tcBorders>
            <w:vAlign w:val="center"/>
          </w:tcPr>
          <w:p w14:paraId="3892F4C7"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tcBorders>
              <w:top w:val="single" w:sz="12" w:space="0" w:color="auto"/>
            </w:tcBorders>
            <w:vAlign w:val="center"/>
          </w:tcPr>
          <w:p w14:paraId="78C54018"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tcBorders>
              <w:top w:val="single" w:sz="12" w:space="0" w:color="auto"/>
            </w:tcBorders>
            <w:vAlign w:val="center"/>
          </w:tcPr>
          <w:p w14:paraId="4238D5B3"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tcBorders>
              <w:top w:val="single" w:sz="12" w:space="0" w:color="auto"/>
            </w:tcBorders>
            <w:vAlign w:val="center"/>
          </w:tcPr>
          <w:p w14:paraId="196B0CF8"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1473" w:type="pct"/>
            <w:tcBorders>
              <w:top w:val="single" w:sz="12" w:space="0" w:color="auto"/>
            </w:tcBorders>
            <w:vAlign w:val="center"/>
          </w:tcPr>
          <w:p w14:paraId="3ADD50DF"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Mixed GIB indirectness</w:t>
            </w:r>
          </w:p>
        </w:tc>
      </w:tr>
      <w:tr w:rsidR="004B2C8C" w:rsidRPr="004205E6" w14:paraId="7F2068AF" w14:textId="77777777" w:rsidTr="00A6623B">
        <w:trPr>
          <w:trHeight w:val="283"/>
        </w:trPr>
        <w:tc>
          <w:tcPr>
            <w:tcW w:w="804" w:type="pct"/>
            <w:vAlign w:val="center"/>
          </w:tcPr>
          <w:p w14:paraId="26802E81"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Aydin 2025</w:t>
            </w:r>
          </w:p>
        </w:tc>
        <w:tc>
          <w:tcPr>
            <w:tcW w:w="580" w:type="pct"/>
            <w:vAlign w:val="center"/>
          </w:tcPr>
          <w:p w14:paraId="1E84DA84"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69BFB0A6"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vAlign w:val="center"/>
          </w:tcPr>
          <w:p w14:paraId="79E8C112"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7143B789"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vAlign w:val="center"/>
          </w:tcPr>
          <w:p w14:paraId="4DE50778"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1473" w:type="pct"/>
            <w:vAlign w:val="center"/>
          </w:tcPr>
          <w:p w14:paraId="665C5471"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CCS-only study</w:t>
            </w:r>
          </w:p>
        </w:tc>
      </w:tr>
      <w:tr w:rsidR="004B2C8C" w:rsidRPr="004205E6" w14:paraId="433546F7" w14:textId="77777777" w:rsidTr="00A6623B">
        <w:trPr>
          <w:trHeight w:val="283"/>
        </w:trPr>
        <w:tc>
          <w:tcPr>
            <w:tcW w:w="804" w:type="pct"/>
            <w:vAlign w:val="center"/>
          </w:tcPr>
          <w:p w14:paraId="195D0886"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Boros 2025</w:t>
            </w:r>
          </w:p>
        </w:tc>
        <w:tc>
          <w:tcPr>
            <w:tcW w:w="580" w:type="pct"/>
            <w:vAlign w:val="center"/>
          </w:tcPr>
          <w:p w14:paraId="211CB567"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vAlign w:val="center"/>
          </w:tcPr>
          <w:p w14:paraId="6567F726"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vAlign w:val="center"/>
          </w:tcPr>
          <w:p w14:paraId="608158A0"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5D31DA93"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vAlign w:val="center"/>
          </w:tcPr>
          <w:p w14:paraId="5C9B1B2F"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1473" w:type="pct"/>
            <w:vAlign w:val="center"/>
          </w:tcPr>
          <w:p w14:paraId="456EB57D"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UGIB subgroup analysis indirectness</w:t>
            </w:r>
          </w:p>
        </w:tc>
      </w:tr>
      <w:tr w:rsidR="004B2C8C" w:rsidRPr="004205E6" w14:paraId="4DFB26D3" w14:textId="77777777" w:rsidTr="00A6623B">
        <w:trPr>
          <w:trHeight w:val="283"/>
        </w:trPr>
        <w:tc>
          <w:tcPr>
            <w:tcW w:w="804" w:type="pct"/>
            <w:vAlign w:val="center"/>
          </w:tcPr>
          <w:p w14:paraId="6DF0414D"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Chen 2025</w:t>
            </w:r>
          </w:p>
        </w:tc>
        <w:tc>
          <w:tcPr>
            <w:tcW w:w="580" w:type="pct"/>
            <w:vAlign w:val="center"/>
          </w:tcPr>
          <w:p w14:paraId="3506236E"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478A0190"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vAlign w:val="center"/>
          </w:tcPr>
          <w:p w14:paraId="146AB98C"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5D5CE73B"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vAlign w:val="center"/>
          </w:tcPr>
          <w:p w14:paraId="501FA530"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1473" w:type="pct"/>
            <w:vAlign w:val="center"/>
          </w:tcPr>
          <w:p w14:paraId="69110BB6"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PUB-only population; no head-to-head ML vs CCS</w:t>
            </w:r>
          </w:p>
        </w:tc>
      </w:tr>
      <w:tr w:rsidR="004B2C8C" w:rsidRPr="004205E6" w14:paraId="4764F505" w14:textId="77777777" w:rsidTr="00A6623B">
        <w:trPr>
          <w:trHeight w:val="283"/>
        </w:trPr>
        <w:tc>
          <w:tcPr>
            <w:tcW w:w="804" w:type="pct"/>
            <w:vAlign w:val="center"/>
          </w:tcPr>
          <w:p w14:paraId="370D4119"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Chen 2025</w:t>
            </w:r>
          </w:p>
        </w:tc>
        <w:tc>
          <w:tcPr>
            <w:tcW w:w="580" w:type="pct"/>
            <w:vAlign w:val="center"/>
          </w:tcPr>
          <w:p w14:paraId="12872AC3"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vAlign w:val="center"/>
          </w:tcPr>
          <w:p w14:paraId="668023AC"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5CE57D76"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6B0AFAFF"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1F4BEE64"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1473" w:type="pct"/>
            <w:vAlign w:val="center"/>
          </w:tcPr>
          <w:p w14:paraId="3F053F94"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Web deployment positive; internal validation only</w:t>
            </w:r>
          </w:p>
        </w:tc>
      </w:tr>
      <w:tr w:rsidR="004B2C8C" w:rsidRPr="004205E6" w14:paraId="10617E36" w14:textId="77777777" w:rsidTr="00A6623B">
        <w:trPr>
          <w:trHeight w:val="283"/>
        </w:trPr>
        <w:tc>
          <w:tcPr>
            <w:tcW w:w="804" w:type="pct"/>
            <w:vAlign w:val="center"/>
          </w:tcPr>
          <w:p w14:paraId="07189C02"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Das 2008</w:t>
            </w:r>
          </w:p>
        </w:tc>
        <w:tc>
          <w:tcPr>
            <w:tcW w:w="580" w:type="pct"/>
            <w:vAlign w:val="center"/>
          </w:tcPr>
          <w:p w14:paraId="5625AE60"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HIGH</w:t>
            </w:r>
          </w:p>
        </w:tc>
        <w:tc>
          <w:tcPr>
            <w:tcW w:w="580" w:type="pct"/>
            <w:vAlign w:val="center"/>
          </w:tcPr>
          <w:p w14:paraId="7E9F74CF"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HIGH</w:t>
            </w:r>
          </w:p>
        </w:tc>
        <w:tc>
          <w:tcPr>
            <w:tcW w:w="491" w:type="pct"/>
            <w:vAlign w:val="center"/>
          </w:tcPr>
          <w:p w14:paraId="46512488"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31F34EA6"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HIGH</w:t>
            </w:r>
          </w:p>
        </w:tc>
        <w:tc>
          <w:tcPr>
            <w:tcW w:w="580" w:type="pct"/>
            <w:vAlign w:val="center"/>
          </w:tcPr>
          <w:p w14:paraId="5E1CF697"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HIGH</w:t>
            </w:r>
          </w:p>
        </w:tc>
        <w:tc>
          <w:tcPr>
            <w:tcW w:w="1473" w:type="pct"/>
            <w:vAlign w:val="center"/>
          </w:tcPr>
          <w:p w14:paraId="182CF937"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Pre-2015; SRH surrogate endpoint</w:t>
            </w:r>
          </w:p>
        </w:tc>
      </w:tr>
      <w:tr w:rsidR="004B2C8C" w:rsidRPr="004205E6" w14:paraId="5E7479EB" w14:textId="77777777" w:rsidTr="00A6623B">
        <w:trPr>
          <w:trHeight w:val="283"/>
        </w:trPr>
        <w:tc>
          <w:tcPr>
            <w:tcW w:w="804" w:type="pct"/>
            <w:vAlign w:val="center"/>
          </w:tcPr>
          <w:p w14:paraId="07339F2F"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Deng 2025</w:t>
            </w:r>
          </w:p>
        </w:tc>
        <w:tc>
          <w:tcPr>
            <w:tcW w:w="580" w:type="pct"/>
            <w:vAlign w:val="center"/>
          </w:tcPr>
          <w:p w14:paraId="626E7F13"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440DF42A"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vAlign w:val="center"/>
          </w:tcPr>
          <w:p w14:paraId="665CB730"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0DEC94AB"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vAlign w:val="center"/>
          </w:tcPr>
          <w:p w14:paraId="48100AA2"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1473" w:type="pct"/>
            <w:vAlign w:val="center"/>
          </w:tcPr>
          <w:p w14:paraId="2A74D0A1"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Reports external validation cohort</w:t>
            </w:r>
          </w:p>
        </w:tc>
      </w:tr>
      <w:tr w:rsidR="004B2C8C" w:rsidRPr="004205E6" w14:paraId="15C80D88" w14:textId="77777777" w:rsidTr="00A6623B">
        <w:trPr>
          <w:trHeight w:val="283"/>
        </w:trPr>
        <w:tc>
          <w:tcPr>
            <w:tcW w:w="804" w:type="pct"/>
            <w:vAlign w:val="center"/>
          </w:tcPr>
          <w:p w14:paraId="35760683"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Huang 2025</w:t>
            </w:r>
          </w:p>
        </w:tc>
        <w:tc>
          <w:tcPr>
            <w:tcW w:w="580" w:type="pct"/>
            <w:vAlign w:val="center"/>
          </w:tcPr>
          <w:p w14:paraId="0BE496C6"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5B78F2D5"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vAlign w:val="center"/>
          </w:tcPr>
          <w:p w14:paraId="4A08CB77"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4E727842"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vAlign w:val="center"/>
          </w:tcPr>
          <w:p w14:paraId="187C68A0"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1473" w:type="pct"/>
            <w:vAlign w:val="center"/>
          </w:tcPr>
          <w:p w14:paraId="77C68422"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Reports external validation cohort</w:t>
            </w:r>
          </w:p>
        </w:tc>
      </w:tr>
      <w:tr w:rsidR="004B2C8C" w:rsidRPr="004205E6" w14:paraId="3788251A" w14:textId="77777777" w:rsidTr="00A6623B">
        <w:trPr>
          <w:trHeight w:val="283"/>
        </w:trPr>
        <w:tc>
          <w:tcPr>
            <w:tcW w:w="804" w:type="pct"/>
            <w:vAlign w:val="center"/>
          </w:tcPr>
          <w:p w14:paraId="36BBD394"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In 2024</w:t>
            </w:r>
          </w:p>
        </w:tc>
        <w:tc>
          <w:tcPr>
            <w:tcW w:w="580" w:type="pct"/>
            <w:vAlign w:val="center"/>
          </w:tcPr>
          <w:p w14:paraId="5EB09EF1"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38CE7D03"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vAlign w:val="center"/>
          </w:tcPr>
          <w:p w14:paraId="649EA06C"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347D4240"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vAlign w:val="center"/>
          </w:tcPr>
          <w:p w14:paraId="4463641F"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1473" w:type="pct"/>
            <w:vAlign w:val="center"/>
          </w:tcPr>
          <w:p w14:paraId="3404CF0E"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CCS-only study</w:t>
            </w:r>
          </w:p>
        </w:tc>
      </w:tr>
      <w:tr w:rsidR="004B2C8C" w:rsidRPr="004205E6" w14:paraId="21DE3C84" w14:textId="77777777" w:rsidTr="00A6623B">
        <w:trPr>
          <w:trHeight w:val="283"/>
        </w:trPr>
        <w:tc>
          <w:tcPr>
            <w:tcW w:w="804" w:type="pct"/>
            <w:vAlign w:val="center"/>
          </w:tcPr>
          <w:p w14:paraId="7D042830"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Isik 2025</w:t>
            </w:r>
          </w:p>
        </w:tc>
        <w:tc>
          <w:tcPr>
            <w:tcW w:w="580" w:type="pct"/>
            <w:vAlign w:val="center"/>
          </w:tcPr>
          <w:p w14:paraId="2386C029"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0386AF27"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vAlign w:val="center"/>
          </w:tcPr>
          <w:p w14:paraId="60FA1EDE"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767F1139"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vAlign w:val="center"/>
          </w:tcPr>
          <w:p w14:paraId="03C4AB1A"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1473" w:type="pct"/>
            <w:vAlign w:val="center"/>
          </w:tcPr>
          <w:p w14:paraId="2AE4AD6F"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CCS-only study</w:t>
            </w:r>
          </w:p>
        </w:tc>
      </w:tr>
      <w:tr w:rsidR="004B2C8C" w:rsidRPr="004205E6" w14:paraId="34F0705B" w14:textId="77777777" w:rsidTr="00A6623B">
        <w:trPr>
          <w:trHeight w:val="283"/>
        </w:trPr>
        <w:tc>
          <w:tcPr>
            <w:tcW w:w="804" w:type="pct"/>
            <w:vAlign w:val="center"/>
          </w:tcPr>
          <w:p w14:paraId="65C4487A"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Li 2025</w:t>
            </w:r>
          </w:p>
        </w:tc>
        <w:tc>
          <w:tcPr>
            <w:tcW w:w="580" w:type="pct"/>
            <w:vAlign w:val="center"/>
          </w:tcPr>
          <w:p w14:paraId="361D56D3"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1E98A2B6"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60A6F396"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7FDBA8AA"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vAlign w:val="center"/>
          </w:tcPr>
          <w:p w14:paraId="28E28688"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1473" w:type="pct"/>
            <w:vAlign w:val="center"/>
          </w:tcPr>
          <w:p w14:paraId="154FE427"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External validation positive; large effect</w:t>
            </w:r>
          </w:p>
        </w:tc>
      </w:tr>
      <w:tr w:rsidR="004B2C8C" w:rsidRPr="004205E6" w14:paraId="3873F74D" w14:textId="77777777" w:rsidTr="00A6623B">
        <w:trPr>
          <w:trHeight w:val="283"/>
        </w:trPr>
        <w:tc>
          <w:tcPr>
            <w:tcW w:w="804" w:type="pct"/>
            <w:vAlign w:val="center"/>
          </w:tcPr>
          <w:p w14:paraId="071311C7"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Li 2026</w:t>
            </w:r>
          </w:p>
        </w:tc>
        <w:tc>
          <w:tcPr>
            <w:tcW w:w="580" w:type="pct"/>
            <w:vAlign w:val="center"/>
          </w:tcPr>
          <w:p w14:paraId="019DB40C"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1A10DF0B"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vAlign w:val="center"/>
          </w:tcPr>
          <w:p w14:paraId="144962B2"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5E5C0065"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vAlign w:val="center"/>
          </w:tcPr>
          <w:p w14:paraId="0A880DF4"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1473" w:type="pct"/>
            <w:vAlign w:val="center"/>
          </w:tcPr>
          <w:p w14:paraId="208C10F9"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PUB-only post-endoscopy; interpretable ML</w:t>
            </w:r>
          </w:p>
        </w:tc>
      </w:tr>
      <w:tr w:rsidR="004B2C8C" w:rsidRPr="004205E6" w14:paraId="3413664F" w14:textId="77777777" w:rsidTr="00A6623B">
        <w:trPr>
          <w:trHeight w:val="283"/>
        </w:trPr>
        <w:tc>
          <w:tcPr>
            <w:tcW w:w="804" w:type="pct"/>
            <w:vAlign w:val="center"/>
          </w:tcPr>
          <w:p w14:paraId="53E30C74"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Lin 2026</w:t>
            </w:r>
          </w:p>
        </w:tc>
        <w:tc>
          <w:tcPr>
            <w:tcW w:w="580" w:type="pct"/>
            <w:vAlign w:val="center"/>
          </w:tcPr>
          <w:p w14:paraId="4861A2EB"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64B3F6F9"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vAlign w:val="center"/>
          </w:tcPr>
          <w:p w14:paraId="671693FC"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6838091B"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vAlign w:val="center"/>
          </w:tcPr>
          <w:p w14:paraId="48C2337D"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1473" w:type="pct"/>
            <w:vAlign w:val="center"/>
          </w:tcPr>
          <w:p w14:paraId="5D3E24B7"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Internal validation only; massive transfusion endpoint</w:t>
            </w:r>
          </w:p>
        </w:tc>
      </w:tr>
      <w:tr w:rsidR="004B2C8C" w:rsidRPr="004205E6" w14:paraId="10FD61A6" w14:textId="77777777" w:rsidTr="00A6623B">
        <w:trPr>
          <w:trHeight w:val="283"/>
        </w:trPr>
        <w:tc>
          <w:tcPr>
            <w:tcW w:w="804" w:type="pct"/>
            <w:vAlign w:val="center"/>
          </w:tcPr>
          <w:p w14:paraId="6748B8C4"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Lu 2026</w:t>
            </w:r>
          </w:p>
        </w:tc>
        <w:tc>
          <w:tcPr>
            <w:tcW w:w="580" w:type="pct"/>
            <w:vAlign w:val="center"/>
          </w:tcPr>
          <w:p w14:paraId="6BE52FC3"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vAlign w:val="center"/>
          </w:tcPr>
          <w:p w14:paraId="52662FA5"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vAlign w:val="center"/>
          </w:tcPr>
          <w:p w14:paraId="353EA4AF"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3F409BF3"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2CAB92F8"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1473" w:type="pct"/>
            <w:vAlign w:val="center"/>
          </w:tcPr>
          <w:p w14:paraId="4D31F7D4"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w:t>
            </w:r>
          </w:p>
        </w:tc>
      </w:tr>
      <w:tr w:rsidR="004B2C8C" w:rsidRPr="004205E6" w14:paraId="09116A22" w14:textId="77777777" w:rsidTr="00A6623B">
        <w:trPr>
          <w:trHeight w:val="283"/>
        </w:trPr>
        <w:tc>
          <w:tcPr>
            <w:tcW w:w="804" w:type="pct"/>
            <w:vAlign w:val="center"/>
          </w:tcPr>
          <w:p w14:paraId="6397EAC7"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Nazarian 2024</w:t>
            </w:r>
          </w:p>
        </w:tc>
        <w:tc>
          <w:tcPr>
            <w:tcW w:w="580" w:type="pct"/>
            <w:vAlign w:val="center"/>
          </w:tcPr>
          <w:p w14:paraId="5616CD73"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43D4A9F7"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vAlign w:val="center"/>
          </w:tcPr>
          <w:p w14:paraId="508945DE"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3D4A2705"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vAlign w:val="center"/>
          </w:tcPr>
          <w:p w14:paraId="60C7CEB2"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1473" w:type="pct"/>
            <w:vAlign w:val="center"/>
          </w:tcPr>
          <w:p w14:paraId="6C51615F"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Internal validation only; intervention outcome indirectness</w:t>
            </w:r>
          </w:p>
        </w:tc>
      </w:tr>
      <w:tr w:rsidR="004B2C8C" w:rsidRPr="004205E6" w14:paraId="6ABB354D" w14:textId="77777777" w:rsidTr="00A6623B">
        <w:trPr>
          <w:trHeight w:val="283"/>
        </w:trPr>
        <w:tc>
          <w:tcPr>
            <w:tcW w:w="804" w:type="pct"/>
            <w:vAlign w:val="center"/>
          </w:tcPr>
          <w:p w14:paraId="7C214E20"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Park 2018</w:t>
            </w:r>
          </w:p>
        </w:tc>
        <w:tc>
          <w:tcPr>
            <w:tcW w:w="580" w:type="pct"/>
            <w:vAlign w:val="center"/>
          </w:tcPr>
          <w:p w14:paraId="24BF0F2C"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50B5D40A"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vAlign w:val="center"/>
          </w:tcPr>
          <w:p w14:paraId="6A94614A"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59655608"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HIGH</w:t>
            </w:r>
          </w:p>
        </w:tc>
        <w:tc>
          <w:tcPr>
            <w:tcW w:w="580" w:type="pct"/>
            <w:vAlign w:val="center"/>
          </w:tcPr>
          <w:p w14:paraId="1FA25E4E"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HIGH</w:t>
            </w:r>
          </w:p>
        </w:tc>
        <w:tc>
          <w:tcPr>
            <w:tcW w:w="1473" w:type="pct"/>
            <w:vAlign w:val="center"/>
          </w:tcPr>
          <w:p w14:paraId="3308914E"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Retrospective development; calibration not reported</w:t>
            </w:r>
          </w:p>
        </w:tc>
      </w:tr>
      <w:tr w:rsidR="004B2C8C" w:rsidRPr="004205E6" w14:paraId="4B819F2F" w14:textId="77777777" w:rsidTr="00A6623B">
        <w:trPr>
          <w:trHeight w:val="283"/>
        </w:trPr>
        <w:tc>
          <w:tcPr>
            <w:tcW w:w="804" w:type="pct"/>
            <w:vAlign w:val="center"/>
          </w:tcPr>
          <w:p w14:paraId="2AF8AE41"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Raghareutai 2025</w:t>
            </w:r>
          </w:p>
        </w:tc>
        <w:tc>
          <w:tcPr>
            <w:tcW w:w="580" w:type="pct"/>
            <w:vAlign w:val="center"/>
          </w:tcPr>
          <w:p w14:paraId="2141C0F1"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7293A268"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vAlign w:val="center"/>
          </w:tcPr>
          <w:p w14:paraId="24CA6D37"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04CC8D28"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vAlign w:val="center"/>
          </w:tcPr>
          <w:p w14:paraId="364FF785"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1473" w:type="pct"/>
            <w:vAlign w:val="center"/>
          </w:tcPr>
          <w:p w14:paraId="34D787CD"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Internal split; mixed UGIB population</w:t>
            </w:r>
          </w:p>
        </w:tc>
      </w:tr>
      <w:tr w:rsidR="004B2C8C" w:rsidRPr="004205E6" w14:paraId="7DB0D2EE" w14:textId="77777777" w:rsidTr="00A6623B">
        <w:trPr>
          <w:trHeight w:val="283"/>
        </w:trPr>
        <w:tc>
          <w:tcPr>
            <w:tcW w:w="804" w:type="pct"/>
            <w:vAlign w:val="center"/>
          </w:tcPr>
          <w:p w14:paraId="46C4B480"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Rotondano 2011</w:t>
            </w:r>
          </w:p>
        </w:tc>
        <w:tc>
          <w:tcPr>
            <w:tcW w:w="580" w:type="pct"/>
            <w:vAlign w:val="center"/>
          </w:tcPr>
          <w:p w14:paraId="034D77F5"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HIGH</w:t>
            </w:r>
          </w:p>
        </w:tc>
        <w:tc>
          <w:tcPr>
            <w:tcW w:w="580" w:type="pct"/>
            <w:vAlign w:val="center"/>
          </w:tcPr>
          <w:p w14:paraId="4DFFA33B"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HIGH</w:t>
            </w:r>
          </w:p>
        </w:tc>
        <w:tc>
          <w:tcPr>
            <w:tcW w:w="491" w:type="pct"/>
            <w:vAlign w:val="center"/>
          </w:tcPr>
          <w:p w14:paraId="6325F53C"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423DF7BB"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HIGH</w:t>
            </w:r>
          </w:p>
        </w:tc>
        <w:tc>
          <w:tcPr>
            <w:tcW w:w="580" w:type="pct"/>
            <w:vAlign w:val="center"/>
          </w:tcPr>
          <w:p w14:paraId="5E55A137"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HIGH</w:t>
            </w:r>
          </w:p>
        </w:tc>
        <w:tc>
          <w:tcPr>
            <w:tcW w:w="1473" w:type="pct"/>
            <w:vAlign w:val="center"/>
          </w:tcPr>
          <w:p w14:paraId="1616A47B"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Pre-2015 retrospective; small EPV</w:t>
            </w:r>
          </w:p>
        </w:tc>
      </w:tr>
      <w:tr w:rsidR="004B2C8C" w:rsidRPr="004205E6" w14:paraId="60A31EE3" w14:textId="77777777" w:rsidTr="00A6623B">
        <w:trPr>
          <w:trHeight w:val="283"/>
        </w:trPr>
        <w:tc>
          <w:tcPr>
            <w:tcW w:w="804" w:type="pct"/>
            <w:vAlign w:val="center"/>
          </w:tcPr>
          <w:p w14:paraId="0398E2E9"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Seo 2020</w:t>
            </w:r>
          </w:p>
        </w:tc>
        <w:tc>
          <w:tcPr>
            <w:tcW w:w="580" w:type="pct"/>
            <w:vAlign w:val="center"/>
          </w:tcPr>
          <w:p w14:paraId="1B45AE3B"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5B39E001"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vAlign w:val="center"/>
          </w:tcPr>
          <w:p w14:paraId="565366A5"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5895B170"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HIGH</w:t>
            </w:r>
          </w:p>
        </w:tc>
        <w:tc>
          <w:tcPr>
            <w:tcW w:w="580" w:type="pct"/>
            <w:vAlign w:val="center"/>
          </w:tcPr>
          <w:p w14:paraId="01C50C4E"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HIGH</w:t>
            </w:r>
          </w:p>
        </w:tc>
        <w:tc>
          <w:tcPr>
            <w:tcW w:w="1473" w:type="pct"/>
            <w:vAlign w:val="center"/>
          </w:tcPr>
          <w:p w14:paraId="7F75AE0D"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Mortality EPV &lt; 1 — D+36 consensus split-handling</w:t>
            </w:r>
          </w:p>
        </w:tc>
      </w:tr>
      <w:tr w:rsidR="004B2C8C" w:rsidRPr="004205E6" w14:paraId="0ED37FAA" w14:textId="77777777" w:rsidTr="00A6623B">
        <w:trPr>
          <w:trHeight w:val="283"/>
        </w:trPr>
        <w:tc>
          <w:tcPr>
            <w:tcW w:w="804" w:type="pct"/>
            <w:vAlign w:val="center"/>
          </w:tcPr>
          <w:p w14:paraId="6CE4C61A"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Shung 2024</w:t>
            </w:r>
          </w:p>
        </w:tc>
        <w:tc>
          <w:tcPr>
            <w:tcW w:w="580" w:type="pct"/>
            <w:vAlign w:val="center"/>
          </w:tcPr>
          <w:p w14:paraId="1F90B2E8"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0D2C31A5"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737945BA"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0E74F905"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3881DF74"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1473" w:type="pct"/>
            <w:vAlign w:val="center"/>
          </w:tcPr>
          <w:p w14:paraId="6966262D"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Reports external validation cohort</w:t>
            </w:r>
          </w:p>
        </w:tc>
      </w:tr>
      <w:tr w:rsidR="004B2C8C" w:rsidRPr="004205E6" w14:paraId="2DD48FA8" w14:textId="77777777" w:rsidTr="00A6623B">
        <w:trPr>
          <w:trHeight w:val="283"/>
        </w:trPr>
        <w:tc>
          <w:tcPr>
            <w:tcW w:w="804" w:type="pct"/>
            <w:vAlign w:val="center"/>
          </w:tcPr>
          <w:p w14:paraId="62D56523"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Tan 2018</w:t>
            </w:r>
          </w:p>
        </w:tc>
        <w:tc>
          <w:tcPr>
            <w:tcW w:w="580" w:type="pct"/>
            <w:vAlign w:val="center"/>
          </w:tcPr>
          <w:p w14:paraId="2F95DB63"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230E3F7B"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vAlign w:val="center"/>
          </w:tcPr>
          <w:p w14:paraId="74A61557"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228DABA2"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HIGH</w:t>
            </w:r>
          </w:p>
        </w:tc>
        <w:tc>
          <w:tcPr>
            <w:tcW w:w="580" w:type="pct"/>
            <w:vAlign w:val="center"/>
          </w:tcPr>
          <w:p w14:paraId="2FFE379A"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HIGH</w:t>
            </w:r>
          </w:p>
        </w:tc>
        <w:tc>
          <w:tcPr>
            <w:tcW w:w="1473" w:type="pct"/>
            <w:vAlign w:val="center"/>
          </w:tcPr>
          <w:p w14:paraId="46A7C8F1"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See manuscript Methods for assessment rationale</w:t>
            </w:r>
          </w:p>
        </w:tc>
      </w:tr>
      <w:tr w:rsidR="004B2C8C" w:rsidRPr="004205E6" w14:paraId="30CEE0EC" w14:textId="77777777" w:rsidTr="00A6623B">
        <w:trPr>
          <w:trHeight w:val="283"/>
        </w:trPr>
        <w:tc>
          <w:tcPr>
            <w:tcW w:w="804" w:type="pct"/>
            <w:vAlign w:val="center"/>
          </w:tcPr>
          <w:p w14:paraId="4E97EC28"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Thiebaud 2025</w:t>
            </w:r>
          </w:p>
        </w:tc>
        <w:tc>
          <w:tcPr>
            <w:tcW w:w="580" w:type="pct"/>
            <w:vAlign w:val="center"/>
          </w:tcPr>
          <w:p w14:paraId="354BA95A"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32ACADF9"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259AFFDA"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4656123B"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6F063893"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1473" w:type="pct"/>
            <w:vAlign w:val="center"/>
          </w:tcPr>
          <w:p w14:paraId="5CB542C1"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Multi-center French; CCS gold standard</w:t>
            </w:r>
          </w:p>
        </w:tc>
      </w:tr>
      <w:tr w:rsidR="004B2C8C" w:rsidRPr="004205E6" w14:paraId="398653EC" w14:textId="77777777" w:rsidTr="00A6623B">
        <w:trPr>
          <w:trHeight w:val="283"/>
        </w:trPr>
        <w:tc>
          <w:tcPr>
            <w:tcW w:w="804" w:type="pct"/>
            <w:vAlign w:val="center"/>
          </w:tcPr>
          <w:p w14:paraId="0B978C6A"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Yildirim 2026</w:t>
            </w:r>
          </w:p>
        </w:tc>
        <w:tc>
          <w:tcPr>
            <w:tcW w:w="580" w:type="pct"/>
            <w:vAlign w:val="center"/>
          </w:tcPr>
          <w:p w14:paraId="4FF26758"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21737496"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vAlign w:val="center"/>
          </w:tcPr>
          <w:p w14:paraId="654C5B42"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3D55D8BB"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vAlign w:val="center"/>
          </w:tcPr>
          <w:p w14:paraId="21684B09"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1473" w:type="pct"/>
            <w:vAlign w:val="center"/>
          </w:tcPr>
          <w:p w14:paraId="39136E96"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CCS-only study</w:t>
            </w:r>
          </w:p>
        </w:tc>
      </w:tr>
      <w:tr w:rsidR="004B2C8C" w:rsidRPr="004205E6" w14:paraId="03A324A8" w14:textId="77777777" w:rsidTr="00A6623B">
        <w:trPr>
          <w:trHeight w:val="283"/>
        </w:trPr>
        <w:tc>
          <w:tcPr>
            <w:tcW w:w="804" w:type="pct"/>
            <w:vAlign w:val="center"/>
          </w:tcPr>
          <w:p w14:paraId="714E5FFF"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Zang 2025</w:t>
            </w:r>
          </w:p>
        </w:tc>
        <w:tc>
          <w:tcPr>
            <w:tcW w:w="580" w:type="pct"/>
            <w:vAlign w:val="center"/>
          </w:tcPr>
          <w:p w14:paraId="66C59C9D"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vAlign w:val="center"/>
          </w:tcPr>
          <w:p w14:paraId="4616314A"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vAlign w:val="center"/>
          </w:tcPr>
          <w:p w14:paraId="5C6DC031"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vAlign w:val="center"/>
          </w:tcPr>
          <w:p w14:paraId="79730F9C"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vAlign w:val="center"/>
          </w:tcPr>
          <w:p w14:paraId="4E2ABE85"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1473" w:type="pct"/>
            <w:vAlign w:val="center"/>
          </w:tcPr>
          <w:p w14:paraId="58DBCF0E"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Internal validation only; limited calibration reporting</w:t>
            </w:r>
          </w:p>
        </w:tc>
      </w:tr>
      <w:tr w:rsidR="004B2C8C" w:rsidRPr="004205E6" w14:paraId="23DF53FD" w14:textId="77777777" w:rsidTr="00A6623B">
        <w:trPr>
          <w:trHeight w:val="283"/>
        </w:trPr>
        <w:tc>
          <w:tcPr>
            <w:tcW w:w="804" w:type="pct"/>
            <w:tcBorders>
              <w:bottom w:val="single" w:sz="4" w:space="0" w:color="BFBFBF" w:themeColor="background1" w:themeShade="BF"/>
            </w:tcBorders>
            <w:vAlign w:val="center"/>
          </w:tcPr>
          <w:p w14:paraId="24C1E8F8"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Zhang 2025</w:t>
            </w:r>
          </w:p>
        </w:tc>
        <w:tc>
          <w:tcPr>
            <w:tcW w:w="580" w:type="pct"/>
            <w:tcBorders>
              <w:bottom w:val="single" w:sz="4" w:space="0" w:color="BFBFBF" w:themeColor="background1" w:themeShade="BF"/>
            </w:tcBorders>
            <w:vAlign w:val="center"/>
          </w:tcPr>
          <w:p w14:paraId="3E1344D1"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580" w:type="pct"/>
            <w:tcBorders>
              <w:bottom w:val="single" w:sz="4" w:space="0" w:color="BFBFBF" w:themeColor="background1" w:themeShade="BF"/>
            </w:tcBorders>
            <w:vAlign w:val="center"/>
          </w:tcPr>
          <w:p w14:paraId="0443CDC9"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tcBorders>
              <w:bottom w:val="single" w:sz="4" w:space="0" w:color="BFBFBF" w:themeColor="background1" w:themeShade="BF"/>
            </w:tcBorders>
            <w:vAlign w:val="center"/>
          </w:tcPr>
          <w:p w14:paraId="383A52EA"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tcBorders>
              <w:bottom w:val="single" w:sz="4" w:space="0" w:color="BFBFBF" w:themeColor="background1" w:themeShade="BF"/>
            </w:tcBorders>
            <w:vAlign w:val="center"/>
          </w:tcPr>
          <w:p w14:paraId="308BAC02"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tcBorders>
              <w:bottom w:val="single" w:sz="4" w:space="0" w:color="BFBFBF" w:themeColor="background1" w:themeShade="BF"/>
            </w:tcBorders>
            <w:vAlign w:val="center"/>
          </w:tcPr>
          <w:p w14:paraId="795289C3"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1473" w:type="pct"/>
            <w:tcBorders>
              <w:bottom w:val="single" w:sz="4" w:space="0" w:color="BFBFBF" w:themeColor="background1" w:themeShade="BF"/>
            </w:tcBorders>
            <w:vAlign w:val="center"/>
          </w:tcPr>
          <w:p w14:paraId="6E7BF127"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Long-term rebleeding endpoint; serology-based subset</w:t>
            </w:r>
          </w:p>
        </w:tc>
      </w:tr>
      <w:tr w:rsidR="004B2C8C" w:rsidRPr="004205E6" w14:paraId="3609ECCD" w14:textId="77777777" w:rsidTr="00A6623B">
        <w:trPr>
          <w:trHeight w:val="283"/>
        </w:trPr>
        <w:tc>
          <w:tcPr>
            <w:tcW w:w="804" w:type="pct"/>
            <w:tcBorders>
              <w:bottom w:val="single" w:sz="12" w:space="0" w:color="auto"/>
            </w:tcBorders>
            <w:vAlign w:val="center"/>
          </w:tcPr>
          <w:p w14:paraId="49A5DD43"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Zhao 2024</w:t>
            </w:r>
          </w:p>
        </w:tc>
        <w:tc>
          <w:tcPr>
            <w:tcW w:w="580" w:type="pct"/>
            <w:tcBorders>
              <w:bottom w:val="single" w:sz="12" w:space="0" w:color="auto"/>
            </w:tcBorders>
            <w:vAlign w:val="center"/>
          </w:tcPr>
          <w:p w14:paraId="7B2630B2"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HIGH</w:t>
            </w:r>
          </w:p>
        </w:tc>
        <w:tc>
          <w:tcPr>
            <w:tcW w:w="580" w:type="pct"/>
            <w:tcBorders>
              <w:bottom w:val="single" w:sz="12" w:space="0" w:color="auto"/>
            </w:tcBorders>
            <w:vAlign w:val="center"/>
          </w:tcPr>
          <w:p w14:paraId="0327294F"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491" w:type="pct"/>
            <w:tcBorders>
              <w:bottom w:val="single" w:sz="12" w:space="0" w:color="auto"/>
            </w:tcBorders>
            <w:vAlign w:val="center"/>
          </w:tcPr>
          <w:p w14:paraId="10686CEE"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LOW</w:t>
            </w:r>
          </w:p>
        </w:tc>
        <w:tc>
          <w:tcPr>
            <w:tcW w:w="491" w:type="pct"/>
            <w:tcBorders>
              <w:bottom w:val="single" w:sz="12" w:space="0" w:color="auto"/>
            </w:tcBorders>
            <w:vAlign w:val="center"/>
          </w:tcPr>
          <w:p w14:paraId="1127A6E8"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580" w:type="pct"/>
            <w:tcBorders>
              <w:bottom w:val="single" w:sz="12" w:space="0" w:color="auto"/>
            </w:tcBorders>
            <w:vAlign w:val="center"/>
          </w:tcPr>
          <w:p w14:paraId="393ABE7D"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HIGH</w:t>
            </w:r>
          </w:p>
        </w:tc>
        <w:tc>
          <w:tcPr>
            <w:tcW w:w="1473" w:type="pct"/>
            <w:tcBorders>
              <w:bottom w:val="single" w:sz="12" w:space="0" w:color="auto"/>
            </w:tcBorders>
            <w:vAlign w:val="center"/>
          </w:tcPr>
          <w:p w14:paraId="1DAAA1B2" w14:textId="77777777" w:rsidR="004B2C8C" w:rsidRPr="004205E6" w:rsidRDefault="00000000" w:rsidP="00A6623B">
            <w:pPr>
              <w:jc w:val="both"/>
              <w:rPr>
                <w:rFonts w:ascii="Arial" w:hAnsi="Arial" w:cs="Arial"/>
                <w:color w:val="000000" w:themeColor="text1"/>
              </w:rPr>
            </w:pPr>
            <w:r w:rsidRPr="004205E6">
              <w:rPr>
                <w:rFonts w:ascii="Arial" w:hAnsi="Arial" w:cs="Arial"/>
                <w:color w:val="000000" w:themeColor="text1"/>
                <w:sz w:val="16"/>
                <w:szCs w:val="16"/>
              </w:rPr>
              <w:t>ICU subset; events estimated</w:t>
            </w:r>
          </w:p>
        </w:tc>
      </w:tr>
    </w:tbl>
    <w:p w14:paraId="35CE44B9" w14:textId="77777777" w:rsidR="004B2C8C" w:rsidRPr="004205E6" w:rsidRDefault="00000000">
      <w:pPr>
        <w:spacing w:before="80" w:after="80"/>
        <w:rPr>
          <w:rFonts w:ascii="Arial" w:hAnsi="Arial" w:cs="Arial"/>
          <w:color w:val="000000" w:themeColor="text1"/>
        </w:rPr>
      </w:pPr>
      <w:r w:rsidRPr="004205E6">
        <w:rPr>
          <w:rFonts w:ascii="Arial" w:hAnsi="Arial" w:cs="Arial"/>
          <w:i/>
          <w:iCs/>
          <w:color w:val="000000" w:themeColor="text1"/>
          <w:sz w:val="14"/>
          <w:szCs w:val="14"/>
        </w:rPr>
        <w:t>PROBAST domain-level risk-of-bias ratings: LOW, MODERATE, HIGH, or UNCLEAR. PROBAST domains: Participants (data sources, inclusion criteria), Predictors (definition and assessment), Outcome (definition and timing), Analysis (sample size, missing data, performance, overfitting controls). We applied a pragmatic three-level adaptation (LOW/MODERATE/HIGH) in which the overall rating reflected the highest domain-level concern.</w:t>
      </w:r>
    </w:p>
    <w:p w14:paraId="452F354A" w14:textId="77777777" w:rsidR="004B2C8C" w:rsidRPr="004205E6" w:rsidRDefault="00000000">
      <w:pPr>
        <w:pStyle w:val="2"/>
        <w:spacing w:before="280" w:after="140"/>
        <w:rPr>
          <w:rFonts w:ascii="Arial" w:hAnsi="Arial" w:cs="Arial"/>
          <w:color w:val="000000" w:themeColor="text1"/>
          <w:sz w:val="24"/>
          <w:szCs w:val="24"/>
        </w:rPr>
      </w:pPr>
      <w:r w:rsidRPr="004205E6">
        <w:rPr>
          <w:rFonts w:ascii="Arial" w:hAnsi="Arial" w:cs="Arial"/>
          <w:b/>
          <w:bCs/>
          <w:color w:val="000000" w:themeColor="text1"/>
          <w:sz w:val="24"/>
          <w:szCs w:val="24"/>
        </w:rPr>
        <w:lastRenderedPageBreak/>
        <w:t>Supplementary Table S5. TRIPOD+AI Completeness per ML Model Report</w:t>
      </w:r>
    </w:p>
    <w:p w14:paraId="3F1C27AF" w14:textId="77777777" w:rsidR="004B2C8C" w:rsidRPr="004205E6" w:rsidRDefault="00000000">
      <w:pPr>
        <w:spacing w:before="80" w:after="80"/>
        <w:rPr>
          <w:rFonts w:ascii="Arial" w:hAnsi="Arial" w:cs="Arial"/>
          <w:color w:val="000000" w:themeColor="text1"/>
        </w:rPr>
      </w:pPr>
      <w:r w:rsidRPr="004205E6">
        <w:rPr>
          <w:rFonts w:ascii="Arial" w:hAnsi="Arial" w:cs="Arial"/>
          <w:color w:val="000000" w:themeColor="text1"/>
        </w:rPr>
        <w:t>TRIPOD+AI completeness as % of applicable items reported, with key strengths and gaps.</w:t>
      </w:r>
    </w:p>
    <w:tbl>
      <w:tblPr>
        <w:tblStyle w:val="aa"/>
        <w:tblW w:w="5000" w:type="pct"/>
        <w:tblLook w:val="04A0" w:firstRow="1" w:lastRow="0" w:firstColumn="1" w:lastColumn="0" w:noHBand="0" w:noVBand="1"/>
      </w:tblPr>
      <w:tblGrid>
        <w:gridCol w:w="2518"/>
        <w:gridCol w:w="2379"/>
        <w:gridCol w:w="4896"/>
        <w:gridCol w:w="5595"/>
      </w:tblGrid>
      <w:tr w:rsidR="004B2C8C" w:rsidRPr="004205E6" w14:paraId="5E30D3CF" w14:textId="77777777" w:rsidTr="00AA1A0F">
        <w:trPr>
          <w:trHeight w:val="368"/>
        </w:trPr>
        <w:tc>
          <w:tcPr>
            <w:tcW w:w="818" w:type="pct"/>
            <w:tcBorders>
              <w:top w:val="single" w:sz="12" w:space="0" w:color="auto"/>
              <w:bottom w:val="single" w:sz="12" w:space="0" w:color="auto"/>
            </w:tcBorders>
            <w:vAlign w:val="center"/>
          </w:tcPr>
          <w:p w14:paraId="362B2936" w14:textId="77777777" w:rsidR="004B2C8C" w:rsidRPr="004205E6" w:rsidRDefault="00000000" w:rsidP="00AA1A0F">
            <w:pPr>
              <w:jc w:val="both"/>
              <w:rPr>
                <w:rFonts w:ascii="Arial" w:hAnsi="Arial" w:cs="Arial"/>
                <w:color w:val="000000" w:themeColor="text1"/>
              </w:rPr>
            </w:pPr>
            <w:r w:rsidRPr="004205E6">
              <w:rPr>
                <w:rFonts w:ascii="Arial" w:hAnsi="Arial" w:cs="Arial"/>
                <w:b/>
                <w:bCs/>
                <w:color w:val="000000" w:themeColor="text1"/>
                <w:sz w:val="16"/>
                <w:szCs w:val="16"/>
              </w:rPr>
              <w:t>Study</w:t>
            </w:r>
          </w:p>
        </w:tc>
        <w:tc>
          <w:tcPr>
            <w:tcW w:w="773" w:type="pct"/>
            <w:tcBorders>
              <w:top w:val="single" w:sz="12" w:space="0" w:color="auto"/>
              <w:bottom w:val="single" w:sz="12" w:space="0" w:color="auto"/>
            </w:tcBorders>
            <w:vAlign w:val="center"/>
          </w:tcPr>
          <w:p w14:paraId="30D8BEC8" w14:textId="77777777" w:rsidR="004B2C8C" w:rsidRPr="004205E6" w:rsidRDefault="00000000" w:rsidP="00AA1A0F">
            <w:pPr>
              <w:jc w:val="both"/>
              <w:rPr>
                <w:rFonts w:ascii="Arial" w:hAnsi="Arial" w:cs="Arial"/>
                <w:color w:val="000000" w:themeColor="text1"/>
              </w:rPr>
            </w:pPr>
            <w:r w:rsidRPr="004205E6">
              <w:rPr>
                <w:rFonts w:ascii="Arial" w:hAnsi="Arial" w:cs="Arial"/>
                <w:b/>
                <w:bCs/>
                <w:color w:val="000000" w:themeColor="text1"/>
                <w:sz w:val="16"/>
                <w:szCs w:val="16"/>
              </w:rPr>
              <w:t>TRIPOD+AI completeness</w:t>
            </w:r>
          </w:p>
        </w:tc>
        <w:tc>
          <w:tcPr>
            <w:tcW w:w="1591" w:type="pct"/>
            <w:tcBorders>
              <w:top w:val="single" w:sz="12" w:space="0" w:color="auto"/>
              <w:bottom w:val="single" w:sz="12" w:space="0" w:color="auto"/>
            </w:tcBorders>
            <w:vAlign w:val="center"/>
          </w:tcPr>
          <w:p w14:paraId="061BC10C" w14:textId="77777777" w:rsidR="004B2C8C" w:rsidRPr="004205E6" w:rsidRDefault="00000000" w:rsidP="00AA1A0F">
            <w:pPr>
              <w:jc w:val="both"/>
              <w:rPr>
                <w:rFonts w:ascii="Arial" w:hAnsi="Arial" w:cs="Arial"/>
                <w:color w:val="000000" w:themeColor="text1"/>
              </w:rPr>
            </w:pPr>
            <w:r w:rsidRPr="004205E6">
              <w:rPr>
                <w:rFonts w:ascii="Arial" w:hAnsi="Arial" w:cs="Arial"/>
                <w:b/>
                <w:bCs/>
                <w:color w:val="000000" w:themeColor="text1"/>
                <w:sz w:val="16"/>
                <w:szCs w:val="16"/>
              </w:rPr>
              <w:t>Reporting strengths</w:t>
            </w:r>
          </w:p>
        </w:tc>
        <w:tc>
          <w:tcPr>
            <w:tcW w:w="1818" w:type="pct"/>
            <w:tcBorders>
              <w:top w:val="single" w:sz="12" w:space="0" w:color="auto"/>
              <w:bottom w:val="single" w:sz="12" w:space="0" w:color="auto"/>
            </w:tcBorders>
            <w:vAlign w:val="center"/>
          </w:tcPr>
          <w:p w14:paraId="71C99A49" w14:textId="77777777" w:rsidR="004B2C8C" w:rsidRPr="004205E6" w:rsidRDefault="00000000" w:rsidP="00AA1A0F">
            <w:pPr>
              <w:jc w:val="both"/>
              <w:rPr>
                <w:rFonts w:ascii="Arial" w:hAnsi="Arial" w:cs="Arial"/>
                <w:color w:val="000000" w:themeColor="text1"/>
              </w:rPr>
            </w:pPr>
            <w:r w:rsidRPr="004205E6">
              <w:rPr>
                <w:rFonts w:ascii="Arial" w:hAnsi="Arial" w:cs="Arial"/>
                <w:b/>
                <w:bCs/>
                <w:color w:val="000000" w:themeColor="text1"/>
                <w:sz w:val="16"/>
                <w:szCs w:val="16"/>
              </w:rPr>
              <w:t>Reporting gaps</w:t>
            </w:r>
          </w:p>
        </w:tc>
      </w:tr>
      <w:tr w:rsidR="004B2C8C" w:rsidRPr="004205E6" w14:paraId="426093C3" w14:textId="77777777" w:rsidTr="00AA1A0F">
        <w:trPr>
          <w:trHeight w:val="368"/>
        </w:trPr>
        <w:tc>
          <w:tcPr>
            <w:tcW w:w="818" w:type="pct"/>
            <w:tcBorders>
              <w:top w:val="single" w:sz="12" w:space="0" w:color="auto"/>
            </w:tcBorders>
            <w:vAlign w:val="center"/>
          </w:tcPr>
          <w:p w14:paraId="123A9E9E"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Li 2025</w:t>
            </w:r>
          </w:p>
        </w:tc>
        <w:tc>
          <w:tcPr>
            <w:tcW w:w="773" w:type="pct"/>
            <w:tcBorders>
              <w:top w:val="single" w:sz="12" w:space="0" w:color="auto"/>
            </w:tcBorders>
            <w:vAlign w:val="center"/>
          </w:tcPr>
          <w:p w14:paraId="6DE3D4E2"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89%</w:t>
            </w:r>
          </w:p>
        </w:tc>
        <w:tc>
          <w:tcPr>
            <w:tcW w:w="1591" w:type="pct"/>
            <w:tcBorders>
              <w:top w:val="single" w:sz="12" w:space="0" w:color="auto"/>
            </w:tcBorders>
            <w:vAlign w:val="center"/>
          </w:tcPr>
          <w:p w14:paraId="586AD8DD"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External validation; SHAP; deployment workflow; calibration plot</w:t>
            </w:r>
          </w:p>
        </w:tc>
        <w:tc>
          <w:tcPr>
            <w:tcW w:w="1818" w:type="pct"/>
            <w:tcBorders>
              <w:top w:val="single" w:sz="12" w:space="0" w:color="auto"/>
            </w:tcBorders>
            <w:vAlign w:val="center"/>
          </w:tcPr>
          <w:p w14:paraId="160E6C61"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Sample size justification absent</w:t>
            </w:r>
          </w:p>
        </w:tc>
      </w:tr>
      <w:tr w:rsidR="004B2C8C" w:rsidRPr="004205E6" w14:paraId="44E873A6" w14:textId="77777777" w:rsidTr="00AA1A0F">
        <w:trPr>
          <w:trHeight w:val="368"/>
        </w:trPr>
        <w:tc>
          <w:tcPr>
            <w:tcW w:w="818" w:type="pct"/>
            <w:vAlign w:val="center"/>
          </w:tcPr>
          <w:p w14:paraId="0E118778"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Alomari 2026</w:t>
            </w:r>
          </w:p>
        </w:tc>
        <w:tc>
          <w:tcPr>
            <w:tcW w:w="773" w:type="pct"/>
            <w:vAlign w:val="center"/>
          </w:tcPr>
          <w:p w14:paraId="5186C216"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76%</w:t>
            </w:r>
          </w:p>
        </w:tc>
        <w:tc>
          <w:tcPr>
            <w:tcW w:w="1591" w:type="pct"/>
            <w:vAlign w:val="center"/>
          </w:tcPr>
          <w:p w14:paraId="39D0A860"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External validation (Jefferson); Clustering rationale; sensitivity</w:t>
            </w:r>
          </w:p>
        </w:tc>
        <w:tc>
          <w:tcPr>
            <w:tcW w:w="1818" w:type="pct"/>
            <w:vAlign w:val="center"/>
          </w:tcPr>
          <w:p w14:paraId="14D83150"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Calibration sparse</w:t>
            </w:r>
          </w:p>
        </w:tc>
      </w:tr>
      <w:tr w:rsidR="004B2C8C" w:rsidRPr="004205E6" w14:paraId="6DDB061C" w14:textId="77777777" w:rsidTr="00AA1A0F">
        <w:trPr>
          <w:trHeight w:val="368"/>
        </w:trPr>
        <w:tc>
          <w:tcPr>
            <w:tcW w:w="818" w:type="pct"/>
            <w:vAlign w:val="center"/>
          </w:tcPr>
          <w:p w14:paraId="24A979E1"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Li 2026</w:t>
            </w:r>
          </w:p>
        </w:tc>
        <w:tc>
          <w:tcPr>
            <w:tcW w:w="773" w:type="pct"/>
            <w:vAlign w:val="center"/>
          </w:tcPr>
          <w:p w14:paraId="14B566A9"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74%</w:t>
            </w:r>
          </w:p>
        </w:tc>
        <w:tc>
          <w:tcPr>
            <w:tcW w:w="1591" w:type="pct"/>
            <w:vAlign w:val="center"/>
          </w:tcPr>
          <w:p w14:paraId="0E302489"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SHAP; PROBAST self-report</w:t>
            </w:r>
          </w:p>
        </w:tc>
        <w:tc>
          <w:tcPr>
            <w:tcW w:w="1818" w:type="pct"/>
            <w:vAlign w:val="center"/>
          </w:tcPr>
          <w:p w14:paraId="67F645A7"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External validation incomplete</w:t>
            </w:r>
          </w:p>
        </w:tc>
      </w:tr>
      <w:tr w:rsidR="004B2C8C" w:rsidRPr="004205E6" w14:paraId="4BEB31D4" w14:textId="77777777" w:rsidTr="00AA1A0F">
        <w:trPr>
          <w:trHeight w:val="368"/>
        </w:trPr>
        <w:tc>
          <w:tcPr>
            <w:tcW w:w="818" w:type="pct"/>
            <w:vAlign w:val="center"/>
          </w:tcPr>
          <w:p w14:paraId="06865656"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Chen 2025</w:t>
            </w:r>
          </w:p>
        </w:tc>
        <w:tc>
          <w:tcPr>
            <w:tcW w:w="773" w:type="pct"/>
            <w:vAlign w:val="center"/>
          </w:tcPr>
          <w:p w14:paraId="6AAAE5F3"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73%</w:t>
            </w:r>
          </w:p>
        </w:tc>
        <w:tc>
          <w:tcPr>
            <w:tcW w:w="1591" w:type="pct"/>
            <w:vAlign w:val="center"/>
          </w:tcPr>
          <w:p w14:paraId="39448AC5"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Web deployment; calibration</w:t>
            </w:r>
          </w:p>
        </w:tc>
        <w:tc>
          <w:tcPr>
            <w:tcW w:w="1818" w:type="pct"/>
            <w:vAlign w:val="center"/>
          </w:tcPr>
          <w:p w14:paraId="158C8C33"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External validation absent</w:t>
            </w:r>
          </w:p>
        </w:tc>
      </w:tr>
      <w:tr w:rsidR="004B2C8C" w:rsidRPr="004205E6" w14:paraId="466441A5" w14:textId="77777777" w:rsidTr="00AA1A0F">
        <w:trPr>
          <w:trHeight w:val="368"/>
        </w:trPr>
        <w:tc>
          <w:tcPr>
            <w:tcW w:w="818" w:type="pct"/>
            <w:vAlign w:val="center"/>
          </w:tcPr>
          <w:p w14:paraId="18E37FCA"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Zang 2025</w:t>
            </w:r>
          </w:p>
        </w:tc>
        <w:tc>
          <w:tcPr>
            <w:tcW w:w="773" w:type="pct"/>
            <w:vAlign w:val="center"/>
          </w:tcPr>
          <w:p w14:paraId="6AAA1FD4"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74%</w:t>
            </w:r>
          </w:p>
        </w:tc>
        <w:tc>
          <w:tcPr>
            <w:tcW w:w="1591" w:type="pct"/>
            <w:vAlign w:val="center"/>
          </w:tcPr>
          <w:p w14:paraId="1B93F1BE"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Architecture description detailed</w:t>
            </w:r>
          </w:p>
        </w:tc>
        <w:tc>
          <w:tcPr>
            <w:tcW w:w="1818" w:type="pct"/>
            <w:vAlign w:val="center"/>
          </w:tcPr>
          <w:p w14:paraId="15ADC4D1"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Calibration sparse</w:t>
            </w:r>
          </w:p>
        </w:tc>
      </w:tr>
      <w:tr w:rsidR="004B2C8C" w:rsidRPr="004205E6" w14:paraId="693F7D11" w14:textId="77777777" w:rsidTr="00AA1A0F">
        <w:trPr>
          <w:trHeight w:val="368"/>
        </w:trPr>
        <w:tc>
          <w:tcPr>
            <w:tcW w:w="818" w:type="pct"/>
            <w:vAlign w:val="center"/>
          </w:tcPr>
          <w:p w14:paraId="0F3727DE"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Boros 2025</w:t>
            </w:r>
          </w:p>
        </w:tc>
        <w:tc>
          <w:tcPr>
            <w:tcW w:w="773" w:type="pct"/>
            <w:vAlign w:val="center"/>
          </w:tcPr>
          <w:p w14:paraId="520129B8"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72%</w:t>
            </w:r>
          </w:p>
        </w:tc>
        <w:tc>
          <w:tcPr>
            <w:tcW w:w="1591" w:type="pct"/>
            <w:vAlign w:val="center"/>
          </w:tcPr>
          <w:p w14:paraId="11AA48EB"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Subgroup analysis; sensitivity</w:t>
            </w:r>
          </w:p>
        </w:tc>
        <w:tc>
          <w:tcPr>
            <w:tcW w:w="1818" w:type="pct"/>
            <w:vAlign w:val="center"/>
          </w:tcPr>
          <w:p w14:paraId="4CBC2760"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TRIPOD+AI AI-specific items partial</w:t>
            </w:r>
          </w:p>
        </w:tc>
      </w:tr>
      <w:tr w:rsidR="004B2C8C" w:rsidRPr="004205E6" w14:paraId="6C73E542" w14:textId="77777777" w:rsidTr="00AA1A0F">
        <w:trPr>
          <w:trHeight w:val="368"/>
        </w:trPr>
        <w:tc>
          <w:tcPr>
            <w:tcW w:w="818" w:type="pct"/>
            <w:vAlign w:val="center"/>
          </w:tcPr>
          <w:p w14:paraId="43ADE44B"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Seo 2020</w:t>
            </w:r>
          </w:p>
        </w:tc>
        <w:tc>
          <w:tcPr>
            <w:tcW w:w="773" w:type="pct"/>
            <w:vAlign w:val="center"/>
          </w:tcPr>
          <w:p w14:paraId="011BF967"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71%</w:t>
            </w:r>
          </w:p>
        </w:tc>
        <w:tc>
          <w:tcPr>
            <w:tcW w:w="1591" w:type="pct"/>
            <w:vAlign w:val="center"/>
          </w:tcPr>
          <w:p w14:paraId="293B83F7"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Internal cross-validation; multi-outcome</w:t>
            </w:r>
          </w:p>
        </w:tc>
        <w:tc>
          <w:tcPr>
            <w:tcW w:w="1818" w:type="pct"/>
            <w:vAlign w:val="center"/>
          </w:tcPr>
          <w:p w14:paraId="6B426043"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Imbalance handling unclear</w:t>
            </w:r>
          </w:p>
        </w:tc>
      </w:tr>
      <w:tr w:rsidR="004B2C8C" w:rsidRPr="004205E6" w14:paraId="3778520B" w14:textId="77777777" w:rsidTr="00AA1A0F">
        <w:trPr>
          <w:trHeight w:val="368"/>
        </w:trPr>
        <w:tc>
          <w:tcPr>
            <w:tcW w:w="818" w:type="pct"/>
            <w:vAlign w:val="center"/>
          </w:tcPr>
          <w:p w14:paraId="352F0166"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Chen 2025</w:t>
            </w:r>
          </w:p>
        </w:tc>
        <w:tc>
          <w:tcPr>
            <w:tcW w:w="773" w:type="pct"/>
            <w:vAlign w:val="center"/>
          </w:tcPr>
          <w:p w14:paraId="67557999"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76%</w:t>
            </w:r>
          </w:p>
        </w:tc>
        <w:tc>
          <w:tcPr>
            <w:tcW w:w="1591" w:type="pct"/>
            <w:vAlign w:val="center"/>
          </w:tcPr>
          <w:p w14:paraId="5526D0BA"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Nomogram interpretability</w:t>
            </w:r>
          </w:p>
        </w:tc>
        <w:tc>
          <w:tcPr>
            <w:tcW w:w="1818" w:type="pct"/>
            <w:vAlign w:val="center"/>
          </w:tcPr>
          <w:p w14:paraId="4D2249DC"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External absent</w:t>
            </w:r>
          </w:p>
        </w:tc>
      </w:tr>
      <w:tr w:rsidR="004B2C8C" w:rsidRPr="004205E6" w14:paraId="41DB046D" w14:textId="77777777" w:rsidTr="00AA1A0F">
        <w:trPr>
          <w:trHeight w:val="368"/>
        </w:trPr>
        <w:tc>
          <w:tcPr>
            <w:tcW w:w="818" w:type="pct"/>
            <w:vAlign w:val="center"/>
          </w:tcPr>
          <w:p w14:paraId="1DF030A9"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Lu 2026</w:t>
            </w:r>
          </w:p>
        </w:tc>
        <w:tc>
          <w:tcPr>
            <w:tcW w:w="773" w:type="pct"/>
            <w:vAlign w:val="center"/>
          </w:tcPr>
          <w:p w14:paraId="228793DF"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68%</w:t>
            </w:r>
          </w:p>
        </w:tc>
        <w:tc>
          <w:tcPr>
            <w:tcW w:w="1591" w:type="pct"/>
            <w:vAlign w:val="center"/>
          </w:tcPr>
          <w:p w14:paraId="464088A2"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External validation using eICU; large MIMIC/eICU cohort</w:t>
            </w:r>
          </w:p>
        </w:tc>
        <w:tc>
          <w:tcPr>
            <w:tcW w:w="1818" w:type="pct"/>
            <w:vAlign w:val="center"/>
          </w:tcPr>
          <w:p w14:paraId="34C698A7"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w:t>
            </w:r>
          </w:p>
        </w:tc>
      </w:tr>
      <w:tr w:rsidR="004B2C8C" w:rsidRPr="004205E6" w14:paraId="1A7F126F" w14:textId="77777777" w:rsidTr="00AA1A0F">
        <w:trPr>
          <w:trHeight w:val="368"/>
        </w:trPr>
        <w:tc>
          <w:tcPr>
            <w:tcW w:w="818" w:type="pct"/>
            <w:vAlign w:val="center"/>
          </w:tcPr>
          <w:p w14:paraId="0A45A790"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Zhao 2024</w:t>
            </w:r>
          </w:p>
        </w:tc>
        <w:tc>
          <w:tcPr>
            <w:tcW w:w="773" w:type="pct"/>
            <w:vAlign w:val="center"/>
          </w:tcPr>
          <w:p w14:paraId="2D39EA3F"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64%</w:t>
            </w:r>
          </w:p>
        </w:tc>
        <w:tc>
          <w:tcPr>
            <w:tcW w:w="1591" w:type="pct"/>
            <w:vAlign w:val="center"/>
          </w:tcPr>
          <w:p w14:paraId="21DC4FCD"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ICU subset</w:t>
            </w:r>
          </w:p>
        </w:tc>
        <w:tc>
          <w:tcPr>
            <w:tcW w:w="1818" w:type="pct"/>
            <w:vAlign w:val="center"/>
          </w:tcPr>
          <w:p w14:paraId="1BEE27F1"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Calibration absent; HIGH PROBAST</w:t>
            </w:r>
          </w:p>
        </w:tc>
      </w:tr>
      <w:tr w:rsidR="004B2C8C" w:rsidRPr="004205E6" w14:paraId="493290A9" w14:textId="77777777" w:rsidTr="00AA1A0F">
        <w:trPr>
          <w:trHeight w:val="368"/>
        </w:trPr>
        <w:tc>
          <w:tcPr>
            <w:tcW w:w="818" w:type="pct"/>
            <w:vAlign w:val="center"/>
          </w:tcPr>
          <w:p w14:paraId="17F2E38D"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Deng 2025</w:t>
            </w:r>
          </w:p>
        </w:tc>
        <w:tc>
          <w:tcPr>
            <w:tcW w:w="773" w:type="pct"/>
            <w:vAlign w:val="center"/>
          </w:tcPr>
          <w:p w14:paraId="5C1046AD"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70%</w:t>
            </w:r>
          </w:p>
        </w:tc>
        <w:tc>
          <w:tcPr>
            <w:tcW w:w="1591" w:type="pct"/>
            <w:vAlign w:val="center"/>
          </w:tcPr>
          <w:p w14:paraId="77744C5C"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LSTM architecture</w:t>
            </w:r>
          </w:p>
        </w:tc>
        <w:tc>
          <w:tcPr>
            <w:tcW w:w="1818" w:type="pct"/>
            <w:vAlign w:val="center"/>
          </w:tcPr>
          <w:p w14:paraId="43A26CBE"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No CCS comparator</w:t>
            </w:r>
          </w:p>
        </w:tc>
      </w:tr>
      <w:tr w:rsidR="004B2C8C" w:rsidRPr="004205E6" w14:paraId="42E0C95B" w14:textId="77777777" w:rsidTr="00AA1A0F">
        <w:trPr>
          <w:trHeight w:val="368"/>
        </w:trPr>
        <w:tc>
          <w:tcPr>
            <w:tcW w:w="818" w:type="pct"/>
            <w:vAlign w:val="center"/>
          </w:tcPr>
          <w:p w14:paraId="33E482DB"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Huang 2025</w:t>
            </w:r>
          </w:p>
        </w:tc>
        <w:tc>
          <w:tcPr>
            <w:tcW w:w="773" w:type="pct"/>
            <w:vAlign w:val="center"/>
          </w:tcPr>
          <w:p w14:paraId="607CCEC5"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65%</w:t>
            </w:r>
          </w:p>
        </w:tc>
        <w:tc>
          <w:tcPr>
            <w:tcW w:w="1591" w:type="pct"/>
            <w:vAlign w:val="center"/>
          </w:tcPr>
          <w:p w14:paraId="2F1532C9"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Renal subgroup specific</w:t>
            </w:r>
          </w:p>
        </w:tc>
        <w:tc>
          <w:tcPr>
            <w:tcW w:w="1818" w:type="pct"/>
            <w:vAlign w:val="center"/>
          </w:tcPr>
          <w:p w14:paraId="5B4A0CFA"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TRIPOD+AI AI items partial</w:t>
            </w:r>
          </w:p>
        </w:tc>
      </w:tr>
      <w:tr w:rsidR="004B2C8C" w:rsidRPr="004205E6" w14:paraId="5B0402A1" w14:textId="77777777" w:rsidTr="00AA1A0F">
        <w:trPr>
          <w:trHeight w:val="368"/>
        </w:trPr>
        <w:tc>
          <w:tcPr>
            <w:tcW w:w="818" w:type="pct"/>
            <w:vAlign w:val="center"/>
          </w:tcPr>
          <w:p w14:paraId="44998F89"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Tan 2018</w:t>
            </w:r>
          </w:p>
        </w:tc>
        <w:tc>
          <w:tcPr>
            <w:tcW w:w="773" w:type="pct"/>
            <w:vAlign w:val="center"/>
          </w:tcPr>
          <w:p w14:paraId="52244EB0"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58%</w:t>
            </w:r>
          </w:p>
        </w:tc>
        <w:tc>
          <w:tcPr>
            <w:tcW w:w="1591" w:type="pct"/>
            <w:vAlign w:val="center"/>
          </w:tcPr>
          <w:p w14:paraId="55EBA08F"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Pre-2020 reporting</w:t>
            </w:r>
          </w:p>
        </w:tc>
        <w:tc>
          <w:tcPr>
            <w:tcW w:w="1818" w:type="pct"/>
            <w:vAlign w:val="center"/>
          </w:tcPr>
          <w:p w14:paraId="4B7B79FF"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AI training detail sparse</w:t>
            </w:r>
          </w:p>
        </w:tc>
      </w:tr>
      <w:tr w:rsidR="004B2C8C" w:rsidRPr="004205E6" w14:paraId="07D8B095" w14:textId="77777777" w:rsidTr="00AA1A0F">
        <w:trPr>
          <w:trHeight w:val="368"/>
        </w:trPr>
        <w:tc>
          <w:tcPr>
            <w:tcW w:w="818" w:type="pct"/>
            <w:vAlign w:val="center"/>
          </w:tcPr>
          <w:p w14:paraId="43E5AFE8"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Rotondano 2011</w:t>
            </w:r>
          </w:p>
        </w:tc>
        <w:tc>
          <w:tcPr>
            <w:tcW w:w="773" w:type="pct"/>
            <w:vAlign w:val="center"/>
          </w:tcPr>
          <w:p w14:paraId="5D9A33D1"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38%</w:t>
            </w:r>
          </w:p>
        </w:tc>
        <w:tc>
          <w:tcPr>
            <w:tcW w:w="1591" w:type="pct"/>
            <w:vAlign w:val="center"/>
          </w:tcPr>
          <w:p w14:paraId="7FC2BF46"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Historical anchor</w:t>
            </w:r>
          </w:p>
        </w:tc>
        <w:tc>
          <w:tcPr>
            <w:tcW w:w="1818" w:type="pct"/>
            <w:vAlign w:val="center"/>
          </w:tcPr>
          <w:p w14:paraId="6D30E546"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Pre-TRIPOD+AI era; sparse reporting</w:t>
            </w:r>
          </w:p>
        </w:tc>
      </w:tr>
      <w:tr w:rsidR="004B2C8C" w:rsidRPr="004205E6" w14:paraId="76543BEA" w14:textId="77777777" w:rsidTr="00AA1A0F">
        <w:trPr>
          <w:trHeight w:val="368"/>
        </w:trPr>
        <w:tc>
          <w:tcPr>
            <w:tcW w:w="818" w:type="pct"/>
            <w:vAlign w:val="center"/>
          </w:tcPr>
          <w:p w14:paraId="1EFB0B3D"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Das 2008</w:t>
            </w:r>
          </w:p>
        </w:tc>
        <w:tc>
          <w:tcPr>
            <w:tcW w:w="773" w:type="pct"/>
            <w:vAlign w:val="center"/>
          </w:tcPr>
          <w:p w14:paraId="1FEAE519"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42%</w:t>
            </w:r>
          </w:p>
        </w:tc>
        <w:tc>
          <w:tcPr>
            <w:tcW w:w="1591" w:type="pct"/>
            <w:vAlign w:val="center"/>
          </w:tcPr>
          <w:p w14:paraId="1163C3EE"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Pre-TRIPOD+AI era</w:t>
            </w:r>
          </w:p>
        </w:tc>
        <w:tc>
          <w:tcPr>
            <w:tcW w:w="1818" w:type="pct"/>
            <w:vAlign w:val="center"/>
          </w:tcPr>
          <w:p w14:paraId="3B603EC1"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Sparse reporting</w:t>
            </w:r>
          </w:p>
        </w:tc>
      </w:tr>
      <w:tr w:rsidR="004B2C8C" w:rsidRPr="004205E6" w14:paraId="5F8987EA" w14:textId="77777777" w:rsidTr="00AA1A0F">
        <w:trPr>
          <w:trHeight w:val="368"/>
        </w:trPr>
        <w:tc>
          <w:tcPr>
            <w:tcW w:w="818" w:type="pct"/>
            <w:vAlign w:val="center"/>
          </w:tcPr>
          <w:p w14:paraId="188B7CFE"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Shung 2024</w:t>
            </w:r>
          </w:p>
        </w:tc>
        <w:tc>
          <w:tcPr>
            <w:tcW w:w="773" w:type="pct"/>
            <w:vAlign w:val="center"/>
          </w:tcPr>
          <w:p w14:paraId="3A46CEDA"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82%</w:t>
            </w:r>
          </w:p>
        </w:tc>
        <w:tc>
          <w:tcPr>
            <w:tcW w:w="1591" w:type="pct"/>
            <w:vAlign w:val="center"/>
          </w:tcPr>
          <w:p w14:paraId="497A4BF9"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External validation cohort; full model documentation; calibration plot</w:t>
            </w:r>
          </w:p>
        </w:tc>
        <w:tc>
          <w:tcPr>
            <w:tcW w:w="1818" w:type="pct"/>
            <w:vAlign w:val="center"/>
          </w:tcPr>
          <w:p w14:paraId="73C173EF"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Sample size justification for subgroup</w:t>
            </w:r>
          </w:p>
        </w:tc>
      </w:tr>
      <w:tr w:rsidR="004B2C8C" w:rsidRPr="004205E6" w14:paraId="2942A69A" w14:textId="77777777" w:rsidTr="00AA1A0F">
        <w:trPr>
          <w:trHeight w:val="368"/>
        </w:trPr>
        <w:tc>
          <w:tcPr>
            <w:tcW w:w="818" w:type="pct"/>
            <w:vAlign w:val="center"/>
          </w:tcPr>
          <w:p w14:paraId="3A301205"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Nazarian 2024</w:t>
            </w:r>
          </w:p>
        </w:tc>
        <w:tc>
          <w:tcPr>
            <w:tcW w:w="773" w:type="pct"/>
            <w:vAlign w:val="center"/>
          </w:tcPr>
          <w:p w14:paraId="613026E0"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72%</w:t>
            </w:r>
          </w:p>
        </w:tc>
        <w:tc>
          <w:tcPr>
            <w:tcW w:w="1591" w:type="pct"/>
            <w:vAlign w:val="center"/>
          </w:tcPr>
          <w:p w14:paraId="0F505025"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Random Forest with feature importance</w:t>
            </w:r>
          </w:p>
        </w:tc>
        <w:tc>
          <w:tcPr>
            <w:tcW w:w="1818" w:type="pct"/>
            <w:vAlign w:val="center"/>
          </w:tcPr>
          <w:p w14:paraId="171F5D15"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External validation absent; small sample</w:t>
            </w:r>
          </w:p>
        </w:tc>
      </w:tr>
      <w:tr w:rsidR="004B2C8C" w:rsidRPr="004205E6" w14:paraId="6EAFF446" w14:textId="77777777" w:rsidTr="00AA1A0F">
        <w:trPr>
          <w:trHeight w:val="368"/>
        </w:trPr>
        <w:tc>
          <w:tcPr>
            <w:tcW w:w="818" w:type="pct"/>
            <w:vAlign w:val="center"/>
          </w:tcPr>
          <w:p w14:paraId="7CFE2FB8"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Raghareutai 2025</w:t>
            </w:r>
          </w:p>
        </w:tc>
        <w:tc>
          <w:tcPr>
            <w:tcW w:w="773" w:type="pct"/>
            <w:vAlign w:val="center"/>
          </w:tcPr>
          <w:p w14:paraId="3E799483"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70%</w:t>
            </w:r>
          </w:p>
        </w:tc>
        <w:tc>
          <w:tcPr>
            <w:tcW w:w="1591" w:type="pct"/>
            <w:vAlign w:val="center"/>
          </w:tcPr>
          <w:p w14:paraId="59434A5E"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15-ML model comparison with CV</w:t>
            </w:r>
          </w:p>
        </w:tc>
        <w:tc>
          <w:tcPr>
            <w:tcW w:w="1818" w:type="pct"/>
            <w:vAlign w:val="center"/>
          </w:tcPr>
          <w:p w14:paraId="0588DDC1"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Calibration plots sparse; no external validation</w:t>
            </w:r>
          </w:p>
        </w:tc>
      </w:tr>
      <w:tr w:rsidR="004B2C8C" w:rsidRPr="004205E6" w14:paraId="05D6FC81" w14:textId="77777777" w:rsidTr="00AA1A0F">
        <w:trPr>
          <w:trHeight w:val="368"/>
        </w:trPr>
        <w:tc>
          <w:tcPr>
            <w:tcW w:w="818" w:type="pct"/>
            <w:tcBorders>
              <w:bottom w:val="single" w:sz="4" w:space="0" w:color="BFBFBF" w:themeColor="background1" w:themeShade="BF"/>
            </w:tcBorders>
            <w:vAlign w:val="center"/>
          </w:tcPr>
          <w:p w14:paraId="6F3B265A"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Park 2018</w:t>
            </w:r>
          </w:p>
        </w:tc>
        <w:tc>
          <w:tcPr>
            <w:tcW w:w="773" w:type="pct"/>
            <w:tcBorders>
              <w:bottom w:val="single" w:sz="4" w:space="0" w:color="BFBFBF" w:themeColor="background1" w:themeShade="BF"/>
            </w:tcBorders>
            <w:vAlign w:val="center"/>
          </w:tcPr>
          <w:p w14:paraId="4B3B2D86"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58%</w:t>
            </w:r>
          </w:p>
        </w:tc>
        <w:tc>
          <w:tcPr>
            <w:tcW w:w="1591" w:type="pct"/>
            <w:tcBorders>
              <w:bottom w:val="single" w:sz="4" w:space="0" w:color="BFBFBF" w:themeColor="background1" w:themeShade="BF"/>
            </w:tcBorders>
            <w:vAlign w:val="center"/>
          </w:tcPr>
          <w:p w14:paraId="384E5DFF"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Multi-ML ensemble; ensemble rationale</w:t>
            </w:r>
          </w:p>
        </w:tc>
        <w:tc>
          <w:tcPr>
            <w:tcW w:w="1818" w:type="pct"/>
            <w:tcBorders>
              <w:bottom w:val="single" w:sz="4" w:space="0" w:color="BFBFBF" w:themeColor="background1" w:themeShade="BF"/>
            </w:tcBorders>
            <w:vAlign w:val="center"/>
          </w:tcPr>
          <w:p w14:paraId="3178E431"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No external validation; calibration absent</w:t>
            </w:r>
          </w:p>
        </w:tc>
      </w:tr>
      <w:tr w:rsidR="004B2C8C" w:rsidRPr="004205E6" w14:paraId="264CBB40" w14:textId="77777777" w:rsidTr="00AA1A0F">
        <w:trPr>
          <w:trHeight w:val="368"/>
        </w:trPr>
        <w:tc>
          <w:tcPr>
            <w:tcW w:w="818" w:type="pct"/>
            <w:tcBorders>
              <w:bottom w:val="single" w:sz="12" w:space="0" w:color="auto"/>
            </w:tcBorders>
            <w:vAlign w:val="center"/>
          </w:tcPr>
          <w:p w14:paraId="23A18608"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Lin 2026</w:t>
            </w:r>
          </w:p>
        </w:tc>
        <w:tc>
          <w:tcPr>
            <w:tcW w:w="773" w:type="pct"/>
            <w:tcBorders>
              <w:bottom w:val="single" w:sz="12" w:space="0" w:color="auto"/>
            </w:tcBorders>
            <w:vAlign w:val="center"/>
          </w:tcPr>
          <w:p w14:paraId="069F97FB"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74%</w:t>
            </w:r>
          </w:p>
        </w:tc>
        <w:tc>
          <w:tcPr>
            <w:tcW w:w="1591" w:type="pct"/>
            <w:tcBorders>
              <w:bottom w:val="single" w:sz="12" w:space="0" w:color="auto"/>
            </w:tcBorders>
            <w:vAlign w:val="center"/>
          </w:tcPr>
          <w:p w14:paraId="33963F11"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Explainable ML + SHAP; calibration</w:t>
            </w:r>
          </w:p>
        </w:tc>
        <w:tc>
          <w:tcPr>
            <w:tcW w:w="1818" w:type="pct"/>
            <w:tcBorders>
              <w:bottom w:val="single" w:sz="12" w:space="0" w:color="auto"/>
            </w:tcBorders>
            <w:vAlign w:val="center"/>
          </w:tcPr>
          <w:p w14:paraId="25FE4293"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Internal validation only; small sample</w:t>
            </w:r>
          </w:p>
        </w:tc>
      </w:tr>
    </w:tbl>
    <w:p w14:paraId="68B8426A" w14:textId="77777777" w:rsidR="004B2C8C" w:rsidRPr="004205E6" w:rsidRDefault="00000000">
      <w:pPr>
        <w:spacing w:before="80" w:after="80"/>
        <w:rPr>
          <w:rFonts w:ascii="Arial" w:hAnsi="Arial" w:cs="Arial"/>
          <w:color w:val="000000" w:themeColor="text1"/>
        </w:rPr>
      </w:pPr>
      <w:r w:rsidRPr="004205E6">
        <w:rPr>
          <w:rFonts w:ascii="Arial" w:hAnsi="Arial" w:cs="Arial"/>
          <w:i/>
          <w:iCs/>
          <w:color w:val="000000" w:themeColor="text1"/>
          <w:sz w:val="14"/>
          <w:szCs w:val="14"/>
        </w:rPr>
        <w:t>TRIPOD+AI completeness reported as the percentage of applicable items reported per study (denominator varies by model type and reporting scope). Strengths and Gaps columns indicate items reported well or incompletely.</w:t>
      </w:r>
    </w:p>
    <w:p w14:paraId="7FD8D73D" w14:textId="77777777" w:rsidR="004B2C8C" w:rsidRPr="004205E6" w:rsidRDefault="00000000">
      <w:pPr>
        <w:rPr>
          <w:rFonts w:ascii="Arial" w:hAnsi="Arial" w:cs="Arial"/>
          <w:color w:val="000000" w:themeColor="text1"/>
        </w:rPr>
      </w:pPr>
      <w:r w:rsidRPr="004205E6">
        <w:rPr>
          <w:rFonts w:ascii="Arial" w:hAnsi="Arial" w:cs="Arial"/>
          <w:color w:val="000000" w:themeColor="text1"/>
        </w:rPr>
        <w:br w:type="page"/>
      </w:r>
    </w:p>
    <w:p w14:paraId="3CC62D3B" w14:textId="77777777" w:rsidR="004B2C8C" w:rsidRPr="004205E6" w:rsidRDefault="00000000">
      <w:pPr>
        <w:pStyle w:val="2"/>
        <w:spacing w:before="280" w:after="140"/>
        <w:rPr>
          <w:rFonts w:ascii="Arial" w:hAnsi="Arial" w:cs="Arial"/>
          <w:color w:val="000000" w:themeColor="text1"/>
          <w:sz w:val="24"/>
          <w:szCs w:val="24"/>
        </w:rPr>
      </w:pPr>
      <w:r w:rsidRPr="004205E6">
        <w:rPr>
          <w:rFonts w:ascii="Arial" w:hAnsi="Arial" w:cs="Arial"/>
          <w:b/>
          <w:bCs/>
          <w:color w:val="000000" w:themeColor="text1"/>
          <w:sz w:val="24"/>
          <w:szCs w:val="24"/>
        </w:rPr>
        <w:lastRenderedPageBreak/>
        <w:t>Supplementary Table S6. CRS Domain Definitions</w:t>
      </w:r>
    </w:p>
    <w:p w14:paraId="19C203D5" w14:textId="77777777" w:rsidR="004B2C8C" w:rsidRPr="004205E6" w:rsidRDefault="00000000">
      <w:pPr>
        <w:spacing w:before="80" w:after="80"/>
        <w:rPr>
          <w:rFonts w:ascii="Arial" w:hAnsi="Arial" w:cs="Arial"/>
          <w:color w:val="000000" w:themeColor="text1"/>
        </w:rPr>
      </w:pPr>
      <w:r w:rsidRPr="004205E6">
        <w:rPr>
          <w:rFonts w:ascii="Arial" w:hAnsi="Arial" w:cs="Arial"/>
          <w:color w:val="000000" w:themeColor="text1"/>
        </w:rPr>
        <w:t>Clinical Readiness Score (CRS) — exploratory 7-domain composite developed for this review. Each domain scored 0–10 with equal weighting; not externally validated as a measurement instrument.</w:t>
      </w:r>
    </w:p>
    <w:tbl>
      <w:tblPr>
        <w:tblStyle w:val="aa"/>
        <w:tblW w:w="5000" w:type="pct"/>
        <w:tblBorders>
          <w:top w:val="single" w:sz="12" w:space="0" w:color="auto"/>
          <w:bottom w:val="single" w:sz="12" w:space="0" w:color="auto"/>
        </w:tblBorders>
        <w:tblLook w:val="04A0" w:firstRow="1" w:lastRow="0" w:firstColumn="1" w:lastColumn="0" w:noHBand="0" w:noVBand="1"/>
      </w:tblPr>
      <w:tblGrid>
        <w:gridCol w:w="2832"/>
        <w:gridCol w:w="5530"/>
        <w:gridCol w:w="5666"/>
        <w:gridCol w:w="1360"/>
      </w:tblGrid>
      <w:tr w:rsidR="004B2C8C" w:rsidRPr="004205E6" w14:paraId="24C465DB" w14:textId="77777777" w:rsidTr="00AA1A0F">
        <w:trPr>
          <w:trHeight w:val="552"/>
        </w:trPr>
        <w:tc>
          <w:tcPr>
            <w:tcW w:w="920" w:type="pct"/>
            <w:tcBorders>
              <w:top w:val="single" w:sz="12" w:space="0" w:color="auto"/>
              <w:bottom w:val="single" w:sz="12" w:space="0" w:color="auto"/>
            </w:tcBorders>
            <w:vAlign w:val="center"/>
          </w:tcPr>
          <w:p w14:paraId="4319BC39" w14:textId="77777777" w:rsidR="004B2C8C" w:rsidRPr="004205E6" w:rsidRDefault="00000000" w:rsidP="00AA1A0F">
            <w:pPr>
              <w:jc w:val="both"/>
              <w:rPr>
                <w:rFonts w:ascii="Arial" w:hAnsi="Arial" w:cs="Arial"/>
                <w:color w:val="000000" w:themeColor="text1"/>
              </w:rPr>
            </w:pPr>
            <w:r w:rsidRPr="004205E6">
              <w:rPr>
                <w:rFonts w:ascii="Arial" w:hAnsi="Arial" w:cs="Arial"/>
                <w:b/>
                <w:bCs/>
                <w:color w:val="000000" w:themeColor="text1"/>
                <w:sz w:val="16"/>
                <w:szCs w:val="16"/>
              </w:rPr>
              <w:t>Domain</w:t>
            </w:r>
          </w:p>
        </w:tc>
        <w:tc>
          <w:tcPr>
            <w:tcW w:w="1797" w:type="pct"/>
            <w:tcBorders>
              <w:top w:val="single" w:sz="12" w:space="0" w:color="auto"/>
              <w:bottom w:val="single" w:sz="12" w:space="0" w:color="auto"/>
            </w:tcBorders>
            <w:vAlign w:val="center"/>
          </w:tcPr>
          <w:p w14:paraId="4D56B93D" w14:textId="77777777" w:rsidR="004B2C8C" w:rsidRPr="004205E6" w:rsidRDefault="00000000" w:rsidP="00AA1A0F">
            <w:pPr>
              <w:jc w:val="both"/>
              <w:rPr>
                <w:rFonts w:ascii="Arial" w:hAnsi="Arial" w:cs="Arial"/>
                <w:color w:val="000000" w:themeColor="text1"/>
              </w:rPr>
            </w:pPr>
            <w:r w:rsidRPr="004205E6">
              <w:rPr>
                <w:rFonts w:ascii="Arial" w:hAnsi="Arial" w:cs="Arial"/>
                <w:b/>
                <w:bCs/>
                <w:color w:val="000000" w:themeColor="text1"/>
                <w:sz w:val="16"/>
                <w:szCs w:val="16"/>
              </w:rPr>
              <w:t>Definition</w:t>
            </w:r>
          </w:p>
        </w:tc>
        <w:tc>
          <w:tcPr>
            <w:tcW w:w="1841" w:type="pct"/>
            <w:tcBorders>
              <w:top w:val="single" w:sz="12" w:space="0" w:color="auto"/>
              <w:bottom w:val="single" w:sz="12" w:space="0" w:color="auto"/>
            </w:tcBorders>
            <w:vAlign w:val="center"/>
          </w:tcPr>
          <w:p w14:paraId="130D2D88" w14:textId="77777777" w:rsidR="004B2C8C" w:rsidRPr="004205E6" w:rsidRDefault="00000000" w:rsidP="00AA1A0F">
            <w:pPr>
              <w:jc w:val="both"/>
              <w:rPr>
                <w:rFonts w:ascii="Arial" w:hAnsi="Arial" w:cs="Arial"/>
                <w:color w:val="000000" w:themeColor="text1"/>
              </w:rPr>
            </w:pPr>
            <w:r w:rsidRPr="004205E6">
              <w:rPr>
                <w:rFonts w:ascii="Arial" w:hAnsi="Arial" w:cs="Arial"/>
                <w:b/>
                <w:bCs/>
                <w:color w:val="000000" w:themeColor="text1"/>
                <w:sz w:val="16"/>
                <w:szCs w:val="16"/>
              </w:rPr>
              <w:t>Scoring guidance (0–10)</w:t>
            </w:r>
          </w:p>
        </w:tc>
        <w:tc>
          <w:tcPr>
            <w:tcW w:w="442" w:type="pct"/>
            <w:tcBorders>
              <w:top w:val="single" w:sz="12" w:space="0" w:color="auto"/>
              <w:bottom w:val="single" w:sz="12" w:space="0" w:color="auto"/>
            </w:tcBorders>
            <w:vAlign w:val="center"/>
          </w:tcPr>
          <w:p w14:paraId="7B98821C" w14:textId="77777777" w:rsidR="004B2C8C" w:rsidRPr="004205E6" w:rsidRDefault="00000000" w:rsidP="00AA1A0F">
            <w:pPr>
              <w:jc w:val="both"/>
              <w:rPr>
                <w:rFonts w:ascii="Arial" w:hAnsi="Arial" w:cs="Arial"/>
                <w:color w:val="000000" w:themeColor="text1"/>
              </w:rPr>
            </w:pPr>
            <w:r w:rsidRPr="004205E6">
              <w:rPr>
                <w:rFonts w:ascii="Arial" w:hAnsi="Arial" w:cs="Arial"/>
                <w:b/>
                <w:bCs/>
                <w:color w:val="000000" w:themeColor="text1"/>
                <w:sz w:val="16"/>
                <w:szCs w:val="16"/>
              </w:rPr>
              <w:t>Weighting</w:t>
            </w:r>
          </w:p>
        </w:tc>
      </w:tr>
      <w:tr w:rsidR="004B2C8C" w:rsidRPr="004205E6" w14:paraId="154CECE5" w14:textId="77777777" w:rsidTr="00AA1A0F">
        <w:trPr>
          <w:trHeight w:val="552"/>
        </w:trPr>
        <w:tc>
          <w:tcPr>
            <w:tcW w:w="920" w:type="pct"/>
            <w:tcBorders>
              <w:top w:val="single" w:sz="12" w:space="0" w:color="auto"/>
            </w:tcBorders>
            <w:vAlign w:val="center"/>
          </w:tcPr>
          <w:p w14:paraId="1D845BCD"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1. Discrimination</w:t>
            </w:r>
          </w:p>
        </w:tc>
        <w:tc>
          <w:tcPr>
            <w:tcW w:w="1797" w:type="pct"/>
            <w:tcBorders>
              <w:top w:val="single" w:sz="12" w:space="0" w:color="auto"/>
            </w:tcBorders>
            <w:vAlign w:val="center"/>
          </w:tcPr>
          <w:p w14:paraId="79C287C2"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AUROC magnitude relative to the CRS readiness anchor (ΔAUROC 0.05). This CRS scoring anchor was used only for readiness scoring and was separate from the GRADE imprecision rules.</w:t>
            </w:r>
          </w:p>
        </w:tc>
        <w:tc>
          <w:tcPr>
            <w:tcW w:w="1841" w:type="pct"/>
            <w:tcBorders>
              <w:top w:val="single" w:sz="12" w:space="0" w:color="auto"/>
            </w:tcBorders>
            <w:vAlign w:val="center"/>
          </w:tcPr>
          <w:p w14:paraId="36DF17D6" w14:textId="77777777" w:rsidR="004B2C8C" w:rsidRPr="004205E6" w:rsidRDefault="00000000" w:rsidP="00AA1A0F">
            <w:pPr>
              <w:rPr>
                <w:rFonts w:ascii="Arial" w:hAnsi="Arial" w:cs="Arial"/>
                <w:color w:val="000000" w:themeColor="text1"/>
              </w:rPr>
            </w:pPr>
            <w:r w:rsidRPr="004205E6">
              <w:rPr>
                <w:rFonts w:ascii="Arial" w:hAnsi="Arial" w:cs="Arial"/>
                <w:color w:val="000000" w:themeColor="text1"/>
                <w:sz w:val="16"/>
                <w:szCs w:val="16"/>
              </w:rPr>
              <w:t>10 = ΔAUROC &gt; 0.20; 8 = 0.10–0.20; 6 = 0.05–0.10; 4 = 0–0.05; 0 = ≤ 0</w:t>
            </w:r>
          </w:p>
        </w:tc>
        <w:tc>
          <w:tcPr>
            <w:tcW w:w="442" w:type="pct"/>
            <w:tcBorders>
              <w:top w:val="single" w:sz="12" w:space="0" w:color="auto"/>
            </w:tcBorders>
            <w:vAlign w:val="center"/>
          </w:tcPr>
          <w:p w14:paraId="27A2380C"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Equal</w:t>
            </w:r>
          </w:p>
        </w:tc>
      </w:tr>
      <w:tr w:rsidR="004B2C8C" w:rsidRPr="004205E6" w14:paraId="05B45ED6" w14:textId="77777777" w:rsidTr="00AA1A0F">
        <w:trPr>
          <w:trHeight w:val="552"/>
        </w:trPr>
        <w:tc>
          <w:tcPr>
            <w:tcW w:w="920" w:type="pct"/>
            <w:vAlign w:val="center"/>
          </w:tcPr>
          <w:p w14:paraId="4328BA13"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2. Calibration</w:t>
            </w:r>
          </w:p>
        </w:tc>
        <w:tc>
          <w:tcPr>
            <w:tcW w:w="1797" w:type="pct"/>
            <w:vAlign w:val="center"/>
          </w:tcPr>
          <w:p w14:paraId="0C773D2D"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Calibration plot + slope + intercept reporting quality</w:t>
            </w:r>
          </w:p>
        </w:tc>
        <w:tc>
          <w:tcPr>
            <w:tcW w:w="1841" w:type="pct"/>
            <w:vAlign w:val="center"/>
          </w:tcPr>
          <w:p w14:paraId="5572ABC2" w14:textId="77777777" w:rsidR="004B2C8C" w:rsidRPr="004205E6" w:rsidRDefault="00000000" w:rsidP="00AA1A0F">
            <w:pPr>
              <w:rPr>
                <w:rFonts w:ascii="Arial" w:hAnsi="Arial" w:cs="Arial"/>
                <w:color w:val="000000" w:themeColor="text1"/>
              </w:rPr>
            </w:pPr>
            <w:r w:rsidRPr="004205E6">
              <w:rPr>
                <w:rFonts w:ascii="Arial" w:hAnsi="Arial" w:cs="Arial"/>
                <w:color w:val="000000" w:themeColor="text1"/>
                <w:sz w:val="16"/>
                <w:szCs w:val="16"/>
              </w:rPr>
              <w:t>10 = all reported + visual plot + slope ≈ 1; 5 = partial; 0 = none</w:t>
            </w:r>
          </w:p>
        </w:tc>
        <w:tc>
          <w:tcPr>
            <w:tcW w:w="442" w:type="pct"/>
            <w:vAlign w:val="center"/>
          </w:tcPr>
          <w:p w14:paraId="2B340519"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Equal</w:t>
            </w:r>
          </w:p>
        </w:tc>
      </w:tr>
      <w:tr w:rsidR="004B2C8C" w:rsidRPr="004205E6" w14:paraId="20BB103B" w14:textId="77777777" w:rsidTr="00AA1A0F">
        <w:trPr>
          <w:trHeight w:val="552"/>
        </w:trPr>
        <w:tc>
          <w:tcPr>
            <w:tcW w:w="920" w:type="pct"/>
            <w:vAlign w:val="center"/>
          </w:tcPr>
          <w:p w14:paraId="73A6E78B"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3. Validation rigor</w:t>
            </w:r>
          </w:p>
        </w:tc>
        <w:tc>
          <w:tcPr>
            <w:tcW w:w="1797" w:type="pct"/>
            <w:vAlign w:val="center"/>
          </w:tcPr>
          <w:p w14:paraId="650DBB5A"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Internal split vs bootstrap vs temporal vs external</w:t>
            </w:r>
          </w:p>
        </w:tc>
        <w:tc>
          <w:tcPr>
            <w:tcW w:w="1841" w:type="pct"/>
            <w:vAlign w:val="center"/>
          </w:tcPr>
          <w:p w14:paraId="5AD94F46" w14:textId="77777777" w:rsidR="004B2C8C" w:rsidRPr="004205E6" w:rsidRDefault="00000000" w:rsidP="00AA1A0F">
            <w:pPr>
              <w:rPr>
                <w:rFonts w:ascii="Arial" w:hAnsi="Arial" w:cs="Arial"/>
                <w:color w:val="000000" w:themeColor="text1"/>
              </w:rPr>
            </w:pPr>
            <w:r w:rsidRPr="004205E6">
              <w:rPr>
                <w:rFonts w:ascii="Arial" w:hAnsi="Arial" w:cs="Arial"/>
                <w:color w:val="000000" w:themeColor="text1"/>
                <w:sz w:val="16"/>
                <w:szCs w:val="16"/>
              </w:rPr>
              <w:t>10 = prospective external validation; 8 = retrospective external or temporal validation; 6 = internal bootstrap/cross-validation; 4 = simple split; 0 = none</w:t>
            </w:r>
          </w:p>
        </w:tc>
        <w:tc>
          <w:tcPr>
            <w:tcW w:w="442" w:type="pct"/>
            <w:vAlign w:val="center"/>
          </w:tcPr>
          <w:p w14:paraId="5DC319A1"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Equal</w:t>
            </w:r>
          </w:p>
        </w:tc>
      </w:tr>
      <w:tr w:rsidR="004B2C8C" w:rsidRPr="004205E6" w14:paraId="2DADF8A6" w14:textId="77777777" w:rsidTr="00AA1A0F">
        <w:trPr>
          <w:trHeight w:val="552"/>
        </w:trPr>
        <w:tc>
          <w:tcPr>
            <w:tcW w:w="920" w:type="pct"/>
            <w:vAlign w:val="center"/>
          </w:tcPr>
          <w:p w14:paraId="436A59A3"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4. Data accessibility</w:t>
            </w:r>
          </w:p>
        </w:tc>
        <w:tc>
          <w:tcPr>
            <w:tcW w:w="1797" w:type="pct"/>
            <w:vAlign w:val="center"/>
          </w:tcPr>
          <w:p w14:paraId="61FD9083"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Whether input variables are routinely available at presentation</w:t>
            </w:r>
          </w:p>
        </w:tc>
        <w:tc>
          <w:tcPr>
            <w:tcW w:w="1841" w:type="pct"/>
            <w:vAlign w:val="center"/>
          </w:tcPr>
          <w:p w14:paraId="579DEAAC" w14:textId="77777777" w:rsidR="004B2C8C" w:rsidRPr="004205E6" w:rsidRDefault="00000000" w:rsidP="00AA1A0F">
            <w:pPr>
              <w:rPr>
                <w:rFonts w:ascii="Arial" w:hAnsi="Arial" w:cs="Arial"/>
                <w:color w:val="000000" w:themeColor="text1"/>
              </w:rPr>
            </w:pPr>
            <w:r w:rsidRPr="004205E6">
              <w:rPr>
                <w:rFonts w:ascii="Arial" w:hAnsi="Arial" w:cs="Arial"/>
                <w:color w:val="000000" w:themeColor="text1"/>
                <w:sz w:val="16"/>
                <w:szCs w:val="16"/>
              </w:rPr>
              <w:t>10 = all routinely available; 5 = some require additional acquisition; 0 = research-only variables</w:t>
            </w:r>
          </w:p>
        </w:tc>
        <w:tc>
          <w:tcPr>
            <w:tcW w:w="442" w:type="pct"/>
            <w:vAlign w:val="center"/>
          </w:tcPr>
          <w:p w14:paraId="6040B6B4"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Equal</w:t>
            </w:r>
          </w:p>
        </w:tc>
      </w:tr>
      <w:tr w:rsidR="004B2C8C" w:rsidRPr="004205E6" w14:paraId="55317C83" w14:textId="77777777" w:rsidTr="00AA1A0F">
        <w:trPr>
          <w:trHeight w:val="552"/>
        </w:trPr>
        <w:tc>
          <w:tcPr>
            <w:tcW w:w="920" w:type="pct"/>
            <w:vAlign w:val="center"/>
          </w:tcPr>
          <w:p w14:paraId="0628C94E"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5. Computational requirements</w:t>
            </w:r>
          </w:p>
        </w:tc>
        <w:tc>
          <w:tcPr>
            <w:tcW w:w="1797" w:type="pct"/>
            <w:vAlign w:val="center"/>
          </w:tcPr>
          <w:p w14:paraId="65BF765F"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Bedside computability vs server requirement</w:t>
            </w:r>
          </w:p>
        </w:tc>
        <w:tc>
          <w:tcPr>
            <w:tcW w:w="1841" w:type="pct"/>
            <w:vAlign w:val="center"/>
          </w:tcPr>
          <w:p w14:paraId="7D2D0DD3" w14:textId="77777777" w:rsidR="004B2C8C" w:rsidRPr="004205E6" w:rsidRDefault="00000000" w:rsidP="00AA1A0F">
            <w:pPr>
              <w:rPr>
                <w:rFonts w:ascii="Arial" w:hAnsi="Arial" w:cs="Arial"/>
                <w:color w:val="000000" w:themeColor="text1"/>
              </w:rPr>
            </w:pPr>
            <w:r w:rsidRPr="004205E6">
              <w:rPr>
                <w:rFonts w:ascii="Arial" w:hAnsi="Arial" w:cs="Arial"/>
                <w:color w:val="000000" w:themeColor="text1"/>
                <w:sz w:val="16"/>
                <w:szCs w:val="16"/>
              </w:rPr>
              <w:t>10 = bedside calculator possible; 6 = web service; 3 = local server; 0 = HPC required</w:t>
            </w:r>
          </w:p>
        </w:tc>
        <w:tc>
          <w:tcPr>
            <w:tcW w:w="442" w:type="pct"/>
            <w:vAlign w:val="center"/>
          </w:tcPr>
          <w:p w14:paraId="44784665"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Equal</w:t>
            </w:r>
          </w:p>
        </w:tc>
      </w:tr>
      <w:tr w:rsidR="004B2C8C" w:rsidRPr="004205E6" w14:paraId="56A62E75" w14:textId="77777777" w:rsidTr="00AA1A0F">
        <w:trPr>
          <w:trHeight w:val="552"/>
        </w:trPr>
        <w:tc>
          <w:tcPr>
            <w:tcW w:w="920" w:type="pct"/>
            <w:vAlign w:val="center"/>
          </w:tcPr>
          <w:p w14:paraId="6682960A"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6. Interpretability</w:t>
            </w:r>
          </w:p>
        </w:tc>
        <w:tc>
          <w:tcPr>
            <w:tcW w:w="1797" w:type="pct"/>
            <w:vAlign w:val="center"/>
          </w:tcPr>
          <w:p w14:paraId="3AC2DF6A"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Decision rule transparency / SHAP / model interpretability</w:t>
            </w:r>
          </w:p>
        </w:tc>
        <w:tc>
          <w:tcPr>
            <w:tcW w:w="1841" w:type="pct"/>
            <w:vAlign w:val="center"/>
          </w:tcPr>
          <w:p w14:paraId="6101C0EB" w14:textId="77777777" w:rsidR="004B2C8C" w:rsidRPr="004205E6" w:rsidRDefault="00000000" w:rsidP="00AA1A0F">
            <w:pPr>
              <w:rPr>
                <w:rFonts w:ascii="Arial" w:hAnsi="Arial" w:cs="Arial"/>
                <w:color w:val="000000" w:themeColor="text1"/>
              </w:rPr>
            </w:pPr>
            <w:r w:rsidRPr="004205E6">
              <w:rPr>
                <w:rFonts w:ascii="Arial" w:hAnsi="Arial" w:cs="Arial"/>
                <w:color w:val="000000" w:themeColor="text1"/>
                <w:sz w:val="16"/>
                <w:szCs w:val="16"/>
              </w:rPr>
              <w:t>10 = transparent decision rule; 7 = SHAP/interpretable; 4 = post-hoc; 0 = black-box</w:t>
            </w:r>
          </w:p>
        </w:tc>
        <w:tc>
          <w:tcPr>
            <w:tcW w:w="442" w:type="pct"/>
            <w:vAlign w:val="center"/>
          </w:tcPr>
          <w:p w14:paraId="1B52E84A"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Equal</w:t>
            </w:r>
          </w:p>
        </w:tc>
      </w:tr>
      <w:tr w:rsidR="004B2C8C" w:rsidRPr="004205E6" w14:paraId="6EEA9197" w14:textId="77777777" w:rsidTr="00AA1A0F">
        <w:trPr>
          <w:trHeight w:val="552"/>
        </w:trPr>
        <w:tc>
          <w:tcPr>
            <w:tcW w:w="920" w:type="pct"/>
            <w:vAlign w:val="center"/>
          </w:tcPr>
          <w:p w14:paraId="40511499"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7. TRIPOD+AI completeness</w:t>
            </w:r>
          </w:p>
        </w:tc>
        <w:tc>
          <w:tcPr>
            <w:tcW w:w="1797" w:type="pct"/>
            <w:vAlign w:val="center"/>
          </w:tcPr>
          <w:p w14:paraId="0190001C"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 of TRIPOD+AI items reported</w:t>
            </w:r>
          </w:p>
        </w:tc>
        <w:tc>
          <w:tcPr>
            <w:tcW w:w="1841" w:type="pct"/>
            <w:vAlign w:val="center"/>
          </w:tcPr>
          <w:p w14:paraId="0C60F370" w14:textId="77777777" w:rsidR="004B2C8C" w:rsidRPr="004205E6" w:rsidRDefault="00000000" w:rsidP="00AA1A0F">
            <w:pPr>
              <w:rPr>
                <w:rFonts w:ascii="Arial" w:hAnsi="Arial" w:cs="Arial"/>
                <w:color w:val="000000" w:themeColor="text1"/>
              </w:rPr>
            </w:pPr>
            <w:r w:rsidRPr="004205E6">
              <w:rPr>
                <w:rFonts w:ascii="Arial" w:hAnsi="Arial" w:cs="Arial"/>
                <w:color w:val="000000" w:themeColor="text1"/>
                <w:sz w:val="16"/>
                <w:szCs w:val="16"/>
              </w:rPr>
              <w:t>Direct % score (e.g., 89% → 8.9 points)</w:t>
            </w:r>
          </w:p>
        </w:tc>
        <w:tc>
          <w:tcPr>
            <w:tcW w:w="442" w:type="pct"/>
            <w:vAlign w:val="center"/>
          </w:tcPr>
          <w:p w14:paraId="7E67CB2E"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Equal</w:t>
            </w:r>
          </w:p>
        </w:tc>
      </w:tr>
      <w:tr w:rsidR="004B2C8C" w:rsidRPr="004205E6" w14:paraId="17943946" w14:textId="77777777" w:rsidTr="00AA1A0F">
        <w:trPr>
          <w:trHeight w:val="552"/>
        </w:trPr>
        <w:tc>
          <w:tcPr>
            <w:tcW w:w="920" w:type="pct"/>
            <w:vAlign w:val="center"/>
          </w:tcPr>
          <w:p w14:paraId="37E0496A" w14:textId="77777777" w:rsidR="004B2C8C" w:rsidRPr="004205E6" w:rsidRDefault="004B2C8C" w:rsidP="00AA1A0F">
            <w:pPr>
              <w:jc w:val="both"/>
              <w:rPr>
                <w:rFonts w:ascii="Arial" w:hAnsi="Arial" w:cs="Arial"/>
                <w:color w:val="000000" w:themeColor="text1"/>
              </w:rPr>
            </w:pPr>
          </w:p>
        </w:tc>
        <w:tc>
          <w:tcPr>
            <w:tcW w:w="1797" w:type="pct"/>
            <w:vAlign w:val="center"/>
          </w:tcPr>
          <w:p w14:paraId="326D2F37" w14:textId="77777777" w:rsidR="004B2C8C" w:rsidRPr="004205E6" w:rsidRDefault="004B2C8C" w:rsidP="00AA1A0F">
            <w:pPr>
              <w:jc w:val="both"/>
              <w:rPr>
                <w:rFonts w:ascii="Arial" w:hAnsi="Arial" w:cs="Arial"/>
                <w:color w:val="000000" w:themeColor="text1"/>
              </w:rPr>
            </w:pPr>
          </w:p>
        </w:tc>
        <w:tc>
          <w:tcPr>
            <w:tcW w:w="1841" w:type="pct"/>
            <w:vAlign w:val="center"/>
          </w:tcPr>
          <w:p w14:paraId="21B9244E" w14:textId="77777777" w:rsidR="004B2C8C" w:rsidRPr="004205E6" w:rsidRDefault="004B2C8C" w:rsidP="00AA1A0F">
            <w:pPr>
              <w:rPr>
                <w:rFonts w:ascii="Arial" w:hAnsi="Arial" w:cs="Arial"/>
                <w:color w:val="000000" w:themeColor="text1"/>
              </w:rPr>
            </w:pPr>
          </w:p>
        </w:tc>
        <w:tc>
          <w:tcPr>
            <w:tcW w:w="442" w:type="pct"/>
            <w:vAlign w:val="center"/>
          </w:tcPr>
          <w:p w14:paraId="56B27736" w14:textId="77777777" w:rsidR="004B2C8C" w:rsidRPr="004205E6" w:rsidRDefault="004B2C8C" w:rsidP="00AA1A0F">
            <w:pPr>
              <w:jc w:val="both"/>
              <w:rPr>
                <w:rFonts w:ascii="Arial" w:hAnsi="Arial" w:cs="Arial"/>
                <w:color w:val="000000" w:themeColor="text1"/>
              </w:rPr>
            </w:pPr>
          </w:p>
        </w:tc>
      </w:tr>
      <w:tr w:rsidR="004B2C8C" w:rsidRPr="004205E6" w14:paraId="4B03BA52" w14:textId="77777777" w:rsidTr="00AA1A0F">
        <w:trPr>
          <w:trHeight w:val="552"/>
        </w:trPr>
        <w:tc>
          <w:tcPr>
            <w:tcW w:w="920" w:type="pct"/>
            <w:vAlign w:val="center"/>
          </w:tcPr>
          <w:p w14:paraId="2C65E010"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CRS limitation statement</w:t>
            </w:r>
          </w:p>
        </w:tc>
        <w:tc>
          <w:tcPr>
            <w:tcW w:w="1797" w:type="pct"/>
            <w:vAlign w:val="center"/>
          </w:tcPr>
          <w:p w14:paraId="5B51910A"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Exploratory composite, not externally validated as measurement instrument</w:t>
            </w:r>
          </w:p>
        </w:tc>
        <w:tc>
          <w:tcPr>
            <w:tcW w:w="1841" w:type="pct"/>
            <w:vAlign w:val="center"/>
          </w:tcPr>
          <w:p w14:paraId="6336148E" w14:textId="77777777" w:rsidR="004B2C8C" w:rsidRPr="004205E6" w:rsidRDefault="00000000" w:rsidP="00AA1A0F">
            <w:pPr>
              <w:rPr>
                <w:rFonts w:ascii="Arial" w:hAnsi="Arial" w:cs="Arial"/>
                <w:color w:val="000000" w:themeColor="text1"/>
              </w:rPr>
            </w:pPr>
            <w:r w:rsidRPr="004205E6">
              <w:rPr>
                <w:rFonts w:ascii="Arial" w:hAnsi="Arial" w:cs="Arial"/>
                <w:color w:val="000000" w:themeColor="text1"/>
                <w:sz w:val="16"/>
                <w:szCs w:val="16"/>
              </w:rPr>
              <w:t>Equal weighting used for transparency and reproducibility</w:t>
            </w:r>
          </w:p>
        </w:tc>
        <w:tc>
          <w:tcPr>
            <w:tcW w:w="442" w:type="pct"/>
            <w:vAlign w:val="center"/>
          </w:tcPr>
          <w:p w14:paraId="2CBF8951"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w:t>
            </w:r>
          </w:p>
        </w:tc>
      </w:tr>
    </w:tbl>
    <w:p w14:paraId="690FCA15" w14:textId="77777777" w:rsidR="004B2C8C" w:rsidRPr="004205E6" w:rsidRDefault="00000000">
      <w:pPr>
        <w:spacing w:before="80" w:after="80"/>
        <w:rPr>
          <w:rFonts w:ascii="Arial" w:hAnsi="Arial" w:cs="Arial"/>
          <w:color w:val="000000" w:themeColor="text1"/>
        </w:rPr>
      </w:pPr>
      <w:r w:rsidRPr="004205E6">
        <w:rPr>
          <w:rFonts w:ascii="Arial" w:hAnsi="Arial" w:cs="Arial"/>
          <w:i/>
          <w:iCs/>
          <w:color w:val="000000" w:themeColor="text1"/>
          <w:sz w:val="14"/>
          <w:szCs w:val="14"/>
        </w:rPr>
        <w:t>Clinical Readiness Score (CRS) — exploratory composite score developed for this review. Each domain scored 0–10 against the criteria shown; equal weighting used in the main analysis. CRS has not been externally validated as a measurement instrument.</w:t>
      </w:r>
    </w:p>
    <w:p w14:paraId="1DC86FDB" w14:textId="77777777" w:rsidR="004B2C8C" w:rsidRPr="004205E6" w:rsidRDefault="00000000">
      <w:pPr>
        <w:rPr>
          <w:rFonts w:ascii="Arial" w:hAnsi="Arial" w:cs="Arial"/>
          <w:color w:val="000000" w:themeColor="text1"/>
        </w:rPr>
      </w:pPr>
      <w:r w:rsidRPr="004205E6">
        <w:rPr>
          <w:rFonts w:ascii="Arial" w:hAnsi="Arial" w:cs="Arial"/>
          <w:color w:val="000000" w:themeColor="text1"/>
        </w:rPr>
        <w:br w:type="page"/>
      </w:r>
    </w:p>
    <w:p w14:paraId="2D77F170" w14:textId="77777777" w:rsidR="004B2C8C" w:rsidRPr="004205E6" w:rsidRDefault="00000000">
      <w:pPr>
        <w:pStyle w:val="2"/>
        <w:spacing w:before="280" w:after="140"/>
        <w:rPr>
          <w:rFonts w:ascii="Arial" w:hAnsi="Arial" w:cs="Arial"/>
          <w:color w:val="000000" w:themeColor="text1"/>
          <w:sz w:val="24"/>
          <w:szCs w:val="24"/>
        </w:rPr>
      </w:pPr>
      <w:r w:rsidRPr="004205E6">
        <w:rPr>
          <w:rFonts w:ascii="Arial" w:hAnsi="Arial" w:cs="Arial"/>
          <w:b/>
          <w:bCs/>
          <w:color w:val="000000" w:themeColor="text1"/>
          <w:sz w:val="24"/>
          <w:szCs w:val="24"/>
        </w:rPr>
        <w:lastRenderedPageBreak/>
        <w:t>Supplementary Table S7. Excluded Studies with Reasons</w:t>
      </w:r>
    </w:p>
    <w:p w14:paraId="6D761719" w14:textId="77777777" w:rsidR="004B2C8C" w:rsidRPr="004205E6" w:rsidRDefault="00000000">
      <w:pPr>
        <w:spacing w:before="80" w:after="80"/>
        <w:rPr>
          <w:rFonts w:ascii="Arial" w:hAnsi="Arial" w:cs="Arial"/>
          <w:color w:val="000000" w:themeColor="text1"/>
        </w:rPr>
      </w:pPr>
      <w:r w:rsidRPr="004205E6">
        <w:rPr>
          <w:rFonts w:ascii="Arial" w:hAnsi="Arial" w:cs="Arial"/>
          <w:color w:val="000000" w:themeColor="text1"/>
        </w:rPr>
        <w:t>Studies excluded at full-text or post-eligibility check, with category and detail. Eight conference-proceedings records could not be retrieved as full reports (PRISMA 2020) and are listed as Reports not retrieved. Two (Yang 2024 APDW, Kozma 2025 UEG Week) are documented individually; the remaining six lacked retrievable full text and are listed collectively. CCS-only studies (e.g., Işık 2025, Yildirim 2026, In 2024, Thiebaud 2025) appear in Supplementary Table S1 rather than here, as they are included (narrative) rather than excluded records.</w:t>
      </w:r>
    </w:p>
    <w:tbl>
      <w:tblPr>
        <w:tblStyle w:val="aa"/>
        <w:tblW w:w="5000" w:type="pct"/>
        <w:tblLook w:val="04A0" w:firstRow="1" w:lastRow="0" w:firstColumn="1" w:lastColumn="0" w:noHBand="0" w:noVBand="1"/>
      </w:tblPr>
      <w:tblGrid>
        <w:gridCol w:w="2798"/>
        <w:gridCol w:w="3293"/>
        <w:gridCol w:w="9297"/>
      </w:tblGrid>
      <w:tr w:rsidR="004B2C8C" w:rsidRPr="004205E6" w14:paraId="767E2A9E" w14:textId="77777777" w:rsidTr="00AA1A0F">
        <w:trPr>
          <w:trHeight w:val="736"/>
        </w:trPr>
        <w:tc>
          <w:tcPr>
            <w:tcW w:w="909" w:type="pct"/>
            <w:tcBorders>
              <w:top w:val="single" w:sz="12" w:space="0" w:color="auto"/>
              <w:bottom w:val="single" w:sz="12" w:space="0" w:color="auto"/>
            </w:tcBorders>
            <w:vAlign w:val="center"/>
          </w:tcPr>
          <w:p w14:paraId="666109DF" w14:textId="77777777" w:rsidR="004B2C8C" w:rsidRPr="004205E6" w:rsidRDefault="00000000" w:rsidP="00AA1A0F">
            <w:pPr>
              <w:jc w:val="both"/>
              <w:rPr>
                <w:rFonts w:ascii="Arial" w:hAnsi="Arial" w:cs="Arial"/>
                <w:color w:val="000000" w:themeColor="text1"/>
              </w:rPr>
            </w:pPr>
            <w:r w:rsidRPr="004205E6">
              <w:rPr>
                <w:rFonts w:ascii="Arial" w:hAnsi="Arial" w:cs="Arial"/>
                <w:b/>
                <w:bCs/>
                <w:color w:val="000000" w:themeColor="text1"/>
                <w:sz w:val="16"/>
                <w:szCs w:val="16"/>
              </w:rPr>
              <w:t>Study (AUGIB ID)</w:t>
            </w:r>
          </w:p>
        </w:tc>
        <w:tc>
          <w:tcPr>
            <w:tcW w:w="1070" w:type="pct"/>
            <w:tcBorders>
              <w:top w:val="single" w:sz="12" w:space="0" w:color="auto"/>
              <w:bottom w:val="single" w:sz="12" w:space="0" w:color="auto"/>
            </w:tcBorders>
            <w:vAlign w:val="center"/>
          </w:tcPr>
          <w:p w14:paraId="33C4B084" w14:textId="77777777" w:rsidR="004B2C8C" w:rsidRPr="004205E6" w:rsidRDefault="00000000" w:rsidP="00AA1A0F">
            <w:pPr>
              <w:jc w:val="both"/>
              <w:rPr>
                <w:rFonts w:ascii="Arial" w:hAnsi="Arial" w:cs="Arial"/>
                <w:color w:val="000000" w:themeColor="text1"/>
              </w:rPr>
            </w:pPr>
            <w:r w:rsidRPr="004205E6">
              <w:rPr>
                <w:rFonts w:ascii="Arial" w:hAnsi="Arial" w:cs="Arial"/>
                <w:b/>
                <w:bCs/>
                <w:color w:val="000000" w:themeColor="text1"/>
                <w:sz w:val="16"/>
                <w:szCs w:val="16"/>
              </w:rPr>
              <w:t>Exclusion category</w:t>
            </w:r>
          </w:p>
        </w:tc>
        <w:tc>
          <w:tcPr>
            <w:tcW w:w="3021" w:type="pct"/>
            <w:tcBorders>
              <w:top w:val="single" w:sz="12" w:space="0" w:color="auto"/>
              <w:bottom w:val="single" w:sz="12" w:space="0" w:color="auto"/>
            </w:tcBorders>
            <w:vAlign w:val="center"/>
          </w:tcPr>
          <w:p w14:paraId="1BB47F23" w14:textId="77777777" w:rsidR="004B2C8C" w:rsidRPr="004205E6" w:rsidRDefault="00000000" w:rsidP="00AA1A0F">
            <w:pPr>
              <w:jc w:val="both"/>
              <w:rPr>
                <w:rFonts w:ascii="Arial" w:hAnsi="Arial" w:cs="Arial"/>
                <w:color w:val="000000" w:themeColor="text1"/>
              </w:rPr>
            </w:pPr>
            <w:r w:rsidRPr="004205E6">
              <w:rPr>
                <w:rFonts w:ascii="Arial" w:hAnsi="Arial" w:cs="Arial"/>
                <w:b/>
                <w:bCs/>
                <w:color w:val="000000" w:themeColor="text1"/>
                <w:sz w:val="16"/>
                <w:szCs w:val="16"/>
              </w:rPr>
              <w:t>Detail / reason</w:t>
            </w:r>
          </w:p>
        </w:tc>
      </w:tr>
      <w:tr w:rsidR="004B2C8C" w:rsidRPr="004205E6" w14:paraId="561AEE62" w14:textId="77777777" w:rsidTr="00AA1A0F">
        <w:trPr>
          <w:trHeight w:val="736"/>
        </w:trPr>
        <w:tc>
          <w:tcPr>
            <w:tcW w:w="909" w:type="pct"/>
            <w:tcBorders>
              <w:top w:val="single" w:sz="12" w:space="0" w:color="auto"/>
            </w:tcBorders>
            <w:vAlign w:val="center"/>
          </w:tcPr>
          <w:p w14:paraId="6135E57C"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Wei 2024</w:t>
            </w:r>
          </w:p>
        </w:tc>
        <w:tc>
          <w:tcPr>
            <w:tcW w:w="1070" w:type="pct"/>
            <w:tcBorders>
              <w:top w:val="single" w:sz="12" w:space="0" w:color="auto"/>
            </w:tcBorders>
            <w:vAlign w:val="center"/>
          </w:tcPr>
          <w:p w14:paraId="6BB1AA13"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Wrong outcome (AKI primary)</w:t>
            </w:r>
          </w:p>
        </w:tc>
        <w:tc>
          <w:tcPr>
            <w:tcW w:w="3021" w:type="pct"/>
            <w:tcBorders>
              <w:top w:val="single" w:sz="12" w:space="0" w:color="auto"/>
            </w:tcBorders>
            <w:vAlign w:val="center"/>
          </w:tcPr>
          <w:p w14:paraId="19D6878D"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AKI primary outcome; UGIB secondary</w:t>
            </w:r>
          </w:p>
        </w:tc>
      </w:tr>
      <w:tr w:rsidR="004B2C8C" w:rsidRPr="004205E6" w14:paraId="674AD928" w14:textId="77777777" w:rsidTr="00AA1A0F">
        <w:trPr>
          <w:trHeight w:val="736"/>
        </w:trPr>
        <w:tc>
          <w:tcPr>
            <w:tcW w:w="909" w:type="pct"/>
            <w:vAlign w:val="center"/>
          </w:tcPr>
          <w:p w14:paraId="62380E59"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Liu 2025</w:t>
            </w:r>
          </w:p>
        </w:tc>
        <w:tc>
          <w:tcPr>
            <w:tcW w:w="1070" w:type="pct"/>
            <w:vAlign w:val="center"/>
          </w:tcPr>
          <w:p w14:paraId="1B8B69FD"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Wrong outcome (AKI primary)</w:t>
            </w:r>
          </w:p>
        </w:tc>
        <w:tc>
          <w:tcPr>
            <w:tcW w:w="3021" w:type="pct"/>
            <w:vAlign w:val="center"/>
          </w:tcPr>
          <w:p w14:paraId="4E6DD9D7"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AKI in UGIB cohort</w:t>
            </w:r>
          </w:p>
        </w:tc>
      </w:tr>
      <w:tr w:rsidR="004B2C8C" w:rsidRPr="004205E6" w14:paraId="5B0B6C60" w14:textId="77777777" w:rsidTr="00AA1A0F">
        <w:trPr>
          <w:trHeight w:val="736"/>
        </w:trPr>
        <w:tc>
          <w:tcPr>
            <w:tcW w:w="909" w:type="pct"/>
            <w:vAlign w:val="center"/>
          </w:tcPr>
          <w:p w14:paraId="3D79BB62"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Kozma 2025</w:t>
            </w:r>
          </w:p>
        </w:tc>
        <w:tc>
          <w:tcPr>
            <w:tcW w:w="1070" w:type="pct"/>
            <w:vAlign w:val="center"/>
          </w:tcPr>
          <w:p w14:paraId="02166F01"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Abstract only (UEG)</w:t>
            </w:r>
          </w:p>
        </w:tc>
        <w:tc>
          <w:tcPr>
            <w:tcW w:w="3021" w:type="pct"/>
            <w:vAlign w:val="center"/>
          </w:tcPr>
          <w:p w14:paraId="31AD2905"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No full text; insufficient detail</w:t>
            </w:r>
          </w:p>
        </w:tc>
      </w:tr>
      <w:tr w:rsidR="004B2C8C" w:rsidRPr="004205E6" w14:paraId="20E33625" w14:textId="77777777" w:rsidTr="00AA1A0F">
        <w:trPr>
          <w:trHeight w:val="736"/>
        </w:trPr>
        <w:tc>
          <w:tcPr>
            <w:tcW w:w="909" w:type="pct"/>
            <w:vAlign w:val="center"/>
          </w:tcPr>
          <w:p w14:paraId="60497B43"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ClinicalTrials.gov A</w:t>
            </w:r>
          </w:p>
        </w:tc>
        <w:tc>
          <w:tcPr>
            <w:tcW w:w="1070" w:type="pct"/>
            <w:vAlign w:val="center"/>
          </w:tcPr>
          <w:p w14:paraId="7E0A91C0"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CT.gov no-results</w:t>
            </w:r>
          </w:p>
        </w:tc>
        <w:tc>
          <w:tcPr>
            <w:tcW w:w="3021" w:type="pct"/>
            <w:vAlign w:val="center"/>
          </w:tcPr>
          <w:p w14:paraId="76867FD6"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Trial registered, no results posted</w:t>
            </w:r>
          </w:p>
        </w:tc>
      </w:tr>
      <w:tr w:rsidR="004B2C8C" w:rsidRPr="004205E6" w14:paraId="18B9AC61" w14:textId="77777777" w:rsidTr="00AA1A0F">
        <w:trPr>
          <w:trHeight w:val="736"/>
        </w:trPr>
        <w:tc>
          <w:tcPr>
            <w:tcW w:w="909" w:type="pct"/>
            <w:vAlign w:val="center"/>
          </w:tcPr>
          <w:p w14:paraId="47A0F797"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ClinicalTrials.gov B</w:t>
            </w:r>
          </w:p>
        </w:tc>
        <w:tc>
          <w:tcPr>
            <w:tcW w:w="1070" w:type="pct"/>
            <w:vAlign w:val="center"/>
          </w:tcPr>
          <w:p w14:paraId="05474702"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CT.gov no-results</w:t>
            </w:r>
          </w:p>
        </w:tc>
        <w:tc>
          <w:tcPr>
            <w:tcW w:w="3021" w:type="pct"/>
            <w:vAlign w:val="center"/>
          </w:tcPr>
          <w:p w14:paraId="1A7BC177"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Trial registered, no results posted</w:t>
            </w:r>
          </w:p>
        </w:tc>
      </w:tr>
      <w:tr w:rsidR="004B2C8C" w:rsidRPr="004205E6" w14:paraId="589B4A4F" w14:textId="77777777" w:rsidTr="00AA1A0F">
        <w:trPr>
          <w:trHeight w:val="736"/>
        </w:trPr>
        <w:tc>
          <w:tcPr>
            <w:tcW w:w="909" w:type="pct"/>
            <w:tcBorders>
              <w:bottom w:val="single" w:sz="4" w:space="0" w:color="BFBFBF" w:themeColor="background1" w:themeShade="BF"/>
            </w:tcBorders>
            <w:vAlign w:val="center"/>
          </w:tcPr>
          <w:p w14:paraId="2616B6EB"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Bai 2025</w:t>
            </w:r>
          </w:p>
        </w:tc>
        <w:tc>
          <w:tcPr>
            <w:tcW w:w="1070" w:type="pct"/>
            <w:tcBorders>
              <w:bottom w:val="single" w:sz="4" w:space="0" w:color="BFBFBF" w:themeColor="background1" w:themeShade="BF"/>
            </w:tcBorders>
            <w:vAlign w:val="center"/>
          </w:tcPr>
          <w:p w14:paraId="50741941"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Variceal-dominant cirrhotic population</w:t>
            </w:r>
          </w:p>
        </w:tc>
        <w:tc>
          <w:tcPr>
            <w:tcW w:w="3021" w:type="pct"/>
            <w:tcBorders>
              <w:bottom w:val="single" w:sz="4" w:space="0" w:color="BFBFBF" w:themeColor="background1" w:themeShade="BF"/>
            </w:tcBorders>
            <w:vAlign w:val="center"/>
          </w:tcPr>
          <w:p w14:paraId="10F9C22F"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Cirrhotic AGIB n=2,467; variceal bleeding 60.48%; ulcer 2.96%; NV-UGIB outcome subgroup not separately reported; CCS comparators (CAGIB/Child-Pugh/MELD/D'Amico/Augustin) cirrhosis-specific and not aligned with eligible NV-UGIB CCS set (GBS/AIMS65/Rockall/PNED/ABC). Authors explicitly note non-comparison with GBS/AIMS65/Rockall as a limitation. Retained as 'related-work' citation in Discussion; not included in meta-analytic synthesis.</w:t>
            </w:r>
          </w:p>
        </w:tc>
      </w:tr>
      <w:tr w:rsidR="004B2C8C" w:rsidRPr="004205E6" w14:paraId="1DD59744" w14:textId="77777777" w:rsidTr="00AA1A0F">
        <w:trPr>
          <w:trHeight w:val="736"/>
        </w:trPr>
        <w:tc>
          <w:tcPr>
            <w:tcW w:w="909" w:type="pct"/>
            <w:tcBorders>
              <w:bottom w:val="single" w:sz="12" w:space="0" w:color="auto"/>
            </w:tcBorders>
            <w:vAlign w:val="center"/>
          </w:tcPr>
          <w:p w14:paraId="587E8C3E"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Yang 2024 (APDW abstract)</w:t>
            </w:r>
          </w:p>
        </w:tc>
        <w:tc>
          <w:tcPr>
            <w:tcW w:w="1070" w:type="pct"/>
            <w:tcBorders>
              <w:bottom w:val="single" w:sz="12" w:space="0" w:color="auto"/>
            </w:tcBorders>
            <w:vAlign w:val="center"/>
          </w:tcPr>
          <w:p w14:paraId="09D714AC"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China (Tianjin)</w:t>
            </w:r>
          </w:p>
        </w:tc>
        <w:tc>
          <w:tcPr>
            <w:tcW w:w="3021" w:type="pct"/>
            <w:tcBorders>
              <w:bottom w:val="single" w:sz="12" w:space="0" w:color="auto"/>
            </w:tcBorders>
            <w:vAlign w:val="center"/>
          </w:tcPr>
          <w:p w14:paraId="1B40BE6A" w14:textId="77777777" w:rsidR="004B2C8C" w:rsidRPr="004205E6" w:rsidRDefault="00000000" w:rsidP="00AA1A0F">
            <w:pPr>
              <w:jc w:val="both"/>
              <w:rPr>
                <w:rFonts w:ascii="Arial" w:hAnsi="Arial" w:cs="Arial"/>
                <w:color w:val="000000" w:themeColor="text1"/>
              </w:rPr>
            </w:pPr>
            <w:r w:rsidRPr="004205E6">
              <w:rPr>
                <w:rFonts w:ascii="Arial" w:hAnsi="Arial" w:cs="Arial"/>
                <w:color w:val="000000" w:themeColor="text1"/>
                <w:sz w:val="16"/>
                <w:szCs w:val="16"/>
              </w:rPr>
              <w:t>Conference abstract — Asian Pacific Digestive Week 2024</w:t>
            </w:r>
          </w:p>
        </w:tc>
      </w:tr>
    </w:tbl>
    <w:p w14:paraId="2618CC5E" w14:textId="77777777" w:rsidR="004B2C8C" w:rsidRPr="004205E6" w:rsidRDefault="004B2C8C">
      <w:pPr>
        <w:spacing w:before="80" w:after="80"/>
        <w:rPr>
          <w:rFonts w:ascii="Arial" w:hAnsi="Arial" w:cs="Arial"/>
          <w:color w:val="000000" w:themeColor="text1"/>
        </w:rPr>
      </w:pPr>
    </w:p>
    <w:p w14:paraId="206502A0" w14:textId="77777777" w:rsidR="004B2C8C" w:rsidRPr="004205E6" w:rsidRDefault="00000000">
      <w:pPr>
        <w:rPr>
          <w:rFonts w:ascii="Arial" w:hAnsi="Arial" w:cs="Arial"/>
          <w:color w:val="000000" w:themeColor="text1"/>
        </w:rPr>
      </w:pPr>
      <w:r w:rsidRPr="004205E6">
        <w:rPr>
          <w:rFonts w:ascii="Arial" w:hAnsi="Arial" w:cs="Arial"/>
          <w:color w:val="000000" w:themeColor="text1"/>
        </w:rPr>
        <w:br w:type="page"/>
      </w:r>
    </w:p>
    <w:p w14:paraId="5E226ABF" w14:textId="77777777" w:rsidR="004B2C8C" w:rsidRPr="004205E6" w:rsidRDefault="00000000">
      <w:pPr>
        <w:pStyle w:val="2"/>
        <w:spacing w:before="280" w:after="140"/>
        <w:rPr>
          <w:rFonts w:ascii="Arial" w:hAnsi="Arial" w:cs="Arial"/>
          <w:color w:val="000000" w:themeColor="text1"/>
          <w:sz w:val="24"/>
          <w:szCs w:val="24"/>
        </w:rPr>
      </w:pPr>
      <w:r w:rsidRPr="004205E6">
        <w:rPr>
          <w:rFonts w:ascii="Arial" w:hAnsi="Arial" w:cs="Arial"/>
          <w:b/>
          <w:bCs/>
          <w:color w:val="000000" w:themeColor="text1"/>
          <w:sz w:val="24"/>
          <w:szCs w:val="24"/>
        </w:rPr>
        <w:lastRenderedPageBreak/>
        <w:t>Supplementary Table S8. Companion-Pair Resolution Records</w:t>
      </w:r>
    </w:p>
    <w:p w14:paraId="69660B2F" w14:textId="77777777" w:rsidR="004B2C8C" w:rsidRPr="004205E6" w:rsidRDefault="00000000">
      <w:pPr>
        <w:spacing w:before="80" w:after="80"/>
        <w:rPr>
          <w:rFonts w:ascii="Arial" w:hAnsi="Arial" w:cs="Arial"/>
          <w:color w:val="000000" w:themeColor="text1"/>
        </w:rPr>
      </w:pPr>
      <w:r w:rsidRPr="004205E6">
        <w:rPr>
          <w:rFonts w:ascii="Arial" w:hAnsi="Arial" w:cs="Arial"/>
          <w:color w:val="000000" w:themeColor="text1"/>
        </w:rPr>
        <w:t>Per-pair resolution rules for companion studies (multiple records from the same cohort).</w:t>
      </w:r>
    </w:p>
    <w:tbl>
      <w:tblPr>
        <w:tblStyle w:val="aa"/>
        <w:tblW w:w="5000" w:type="pct"/>
        <w:tblLook w:val="04A0" w:firstRow="1" w:lastRow="0" w:firstColumn="1" w:lastColumn="0" w:noHBand="0" w:noVBand="1"/>
      </w:tblPr>
      <w:tblGrid>
        <w:gridCol w:w="1846"/>
        <w:gridCol w:w="4155"/>
        <w:gridCol w:w="5694"/>
        <w:gridCol w:w="3693"/>
      </w:tblGrid>
      <w:tr w:rsidR="004B2C8C" w:rsidRPr="004205E6" w14:paraId="0DC5CCC6" w14:textId="77777777" w:rsidTr="00A53773">
        <w:trPr>
          <w:trHeight w:val="567"/>
        </w:trPr>
        <w:tc>
          <w:tcPr>
            <w:tcW w:w="600" w:type="pct"/>
            <w:tcBorders>
              <w:top w:val="single" w:sz="12" w:space="0" w:color="auto"/>
              <w:bottom w:val="single" w:sz="12" w:space="0" w:color="auto"/>
            </w:tcBorders>
            <w:vAlign w:val="center"/>
          </w:tcPr>
          <w:p w14:paraId="0AC7F633" w14:textId="77777777" w:rsidR="004B2C8C" w:rsidRPr="004205E6" w:rsidRDefault="00000000" w:rsidP="00ED32BF">
            <w:pPr>
              <w:jc w:val="both"/>
              <w:rPr>
                <w:rFonts w:ascii="Arial" w:hAnsi="Arial" w:cs="Arial"/>
                <w:color w:val="000000" w:themeColor="text1"/>
              </w:rPr>
            </w:pPr>
            <w:r w:rsidRPr="004205E6">
              <w:rPr>
                <w:rFonts w:ascii="Arial" w:hAnsi="Arial" w:cs="Arial"/>
                <w:b/>
                <w:bCs/>
                <w:color w:val="000000" w:themeColor="text1"/>
                <w:sz w:val="16"/>
                <w:szCs w:val="16"/>
              </w:rPr>
              <w:t>Pair ID</w:t>
            </w:r>
          </w:p>
        </w:tc>
        <w:tc>
          <w:tcPr>
            <w:tcW w:w="1350" w:type="pct"/>
            <w:tcBorders>
              <w:top w:val="single" w:sz="12" w:space="0" w:color="auto"/>
              <w:bottom w:val="single" w:sz="12" w:space="0" w:color="auto"/>
            </w:tcBorders>
            <w:vAlign w:val="center"/>
          </w:tcPr>
          <w:p w14:paraId="343CBA20" w14:textId="77777777" w:rsidR="004B2C8C" w:rsidRPr="004205E6" w:rsidRDefault="00000000" w:rsidP="00ED32BF">
            <w:pPr>
              <w:jc w:val="both"/>
              <w:rPr>
                <w:rFonts w:ascii="Arial" w:hAnsi="Arial" w:cs="Arial"/>
                <w:color w:val="000000" w:themeColor="text1"/>
              </w:rPr>
            </w:pPr>
            <w:r w:rsidRPr="004205E6">
              <w:rPr>
                <w:rFonts w:ascii="Arial" w:hAnsi="Arial" w:cs="Arial"/>
                <w:b/>
                <w:bCs/>
                <w:color w:val="000000" w:themeColor="text1"/>
                <w:sz w:val="16"/>
                <w:szCs w:val="16"/>
              </w:rPr>
              <w:t>Studies</w:t>
            </w:r>
          </w:p>
        </w:tc>
        <w:tc>
          <w:tcPr>
            <w:tcW w:w="1850" w:type="pct"/>
            <w:tcBorders>
              <w:top w:val="single" w:sz="12" w:space="0" w:color="auto"/>
              <w:bottom w:val="single" w:sz="12" w:space="0" w:color="auto"/>
            </w:tcBorders>
            <w:vAlign w:val="center"/>
          </w:tcPr>
          <w:p w14:paraId="18BD2EED" w14:textId="77777777" w:rsidR="004B2C8C" w:rsidRPr="004205E6" w:rsidRDefault="00000000" w:rsidP="00ED32BF">
            <w:pPr>
              <w:jc w:val="both"/>
              <w:rPr>
                <w:rFonts w:ascii="Arial" w:hAnsi="Arial" w:cs="Arial"/>
                <w:color w:val="000000" w:themeColor="text1"/>
              </w:rPr>
            </w:pPr>
            <w:r w:rsidRPr="004205E6">
              <w:rPr>
                <w:rFonts w:ascii="Arial" w:hAnsi="Arial" w:cs="Arial"/>
                <w:b/>
                <w:bCs/>
                <w:color w:val="000000" w:themeColor="text1"/>
                <w:sz w:val="16"/>
                <w:szCs w:val="16"/>
              </w:rPr>
              <w:t>Issue</w:t>
            </w:r>
          </w:p>
        </w:tc>
        <w:tc>
          <w:tcPr>
            <w:tcW w:w="1200" w:type="pct"/>
            <w:tcBorders>
              <w:top w:val="single" w:sz="12" w:space="0" w:color="auto"/>
              <w:bottom w:val="single" w:sz="12" w:space="0" w:color="auto"/>
            </w:tcBorders>
            <w:vAlign w:val="center"/>
          </w:tcPr>
          <w:p w14:paraId="2CBDF0A6" w14:textId="77777777" w:rsidR="004B2C8C" w:rsidRPr="004205E6" w:rsidRDefault="00000000" w:rsidP="00ED32BF">
            <w:pPr>
              <w:jc w:val="both"/>
              <w:rPr>
                <w:rFonts w:ascii="Arial" w:hAnsi="Arial" w:cs="Arial"/>
                <w:color w:val="000000" w:themeColor="text1"/>
              </w:rPr>
            </w:pPr>
            <w:r w:rsidRPr="004205E6">
              <w:rPr>
                <w:rFonts w:ascii="Arial" w:hAnsi="Arial" w:cs="Arial"/>
                <w:b/>
                <w:bCs/>
                <w:color w:val="000000" w:themeColor="text1"/>
                <w:sz w:val="16"/>
                <w:szCs w:val="16"/>
              </w:rPr>
              <w:t>Resolution rule</w:t>
            </w:r>
          </w:p>
        </w:tc>
      </w:tr>
      <w:tr w:rsidR="004B2C8C" w:rsidRPr="004205E6" w14:paraId="115EDBD4" w14:textId="77777777" w:rsidTr="00A53773">
        <w:trPr>
          <w:trHeight w:val="567"/>
        </w:trPr>
        <w:tc>
          <w:tcPr>
            <w:tcW w:w="600" w:type="pct"/>
            <w:tcBorders>
              <w:top w:val="single" w:sz="12" w:space="0" w:color="auto"/>
            </w:tcBorders>
            <w:vAlign w:val="center"/>
          </w:tcPr>
          <w:p w14:paraId="784D91CE" w14:textId="77777777" w:rsidR="004B2C8C" w:rsidRPr="004205E6" w:rsidRDefault="00000000" w:rsidP="00ED32BF">
            <w:pPr>
              <w:jc w:val="both"/>
              <w:rPr>
                <w:rFonts w:ascii="Arial" w:hAnsi="Arial" w:cs="Arial"/>
                <w:color w:val="000000" w:themeColor="text1"/>
              </w:rPr>
            </w:pPr>
            <w:r w:rsidRPr="004205E6">
              <w:rPr>
                <w:rFonts w:ascii="Arial" w:hAnsi="Arial" w:cs="Arial"/>
                <w:color w:val="000000" w:themeColor="text1"/>
                <w:sz w:val="16"/>
                <w:szCs w:val="16"/>
              </w:rPr>
              <w:t>Pair 1</w:t>
            </w:r>
          </w:p>
        </w:tc>
        <w:tc>
          <w:tcPr>
            <w:tcW w:w="1350" w:type="pct"/>
            <w:tcBorders>
              <w:top w:val="single" w:sz="12" w:space="0" w:color="auto"/>
            </w:tcBorders>
            <w:vAlign w:val="center"/>
          </w:tcPr>
          <w:p w14:paraId="52DF8FC9" w14:textId="77777777" w:rsidR="004B2C8C" w:rsidRPr="004205E6" w:rsidRDefault="00000000" w:rsidP="00ED32BF">
            <w:pPr>
              <w:jc w:val="both"/>
              <w:rPr>
                <w:rFonts w:ascii="Arial" w:hAnsi="Arial" w:cs="Arial"/>
                <w:color w:val="000000" w:themeColor="text1"/>
              </w:rPr>
            </w:pPr>
            <w:r w:rsidRPr="004205E6">
              <w:rPr>
                <w:rFonts w:ascii="Arial" w:hAnsi="Arial" w:cs="Arial"/>
                <w:color w:val="000000" w:themeColor="text1"/>
                <w:sz w:val="16"/>
                <w:szCs w:val="16"/>
              </w:rPr>
              <w:t>Rotondano 2011 + Marmo 2009</w:t>
            </w:r>
          </w:p>
        </w:tc>
        <w:tc>
          <w:tcPr>
            <w:tcW w:w="1850" w:type="pct"/>
            <w:tcBorders>
              <w:top w:val="single" w:sz="12" w:space="0" w:color="auto"/>
            </w:tcBorders>
            <w:vAlign w:val="center"/>
          </w:tcPr>
          <w:p w14:paraId="659BE6E9" w14:textId="77777777" w:rsidR="004B2C8C" w:rsidRPr="004205E6" w:rsidRDefault="00000000" w:rsidP="00ED32BF">
            <w:pPr>
              <w:jc w:val="both"/>
              <w:rPr>
                <w:rFonts w:ascii="Arial" w:hAnsi="Arial" w:cs="Arial"/>
                <w:color w:val="000000" w:themeColor="text1"/>
              </w:rPr>
            </w:pPr>
            <w:r w:rsidRPr="004205E6">
              <w:rPr>
                <w:rFonts w:ascii="Arial" w:hAnsi="Arial" w:cs="Arial"/>
                <w:color w:val="000000" w:themeColor="text1"/>
                <w:sz w:val="16"/>
                <w:szCs w:val="16"/>
              </w:rPr>
              <w:t>Marmo 2009 PNED development; Rotondano 2011 ANN/TWIST validation in same PNED Italian cohort</w:t>
            </w:r>
          </w:p>
        </w:tc>
        <w:tc>
          <w:tcPr>
            <w:tcW w:w="1200" w:type="pct"/>
            <w:tcBorders>
              <w:top w:val="single" w:sz="12" w:space="0" w:color="auto"/>
            </w:tcBorders>
            <w:vAlign w:val="center"/>
          </w:tcPr>
          <w:p w14:paraId="28F67122" w14:textId="77777777" w:rsidR="004B2C8C" w:rsidRPr="004205E6" w:rsidRDefault="00000000" w:rsidP="00ED32BF">
            <w:pPr>
              <w:jc w:val="both"/>
              <w:rPr>
                <w:rFonts w:ascii="Arial" w:hAnsi="Arial" w:cs="Arial"/>
                <w:color w:val="000000" w:themeColor="text1"/>
              </w:rPr>
            </w:pPr>
            <w:r w:rsidRPr="004205E6">
              <w:rPr>
                <w:rFonts w:ascii="Arial" w:hAnsi="Arial" w:cs="Arial"/>
                <w:color w:val="000000" w:themeColor="text1"/>
                <w:sz w:val="16"/>
                <w:szCs w:val="16"/>
              </w:rPr>
              <w:t>Include Rotondano 2011 as primary; Marmo 2009 cited as PNED definition source only</w:t>
            </w:r>
          </w:p>
        </w:tc>
      </w:tr>
      <w:tr w:rsidR="004B2C8C" w:rsidRPr="004205E6" w14:paraId="0BBF3F6C" w14:textId="77777777" w:rsidTr="00ED32BF">
        <w:trPr>
          <w:trHeight w:val="567"/>
        </w:trPr>
        <w:tc>
          <w:tcPr>
            <w:tcW w:w="600" w:type="pct"/>
            <w:vAlign w:val="center"/>
          </w:tcPr>
          <w:p w14:paraId="7F240983" w14:textId="77777777" w:rsidR="004B2C8C" w:rsidRPr="004205E6" w:rsidRDefault="00000000" w:rsidP="00ED32BF">
            <w:pPr>
              <w:jc w:val="both"/>
              <w:rPr>
                <w:rFonts w:ascii="Arial" w:hAnsi="Arial" w:cs="Arial"/>
                <w:color w:val="000000" w:themeColor="text1"/>
              </w:rPr>
            </w:pPr>
            <w:r w:rsidRPr="004205E6">
              <w:rPr>
                <w:rFonts w:ascii="Arial" w:hAnsi="Arial" w:cs="Arial"/>
                <w:color w:val="000000" w:themeColor="text1"/>
                <w:sz w:val="16"/>
                <w:szCs w:val="16"/>
              </w:rPr>
              <w:t>Pair 2</w:t>
            </w:r>
          </w:p>
        </w:tc>
        <w:tc>
          <w:tcPr>
            <w:tcW w:w="1350" w:type="pct"/>
            <w:vAlign w:val="center"/>
          </w:tcPr>
          <w:p w14:paraId="248DDAF5" w14:textId="77777777" w:rsidR="004B2C8C" w:rsidRPr="004205E6" w:rsidRDefault="00000000" w:rsidP="00ED32BF">
            <w:pPr>
              <w:jc w:val="both"/>
              <w:rPr>
                <w:rFonts w:ascii="Arial" w:hAnsi="Arial" w:cs="Arial"/>
                <w:color w:val="000000" w:themeColor="text1"/>
              </w:rPr>
            </w:pPr>
            <w:r w:rsidRPr="004205E6">
              <w:rPr>
                <w:rFonts w:ascii="Arial" w:hAnsi="Arial" w:cs="Arial"/>
                <w:color w:val="000000" w:themeColor="text1"/>
                <w:sz w:val="16"/>
                <w:szCs w:val="16"/>
              </w:rPr>
              <w:t>Zhang 2023a + Zhang 2023b (duplicate)</w:t>
            </w:r>
          </w:p>
        </w:tc>
        <w:tc>
          <w:tcPr>
            <w:tcW w:w="1850" w:type="pct"/>
            <w:vAlign w:val="center"/>
          </w:tcPr>
          <w:p w14:paraId="71159FEC" w14:textId="77777777" w:rsidR="004B2C8C" w:rsidRPr="004205E6" w:rsidRDefault="00000000" w:rsidP="00ED32BF">
            <w:pPr>
              <w:jc w:val="both"/>
              <w:rPr>
                <w:rFonts w:ascii="Arial" w:hAnsi="Arial" w:cs="Arial"/>
                <w:color w:val="000000" w:themeColor="text1"/>
              </w:rPr>
            </w:pPr>
            <w:r w:rsidRPr="004205E6">
              <w:rPr>
                <w:rFonts w:ascii="Arial" w:hAnsi="Arial" w:cs="Arial"/>
                <w:color w:val="000000" w:themeColor="text1"/>
                <w:sz w:val="16"/>
                <w:szCs w:val="16"/>
              </w:rPr>
              <w:t>Same cohort, two journals</w:t>
            </w:r>
          </w:p>
        </w:tc>
        <w:tc>
          <w:tcPr>
            <w:tcW w:w="1200" w:type="pct"/>
            <w:vAlign w:val="center"/>
          </w:tcPr>
          <w:p w14:paraId="65A52668" w14:textId="77777777" w:rsidR="004B2C8C" w:rsidRPr="004205E6" w:rsidRDefault="00000000" w:rsidP="00ED32BF">
            <w:pPr>
              <w:jc w:val="both"/>
              <w:rPr>
                <w:rFonts w:ascii="Arial" w:hAnsi="Arial" w:cs="Arial"/>
                <w:color w:val="000000" w:themeColor="text1"/>
              </w:rPr>
            </w:pPr>
            <w:r w:rsidRPr="004205E6">
              <w:rPr>
                <w:rFonts w:ascii="Arial" w:hAnsi="Arial" w:cs="Arial"/>
                <w:color w:val="000000" w:themeColor="text1"/>
                <w:sz w:val="16"/>
                <w:szCs w:val="16"/>
              </w:rPr>
              <w:t>Include earliest publication only; exclude duplicate</w:t>
            </w:r>
          </w:p>
        </w:tc>
      </w:tr>
      <w:tr w:rsidR="004B2C8C" w:rsidRPr="004205E6" w14:paraId="39510AF6" w14:textId="77777777" w:rsidTr="00A53773">
        <w:trPr>
          <w:trHeight w:val="567"/>
        </w:trPr>
        <w:tc>
          <w:tcPr>
            <w:tcW w:w="600" w:type="pct"/>
            <w:tcBorders>
              <w:bottom w:val="single" w:sz="4" w:space="0" w:color="BFBFBF" w:themeColor="background1" w:themeShade="BF"/>
            </w:tcBorders>
            <w:vAlign w:val="center"/>
          </w:tcPr>
          <w:p w14:paraId="42F0CB54" w14:textId="77777777" w:rsidR="004B2C8C" w:rsidRPr="004205E6" w:rsidRDefault="00000000" w:rsidP="00ED32BF">
            <w:pPr>
              <w:jc w:val="both"/>
              <w:rPr>
                <w:rFonts w:ascii="Arial" w:hAnsi="Arial" w:cs="Arial"/>
                <w:color w:val="000000" w:themeColor="text1"/>
              </w:rPr>
            </w:pPr>
            <w:r w:rsidRPr="004205E6">
              <w:rPr>
                <w:rFonts w:ascii="Arial" w:hAnsi="Arial" w:cs="Arial"/>
                <w:color w:val="000000" w:themeColor="text1"/>
                <w:sz w:val="16"/>
                <w:szCs w:val="16"/>
              </w:rPr>
              <w:t>Pair 3</w:t>
            </w:r>
          </w:p>
        </w:tc>
        <w:tc>
          <w:tcPr>
            <w:tcW w:w="1350" w:type="pct"/>
            <w:tcBorders>
              <w:bottom w:val="single" w:sz="4" w:space="0" w:color="BFBFBF" w:themeColor="background1" w:themeShade="BF"/>
            </w:tcBorders>
            <w:vAlign w:val="center"/>
          </w:tcPr>
          <w:p w14:paraId="2AB53F17" w14:textId="77777777" w:rsidR="004B2C8C" w:rsidRPr="004205E6" w:rsidRDefault="00000000" w:rsidP="00ED32BF">
            <w:pPr>
              <w:jc w:val="both"/>
              <w:rPr>
                <w:rFonts w:ascii="Arial" w:hAnsi="Arial" w:cs="Arial"/>
                <w:color w:val="000000" w:themeColor="text1"/>
              </w:rPr>
            </w:pPr>
            <w:r w:rsidRPr="004205E6">
              <w:rPr>
                <w:rFonts w:ascii="Arial" w:hAnsi="Arial" w:cs="Arial"/>
                <w:color w:val="000000" w:themeColor="text1"/>
                <w:sz w:val="16"/>
                <w:szCs w:val="16"/>
              </w:rPr>
              <w:t>Seo 2020 + Park 2018</w:t>
            </w:r>
          </w:p>
        </w:tc>
        <w:tc>
          <w:tcPr>
            <w:tcW w:w="1850" w:type="pct"/>
            <w:tcBorders>
              <w:bottom w:val="single" w:sz="4" w:space="0" w:color="BFBFBF" w:themeColor="background1" w:themeShade="BF"/>
            </w:tcBorders>
            <w:vAlign w:val="center"/>
          </w:tcPr>
          <w:p w14:paraId="06422C93" w14:textId="77777777" w:rsidR="004B2C8C" w:rsidRPr="004205E6" w:rsidRDefault="00000000" w:rsidP="00ED32BF">
            <w:pPr>
              <w:jc w:val="both"/>
              <w:rPr>
                <w:rFonts w:ascii="Arial" w:hAnsi="Arial" w:cs="Arial"/>
                <w:color w:val="000000" w:themeColor="text1"/>
              </w:rPr>
            </w:pPr>
            <w:r w:rsidRPr="004205E6">
              <w:rPr>
                <w:rFonts w:ascii="Arial" w:hAnsi="Arial" w:cs="Arial"/>
                <w:color w:val="000000" w:themeColor="text1"/>
                <w:sz w:val="16"/>
                <w:szCs w:val="16"/>
              </w:rPr>
              <w:t>Same</w:t>
            </w:r>
            <w:r w:rsidR="00A53773" w:rsidRPr="004205E6">
              <w:rPr>
                <w:rFonts w:ascii="Arial" w:hAnsi="Arial" w:cs="Arial" w:hint="eastAsia"/>
                <w:color w:val="000000" w:themeColor="text1"/>
                <w:sz w:val="16"/>
                <w:szCs w:val="16"/>
              </w:rPr>
              <w:t xml:space="preserve"> </w:t>
            </w:r>
            <w:r w:rsidRPr="004205E6">
              <w:rPr>
                <w:rFonts w:ascii="Arial" w:hAnsi="Arial" w:cs="Arial"/>
                <w:color w:val="000000" w:themeColor="text1"/>
                <w:sz w:val="16"/>
                <w:szCs w:val="16"/>
              </w:rPr>
              <w:t>Korean cohort</w:t>
            </w:r>
          </w:p>
        </w:tc>
        <w:tc>
          <w:tcPr>
            <w:tcW w:w="1200" w:type="pct"/>
            <w:tcBorders>
              <w:bottom w:val="single" w:sz="4" w:space="0" w:color="BFBFBF" w:themeColor="background1" w:themeShade="BF"/>
            </w:tcBorders>
            <w:vAlign w:val="center"/>
          </w:tcPr>
          <w:p w14:paraId="33B4C75D" w14:textId="77777777" w:rsidR="004B2C8C" w:rsidRPr="004205E6" w:rsidRDefault="00000000" w:rsidP="00ED32BF">
            <w:pPr>
              <w:jc w:val="both"/>
              <w:rPr>
                <w:rFonts w:ascii="Arial" w:hAnsi="Arial" w:cs="Arial"/>
                <w:color w:val="000000" w:themeColor="text1"/>
              </w:rPr>
            </w:pPr>
            <w:r w:rsidRPr="004205E6">
              <w:rPr>
                <w:rFonts w:ascii="Arial" w:hAnsi="Arial" w:cs="Arial"/>
                <w:color w:val="000000" w:themeColor="text1"/>
                <w:sz w:val="16"/>
                <w:szCs w:val="16"/>
              </w:rPr>
              <w:t>Use Seo 2020 as primary; Park 2018 cited as cohort description</w:t>
            </w:r>
          </w:p>
        </w:tc>
      </w:tr>
      <w:tr w:rsidR="004B2C8C" w:rsidRPr="004205E6" w14:paraId="21C9D633" w14:textId="77777777" w:rsidTr="00A53773">
        <w:trPr>
          <w:trHeight w:val="567"/>
        </w:trPr>
        <w:tc>
          <w:tcPr>
            <w:tcW w:w="600" w:type="pct"/>
            <w:tcBorders>
              <w:bottom w:val="single" w:sz="12" w:space="0" w:color="auto"/>
            </w:tcBorders>
            <w:vAlign w:val="center"/>
          </w:tcPr>
          <w:p w14:paraId="751E407A" w14:textId="77777777" w:rsidR="004B2C8C" w:rsidRPr="004205E6" w:rsidRDefault="00000000" w:rsidP="00ED32BF">
            <w:pPr>
              <w:jc w:val="both"/>
              <w:rPr>
                <w:rFonts w:ascii="Arial" w:hAnsi="Arial" w:cs="Arial"/>
                <w:color w:val="000000" w:themeColor="text1"/>
              </w:rPr>
            </w:pPr>
            <w:r w:rsidRPr="004205E6">
              <w:rPr>
                <w:rFonts w:ascii="Arial" w:hAnsi="Arial" w:cs="Arial"/>
                <w:color w:val="000000" w:themeColor="text1"/>
                <w:sz w:val="16"/>
                <w:szCs w:val="16"/>
              </w:rPr>
              <w:t>Pair 4</w:t>
            </w:r>
          </w:p>
        </w:tc>
        <w:tc>
          <w:tcPr>
            <w:tcW w:w="1350" w:type="pct"/>
            <w:tcBorders>
              <w:bottom w:val="single" w:sz="12" w:space="0" w:color="auto"/>
            </w:tcBorders>
            <w:vAlign w:val="center"/>
          </w:tcPr>
          <w:p w14:paraId="249C829B" w14:textId="77777777" w:rsidR="004B2C8C" w:rsidRPr="004205E6" w:rsidRDefault="00000000" w:rsidP="00ED32BF">
            <w:pPr>
              <w:jc w:val="both"/>
              <w:rPr>
                <w:rFonts w:ascii="Arial" w:hAnsi="Arial" w:cs="Arial"/>
                <w:color w:val="000000" w:themeColor="text1"/>
              </w:rPr>
            </w:pPr>
            <w:r w:rsidRPr="004205E6">
              <w:rPr>
                <w:rFonts w:ascii="Arial" w:hAnsi="Arial" w:cs="Arial"/>
                <w:color w:val="000000" w:themeColor="text1"/>
                <w:sz w:val="16"/>
                <w:szCs w:val="16"/>
              </w:rPr>
              <w:t>Das 2000 + Das 2001 + Das 2008</w:t>
            </w:r>
          </w:p>
        </w:tc>
        <w:tc>
          <w:tcPr>
            <w:tcW w:w="1850" w:type="pct"/>
            <w:tcBorders>
              <w:bottom w:val="single" w:sz="12" w:space="0" w:color="auto"/>
            </w:tcBorders>
            <w:vAlign w:val="center"/>
          </w:tcPr>
          <w:p w14:paraId="234B3892" w14:textId="77777777" w:rsidR="004B2C8C" w:rsidRPr="004205E6" w:rsidRDefault="00000000" w:rsidP="00ED32BF">
            <w:pPr>
              <w:jc w:val="both"/>
              <w:rPr>
                <w:rFonts w:ascii="Arial" w:hAnsi="Arial" w:cs="Arial"/>
                <w:color w:val="000000" w:themeColor="text1"/>
              </w:rPr>
            </w:pPr>
            <w:r w:rsidRPr="004205E6">
              <w:rPr>
                <w:rFonts w:ascii="Arial" w:hAnsi="Arial" w:cs="Arial"/>
                <w:color w:val="000000" w:themeColor="text1"/>
                <w:sz w:val="16"/>
                <w:szCs w:val="16"/>
              </w:rPr>
              <w:t>Same author group, overlapping cohort, sequential reporting</w:t>
            </w:r>
          </w:p>
        </w:tc>
        <w:tc>
          <w:tcPr>
            <w:tcW w:w="1200" w:type="pct"/>
            <w:tcBorders>
              <w:bottom w:val="single" w:sz="12" w:space="0" w:color="auto"/>
            </w:tcBorders>
            <w:vAlign w:val="center"/>
          </w:tcPr>
          <w:p w14:paraId="17C5FEBA" w14:textId="77777777" w:rsidR="004B2C8C" w:rsidRPr="004205E6" w:rsidRDefault="00000000" w:rsidP="00ED32BF">
            <w:pPr>
              <w:jc w:val="both"/>
              <w:rPr>
                <w:rFonts w:ascii="Arial" w:hAnsi="Arial" w:cs="Arial"/>
                <w:color w:val="000000" w:themeColor="text1"/>
              </w:rPr>
            </w:pPr>
            <w:r w:rsidRPr="004205E6">
              <w:rPr>
                <w:rFonts w:ascii="Arial" w:hAnsi="Arial" w:cs="Arial"/>
                <w:color w:val="000000" w:themeColor="text1"/>
                <w:sz w:val="16"/>
                <w:szCs w:val="16"/>
              </w:rPr>
              <w:t>Use Das 2008 as primary (most complete); Das 2000/2001 cited</w:t>
            </w:r>
          </w:p>
        </w:tc>
      </w:tr>
    </w:tbl>
    <w:p w14:paraId="572B37F2" w14:textId="77777777" w:rsidR="004B2C8C" w:rsidRPr="004205E6" w:rsidRDefault="00000000">
      <w:pPr>
        <w:spacing w:before="80" w:after="80"/>
        <w:rPr>
          <w:rFonts w:ascii="Arial" w:hAnsi="Arial" w:cs="Arial"/>
          <w:color w:val="000000" w:themeColor="text1"/>
        </w:rPr>
      </w:pPr>
      <w:r w:rsidRPr="004205E6">
        <w:rPr>
          <w:rFonts w:ascii="Arial" w:hAnsi="Arial" w:cs="Arial"/>
          <w:i/>
          <w:iCs/>
          <w:color w:val="000000" w:themeColor="text1"/>
          <w:sz w:val="14"/>
          <w:szCs w:val="14"/>
        </w:rPr>
        <w:t>Companion records are multiple publications from the same underlying study cohort or model. The resolution rule indicates which publication was retained as the primary record and which were retained as companion documentation. Companion records do not contribute as independent studies to the main NMA pool.</w:t>
      </w:r>
    </w:p>
    <w:p w14:paraId="300E1B74" w14:textId="77777777" w:rsidR="004B2C8C" w:rsidRPr="004205E6" w:rsidRDefault="00000000">
      <w:pPr>
        <w:rPr>
          <w:rFonts w:ascii="Arial" w:hAnsi="Arial" w:cs="Arial"/>
          <w:color w:val="000000" w:themeColor="text1"/>
        </w:rPr>
      </w:pPr>
      <w:r w:rsidRPr="004205E6">
        <w:rPr>
          <w:rFonts w:ascii="Arial" w:hAnsi="Arial" w:cs="Arial"/>
          <w:color w:val="000000" w:themeColor="text1"/>
        </w:rPr>
        <w:br w:type="page"/>
      </w:r>
    </w:p>
    <w:p w14:paraId="283FF122" w14:textId="77777777" w:rsidR="004B2C8C" w:rsidRPr="004205E6" w:rsidRDefault="00000000">
      <w:pPr>
        <w:pStyle w:val="2"/>
        <w:spacing w:before="280" w:after="140"/>
        <w:rPr>
          <w:rFonts w:ascii="Arial" w:hAnsi="Arial" w:cs="Arial"/>
          <w:color w:val="000000" w:themeColor="text1"/>
          <w:sz w:val="24"/>
          <w:szCs w:val="24"/>
        </w:rPr>
      </w:pPr>
      <w:r w:rsidRPr="004205E6">
        <w:rPr>
          <w:rFonts w:ascii="Arial" w:hAnsi="Arial" w:cs="Arial"/>
          <w:b/>
          <w:bCs/>
          <w:color w:val="000000" w:themeColor="text1"/>
          <w:sz w:val="24"/>
          <w:szCs w:val="24"/>
        </w:rPr>
        <w:lastRenderedPageBreak/>
        <w:t>Supplementary Table S9. Sensitivity Analyses (12 pre-specified)</w:t>
      </w:r>
    </w:p>
    <w:p w14:paraId="38125D79" w14:textId="77777777" w:rsidR="004B2C8C" w:rsidRPr="004205E6" w:rsidRDefault="00000000">
      <w:pPr>
        <w:spacing w:before="80" w:after="80"/>
        <w:rPr>
          <w:rFonts w:ascii="Arial" w:hAnsi="Arial" w:cs="Arial"/>
          <w:color w:val="000000" w:themeColor="text1"/>
        </w:rPr>
      </w:pPr>
      <w:r w:rsidRPr="004205E6">
        <w:rPr>
          <w:rFonts w:ascii="Arial" w:hAnsi="Arial" w:cs="Arial"/>
          <w:color w:val="000000" w:themeColor="text1"/>
        </w:rPr>
        <w:t>Pre-specified sensitivity analyses for the S2 high-risk adverse outcome primary network. The contemporary-evidence sensitivity row reflects Shung, Nazarian, and Raghareutai; Shung composite outcome, Nazarian hemostatic therapy, Raghareutai endoscopic intervention.</w:t>
      </w:r>
    </w:p>
    <w:tbl>
      <w:tblPr>
        <w:tblStyle w:val="aa"/>
        <w:tblW w:w="5000" w:type="pct"/>
        <w:tblLook w:val="04A0" w:firstRow="1" w:lastRow="0" w:firstColumn="1" w:lastColumn="0" w:noHBand="0" w:noVBand="1"/>
      </w:tblPr>
      <w:tblGrid>
        <w:gridCol w:w="4756"/>
        <w:gridCol w:w="700"/>
        <w:gridCol w:w="1539"/>
        <w:gridCol w:w="2659"/>
        <w:gridCol w:w="979"/>
        <w:gridCol w:w="4755"/>
      </w:tblGrid>
      <w:tr w:rsidR="004B2C8C" w:rsidRPr="004205E6" w14:paraId="28A6C41B" w14:textId="77777777" w:rsidTr="00A53773">
        <w:trPr>
          <w:trHeight w:val="567"/>
        </w:trPr>
        <w:tc>
          <w:tcPr>
            <w:tcW w:w="1545" w:type="pct"/>
            <w:tcBorders>
              <w:top w:val="single" w:sz="12" w:space="0" w:color="auto"/>
              <w:bottom w:val="single" w:sz="12" w:space="0" w:color="auto"/>
            </w:tcBorders>
            <w:vAlign w:val="center"/>
          </w:tcPr>
          <w:p w14:paraId="3398C6AC"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Sensitivity analysis</w:t>
            </w:r>
          </w:p>
        </w:tc>
        <w:tc>
          <w:tcPr>
            <w:tcW w:w="227" w:type="pct"/>
            <w:tcBorders>
              <w:top w:val="single" w:sz="12" w:space="0" w:color="auto"/>
              <w:bottom w:val="single" w:sz="12" w:space="0" w:color="auto"/>
            </w:tcBorders>
            <w:vAlign w:val="center"/>
          </w:tcPr>
          <w:p w14:paraId="070A748D"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k</w:t>
            </w:r>
          </w:p>
        </w:tc>
        <w:tc>
          <w:tcPr>
            <w:tcW w:w="500" w:type="pct"/>
            <w:tcBorders>
              <w:top w:val="single" w:sz="12" w:space="0" w:color="auto"/>
              <w:bottom w:val="single" w:sz="12" w:space="0" w:color="auto"/>
            </w:tcBorders>
            <w:vAlign w:val="center"/>
          </w:tcPr>
          <w:p w14:paraId="37260450"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ΔAUROC</w:t>
            </w:r>
          </w:p>
        </w:tc>
        <w:tc>
          <w:tcPr>
            <w:tcW w:w="864" w:type="pct"/>
            <w:tcBorders>
              <w:top w:val="single" w:sz="12" w:space="0" w:color="auto"/>
              <w:bottom w:val="single" w:sz="12" w:space="0" w:color="auto"/>
            </w:tcBorders>
            <w:vAlign w:val="center"/>
          </w:tcPr>
          <w:p w14:paraId="488048A7"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95% CI</w:t>
            </w:r>
          </w:p>
        </w:tc>
        <w:tc>
          <w:tcPr>
            <w:tcW w:w="318" w:type="pct"/>
            <w:tcBorders>
              <w:top w:val="single" w:sz="12" w:space="0" w:color="auto"/>
              <w:bottom w:val="single" w:sz="12" w:space="0" w:color="auto"/>
            </w:tcBorders>
            <w:vAlign w:val="center"/>
          </w:tcPr>
          <w:p w14:paraId="7C701577"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I²</w:t>
            </w:r>
          </w:p>
        </w:tc>
        <w:tc>
          <w:tcPr>
            <w:tcW w:w="1545" w:type="pct"/>
            <w:tcBorders>
              <w:top w:val="single" w:sz="12" w:space="0" w:color="auto"/>
              <w:bottom w:val="single" w:sz="12" w:space="0" w:color="auto"/>
            </w:tcBorders>
            <w:vAlign w:val="center"/>
          </w:tcPr>
          <w:p w14:paraId="72F47E86"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Contributing studies</w:t>
            </w:r>
          </w:p>
        </w:tc>
      </w:tr>
      <w:tr w:rsidR="004B2C8C" w:rsidRPr="004205E6" w14:paraId="2ACA76B3" w14:textId="77777777" w:rsidTr="00A53773">
        <w:trPr>
          <w:trHeight w:val="567"/>
        </w:trPr>
        <w:tc>
          <w:tcPr>
            <w:tcW w:w="1545" w:type="pct"/>
            <w:tcBorders>
              <w:top w:val="single" w:sz="12" w:space="0" w:color="auto"/>
            </w:tcBorders>
            <w:vAlign w:val="center"/>
          </w:tcPr>
          <w:p w14:paraId="20BE092A"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Primary all-ML vs GBS</w:t>
            </w:r>
          </w:p>
        </w:tc>
        <w:tc>
          <w:tcPr>
            <w:tcW w:w="227" w:type="pct"/>
            <w:tcBorders>
              <w:top w:val="single" w:sz="12" w:space="0" w:color="auto"/>
            </w:tcBorders>
            <w:vAlign w:val="center"/>
          </w:tcPr>
          <w:p w14:paraId="3572636E"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7</w:t>
            </w:r>
          </w:p>
        </w:tc>
        <w:tc>
          <w:tcPr>
            <w:tcW w:w="500" w:type="pct"/>
            <w:tcBorders>
              <w:top w:val="single" w:sz="12" w:space="0" w:color="auto"/>
            </w:tcBorders>
            <w:vAlign w:val="center"/>
          </w:tcPr>
          <w:p w14:paraId="005D3E4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+0.148</w:t>
            </w:r>
          </w:p>
        </w:tc>
        <w:tc>
          <w:tcPr>
            <w:tcW w:w="864" w:type="pct"/>
            <w:tcBorders>
              <w:top w:val="single" w:sz="12" w:space="0" w:color="auto"/>
            </w:tcBorders>
            <w:vAlign w:val="center"/>
          </w:tcPr>
          <w:p w14:paraId="142A7F3D"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[+0.069, +0.228]</w:t>
            </w:r>
          </w:p>
        </w:tc>
        <w:tc>
          <w:tcPr>
            <w:tcW w:w="318" w:type="pct"/>
            <w:tcBorders>
              <w:top w:val="single" w:sz="12" w:space="0" w:color="auto"/>
            </w:tcBorders>
            <w:vAlign w:val="center"/>
          </w:tcPr>
          <w:p w14:paraId="3D5FF40B"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99%</w:t>
            </w:r>
          </w:p>
        </w:tc>
        <w:tc>
          <w:tcPr>
            <w:tcW w:w="1545" w:type="pct"/>
            <w:tcBorders>
              <w:top w:val="single" w:sz="12" w:space="0" w:color="auto"/>
            </w:tcBorders>
            <w:vAlign w:val="center"/>
          </w:tcPr>
          <w:p w14:paraId="25222AA3"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Lu 2026; Boros 2025; Seo 2020; Shung 2024; Nazarian 2024; Raghareutai 2025; Alomari 2026</w:t>
            </w:r>
          </w:p>
        </w:tc>
      </w:tr>
      <w:tr w:rsidR="004B2C8C" w:rsidRPr="004205E6" w14:paraId="4F248F99" w14:textId="77777777" w:rsidTr="00A53773">
        <w:trPr>
          <w:trHeight w:val="567"/>
        </w:trPr>
        <w:tc>
          <w:tcPr>
            <w:tcW w:w="1545" w:type="pct"/>
            <w:vAlign w:val="center"/>
          </w:tcPr>
          <w:p w14:paraId="34386F72"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Tree-ensemble class vs GBS</w:t>
            </w:r>
          </w:p>
        </w:tc>
        <w:tc>
          <w:tcPr>
            <w:tcW w:w="227" w:type="pct"/>
            <w:vAlign w:val="center"/>
          </w:tcPr>
          <w:p w14:paraId="741827A7"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3</w:t>
            </w:r>
          </w:p>
        </w:tc>
        <w:tc>
          <w:tcPr>
            <w:tcW w:w="500" w:type="pct"/>
            <w:vAlign w:val="center"/>
          </w:tcPr>
          <w:p w14:paraId="5DB61732"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+0.185</w:t>
            </w:r>
          </w:p>
        </w:tc>
        <w:tc>
          <w:tcPr>
            <w:tcW w:w="864" w:type="pct"/>
            <w:vAlign w:val="center"/>
          </w:tcPr>
          <w:p w14:paraId="2DA4B7CD"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[-0.083, +0.453]</w:t>
            </w:r>
          </w:p>
        </w:tc>
        <w:tc>
          <w:tcPr>
            <w:tcW w:w="318" w:type="pct"/>
            <w:vAlign w:val="center"/>
          </w:tcPr>
          <w:p w14:paraId="232BF6C3"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98%</w:t>
            </w:r>
          </w:p>
        </w:tc>
        <w:tc>
          <w:tcPr>
            <w:tcW w:w="1545" w:type="pct"/>
            <w:vAlign w:val="center"/>
          </w:tcPr>
          <w:p w14:paraId="68A64EA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Lu 2026; Boros 2025; Nazarian 2024</w:t>
            </w:r>
          </w:p>
        </w:tc>
      </w:tr>
      <w:tr w:rsidR="004B2C8C" w:rsidRPr="004205E6" w14:paraId="3AFB61F0" w14:textId="77777777" w:rsidTr="00A53773">
        <w:trPr>
          <w:trHeight w:val="567"/>
        </w:trPr>
        <w:tc>
          <w:tcPr>
            <w:tcW w:w="1545" w:type="pct"/>
            <w:vAlign w:val="center"/>
          </w:tcPr>
          <w:p w14:paraId="48A5B121"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ANN class vs all CCS</w:t>
            </w:r>
          </w:p>
        </w:tc>
        <w:tc>
          <w:tcPr>
            <w:tcW w:w="227" w:type="pct"/>
            <w:vAlign w:val="center"/>
          </w:tcPr>
          <w:p w14:paraId="178922F2"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2</w:t>
            </w:r>
          </w:p>
        </w:tc>
        <w:tc>
          <w:tcPr>
            <w:tcW w:w="500" w:type="pct"/>
            <w:vAlign w:val="center"/>
          </w:tcPr>
          <w:p w14:paraId="030E5D3C"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+0.223</w:t>
            </w:r>
          </w:p>
        </w:tc>
        <w:tc>
          <w:tcPr>
            <w:tcW w:w="864" w:type="pct"/>
            <w:vAlign w:val="center"/>
          </w:tcPr>
          <w:p w14:paraId="591B6691"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[-0.411, +0.857]</w:t>
            </w:r>
          </w:p>
        </w:tc>
        <w:tc>
          <w:tcPr>
            <w:tcW w:w="318" w:type="pct"/>
            <w:vAlign w:val="center"/>
          </w:tcPr>
          <w:p w14:paraId="0B3AA31F"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86%</w:t>
            </w:r>
          </w:p>
        </w:tc>
        <w:tc>
          <w:tcPr>
            <w:tcW w:w="1545" w:type="pct"/>
            <w:vAlign w:val="center"/>
          </w:tcPr>
          <w:p w14:paraId="63908997"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Rotondano 2011; Das 2008</w:t>
            </w:r>
          </w:p>
        </w:tc>
      </w:tr>
      <w:tr w:rsidR="004B2C8C" w:rsidRPr="004205E6" w14:paraId="19EECF5E" w14:textId="77777777" w:rsidTr="00A53773">
        <w:trPr>
          <w:trHeight w:val="567"/>
        </w:trPr>
        <w:tc>
          <w:tcPr>
            <w:tcW w:w="1545" w:type="pct"/>
            <w:vAlign w:val="center"/>
          </w:tcPr>
          <w:p w14:paraId="58E9063C"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Voting+RF vs GBS</w:t>
            </w:r>
          </w:p>
        </w:tc>
        <w:tc>
          <w:tcPr>
            <w:tcW w:w="227" w:type="pct"/>
            <w:vAlign w:val="center"/>
          </w:tcPr>
          <w:p w14:paraId="7EA101A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1</w:t>
            </w:r>
          </w:p>
        </w:tc>
        <w:tc>
          <w:tcPr>
            <w:tcW w:w="500" w:type="pct"/>
            <w:vAlign w:val="center"/>
          </w:tcPr>
          <w:p w14:paraId="01C9B6BF"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+0.194</w:t>
            </w:r>
          </w:p>
        </w:tc>
        <w:tc>
          <w:tcPr>
            <w:tcW w:w="864" w:type="pct"/>
            <w:vAlign w:val="center"/>
          </w:tcPr>
          <w:p w14:paraId="327464BA"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[+0.082, +0.306]</w:t>
            </w:r>
          </w:p>
        </w:tc>
        <w:tc>
          <w:tcPr>
            <w:tcW w:w="318" w:type="pct"/>
            <w:vAlign w:val="center"/>
          </w:tcPr>
          <w:p w14:paraId="3648F4E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w:t>
            </w:r>
          </w:p>
        </w:tc>
        <w:tc>
          <w:tcPr>
            <w:tcW w:w="1545" w:type="pct"/>
            <w:vAlign w:val="center"/>
          </w:tcPr>
          <w:p w14:paraId="27E8681C"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Seo 2020</w:t>
            </w:r>
          </w:p>
        </w:tc>
      </w:tr>
      <w:tr w:rsidR="004B2C8C" w:rsidRPr="004205E6" w14:paraId="034974CB" w14:textId="77777777" w:rsidTr="00A53773">
        <w:trPr>
          <w:trHeight w:val="567"/>
        </w:trPr>
        <w:tc>
          <w:tcPr>
            <w:tcW w:w="1545" w:type="pct"/>
            <w:vAlign w:val="center"/>
          </w:tcPr>
          <w:p w14:paraId="799610C7"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Externally validated ML vs GBS</w:t>
            </w:r>
          </w:p>
        </w:tc>
        <w:tc>
          <w:tcPr>
            <w:tcW w:w="227" w:type="pct"/>
            <w:vAlign w:val="center"/>
          </w:tcPr>
          <w:p w14:paraId="0D0E9503"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3</w:t>
            </w:r>
          </w:p>
        </w:tc>
        <w:tc>
          <w:tcPr>
            <w:tcW w:w="500" w:type="pct"/>
            <w:vAlign w:val="center"/>
          </w:tcPr>
          <w:p w14:paraId="03774B2B"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+0.158</w:t>
            </w:r>
          </w:p>
        </w:tc>
        <w:tc>
          <w:tcPr>
            <w:tcW w:w="864" w:type="pct"/>
            <w:vAlign w:val="center"/>
          </w:tcPr>
          <w:p w14:paraId="128B512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[-0.180, +0.496]</w:t>
            </w:r>
          </w:p>
        </w:tc>
        <w:tc>
          <w:tcPr>
            <w:tcW w:w="318" w:type="pct"/>
            <w:vAlign w:val="center"/>
          </w:tcPr>
          <w:p w14:paraId="05B4A57A"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100%</w:t>
            </w:r>
          </w:p>
        </w:tc>
        <w:tc>
          <w:tcPr>
            <w:tcW w:w="1545" w:type="pct"/>
            <w:vAlign w:val="center"/>
          </w:tcPr>
          <w:p w14:paraId="7E3CF32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Lu 2026; Shung 2024; Alomari 2026</w:t>
            </w:r>
          </w:p>
        </w:tc>
      </w:tr>
      <w:tr w:rsidR="004B2C8C" w:rsidRPr="004205E6" w14:paraId="34298DDD" w14:textId="77777777" w:rsidTr="00A53773">
        <w:trPr>
          <w:trHeight w:val="567"/>
        </w:trPr>
        <w:tc>
          <w:tcPr>
            <w:tcW w:w="1545" w:type="pct"/>
            <w:vAlign w:val="center"/>
          </w:tcPr>
          <w:p w14:paraId="34123DD4"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Ext Tree-ensemble vs GBS</w:t>
            </w:r>
          </w:p>
        </w:tc>
        <w:tc>
          <w:tcPr>
            <w:tcW w:w="227" w:type="pct"/>
            <w:vAlign w:val="center"/>
          </w:tcPr>
          <w:p w14:paraId="3ADABCB1"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1</w:t>
            </w:r>
          </w:p>
        </w:tc>
        <w:tc>
          <w:tcPr>
            <w:tcW w:w="500" w:type="pct"/>
            <w:vAlign w:val="center"/>
          </w:tcPr>
          <w:p w14:paraId="7485B880"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+0.301</w:t>
            </w:r>
          </w:p>
        </w:tc>
        <w:tc>
          <w:tcPr>
            <w:tcW w:w="864" w:type="pct"/>
            <w:vAlign w:val="center"/>
          </w:tcPr>
          <w:p w14:paraId="4903FD6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[+0.285, +0.317]</w:t>
            </w:r>
          </w:p>
        </w:tc>
        <w:tc>
          <w:tcPr>
            <w:tcW w:w="318" w:type="pct"/>
            <w:vAlign w:val="center"/>
          </w:tcPr>
          <w:p w14:paraId="391D892D"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w:t>
            </w:r>
          </w:p>
        </w:tc>
        <w:tc>
          <w:tcPr>
            <w:tcW w:w="1545" w:type="pct"/>
            <w:vAlign w:val="center"/>
          </w:tcPr>
          <w:p w14:paraId="3D2449A2"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Lu 2026</w:t>
            </w:r>
          </w:p>
        </w:tc>
      </w:tr>
      <w:tr w:rsidR="004B2C8C" w:rsidRPr="004205E6" w14:paraId="6F839660" w14:textId="77777777" w:rsidTr="00A53773">
        <w:trPr>
          <w:trHeight w:val="567"/>
        </w:trPr>
        <w:tc>
          <w:tcPr>
            <w:tcW w:w="1545" w:type="pct"/>
            <w:vAlign w:val="center"/>
          </w:tcPr>
          <w:p w14:paraId="3934321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Ext multi-ML pool vs GBS</w:t>
            </w:r>
          </w:p>
        </w:tc>
        <w:tc>
          <w:tcPr>
            <w:tcW w:w="227" w:type="pct"/>
            <w:vAlign w:val="center"/>
          </w:tcPr>
          <w:p w14:paraId="2272C89E"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2</w:t>
            </w:r>
          </w:p>
        </w:tc>
        <w:tc>
          <w:tcPr>
            <w:tcW w:w="500" w:type="pct"/>
            <w:vAlign w:val="center"/>
          </w:tcPr>
          <w:p w14:paraId="28871F94"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+0.086</w:t>
            </w:r>
          </w:p>
        </w:tc>
        <w:tc>
          <w:tcPr>
            <w:tcW w:w="864" w:type="pct"/>
            <w:vAlign w:val="center"/>
          </w:tcPr>
          <w:p w14:paraId="62D343DC"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[-0.626, +0.798]</w:t>
            </w:r>
          </w:p>
        </w:tc>
        <w:tc>
          <w:tcPr>
            <w:tcW w:w="318" w:type="pct"/>
            <w:vAlign w:val="center"/>
          </w:tcPr>
          <w:p w14:paraId="5DDF399E"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99%</w:t>
            </w:r>
          </w:p>
        </w:tc>
        <w:tc>
          <w:tcPr>
            <w:tcW w:w="1545" w:type="pct"/>
            <w:vAlign w:val="center"/>
          </w:tcPr>
          <w:p w14:paraId="57B2556A"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Shung 2024; Alomari 2026</w:t>
            </w:r>
          </w:p>
        </w:tc>
      </w:tr>
      <w:tr w:rsidR="004B2C8C" w:rsidRPr="004205E6" w14:paraId="10A6E4F0" w14:textId="77777777" w:rsidTr="00A53773">
        <w:trPr>
          <w:trHeight w:val="567"/>
        </w:trPr>
        <w:tc>
          <w:tcPr>
            <w:tcW w:w="1545" w:type="pct"/>
            <w:vAlign w:val="center"/>
          </w:tcPr>
          <w:p w14:paraId="262CDD08"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Strict NV-UGIB vs GBS</w:t>
            </w:r>
          </w:p>
        </w:tc>
        <w:tc>
          <w:tcPr>
            <w:tcW w:w="227" w:type="pct"/>
            <w:vAlign w:val="center"/>
          </w:tcPr>
          <w:p w14:paraId="22285500"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2</w:t>
            </w:r>
          </w:p>
        </w:tc>
        <w:tc>
          <w:tcPr>
            <w:tcW w:w="500" w:type="pct"/>
            <w:vAlign w:val="center"/>
          </w:tcPr>
          <w:p w14:paraId="0051935B"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+0.262</w:t>
            </w:r>
          </w:p>
        </w:tc>
        <w:tc>
          <w:tcPr>
            <w:tcW w:w="864" w:type="pct"/>
            <w:vAlign w:val="center"/>
          </w:tcPr>
          <w:p w14:paraId="548EBFEE"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[-0.391, +0.916]</w:t>
            </w:r>
          </w:p>
        </w:tc>
        <w:tc>
          <w:tcPr>
            <w:tcW w:w="318" w:type="pct"/>
            <w:vAlign w:val="center"/>
          </w:tcPr>
          <w:p w14:paraId="0365FE4F"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71%</w:t>
            </w:r>
          </w:p>
        </w:tc>
        <w:tc>
          <w:tcPr>
            <w:tcW w:w="1545" w:type="pct"/>
            <w:vAlign w:val="center"/>
          </w:tcPr>
          <w:p w14:paraId="7AD9CD53"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Lu 2026; Seo 2020</w:t>
            </w:r>
          </w:p>
        </w:tc>
      </w:tr>
      <w:tr w:rsidR="004B2C8C" w:rsidRPr="004205E6" w14:paraId="3AC93B25" w14:textId="77777777" w:rsidTr="00A53773">
        <w:trPr>
          <w:trHeight w:val="567"/>
        </w:trPr>
        <w:tc>
          <w:tcPr>
            <w:tcW w:w="1545" w:type="pct"/>
            <w:vAlign w:val="center"/>
          </w:tcPr>
          <w:p w14:paraId="6DA9815C"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Ext + strict NV-UGIB vs GBS</w:t>
            </w:r>
          </w:p>
        </w:tc>
        <w:tc>
          <w:tcPr>
            <w:tcW w:w="227" w:type="pct"/>
            <w:vAlign w:val="center"/>
          </w:tcPr>
          <w:p w14:paraId="1AD48CC7"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1</w:t>
            </w:r>
          </w:p>
        </w:tc>
        <w:tc>
          <w:tcPr>
            <w:tcW w:w="500" w:type="pct"/>
            <w:vAlign w:val="center"/>
          </w:tcPr>
          <w:p w14:paraId="67296690"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+0.301</w:t>
            </w:r>
          </w:p>
        </w:tc>
        <w:tc>
          <w:tcPr>
            <w:tcW w:w="864" w:type="pct"/>
            <w:vAlign w:val="center"/>
          </w:tcPr>
          <w:p w14:paraId="3A508BF6"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[+0.285, +0.317]</w:t>
            </w:r>
          </w:p>
        </w:tc>
        <w:tc>
          <w:tcPr>
            <w:tcW w:w="318" w:type="pct"/>
            <w:vAlign w:val="center"/>
          </w:tcPr>
          <w:p w14:paraId="3F163A8D"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w:t>
            </w:r>
          </w:p>
        </w:tc>
        <w:tc>
          <w:tcPr>
            <w:tcW w:w="1545" w:type="pct"/>
            <w:vAlign w:val="center"/>
          </w:tcPr>
          <w:p w14:paraId="52D1196D"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Lu 2026</w:t>
            </w:r>
          </w:p>
        </w:tc>
      </w:tr>
      <w:tr w:rsidR="004B2C8C" w:rsidRPr="004205E6" w14:paraId="14F99835" w14:textId="77777777" w:rsidTr="00A53773">
        <w:trPr>
          <w:trHeight w:val="567"/>
        </w:trPr>
        <w:tc>
          <w:tcPr>
            <w:tcW w:w="1545" w:type="pct"/>
            <w:vAlign w:val="center"/>
          </w:tcPr>
          <w:p w14:paraId="54EEDE6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Network-structure sensitivity: historical ANN anchor exclusion (Rotondano did not contribute to all-ML vs GBS direct pool; effect unchanged by definition)</w:t>
            </w:r>
          </w:p>
        </w:tc>
        <w:tc>
          <w:tcPr>
            <w:tcW w:w="227" w:type="pct"/>
            <w:vAlign w:val="center"/>
          </w:tcPr>
          <w:p w14:paraId="6AD6AE5E"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7</w:t>
            </w:r>
          </w:p>
        </w:tc>
        <w:tc>
          <w:tcPr>
            <w:tcW w:w="500" w:type="pct"/>
            <w:vAlign w:val="center"/>
          </w:tcPr>
          <w:p w14:paraId="48EC38A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+0.148</w:t>
            </w:r>
          </w:p>
        </w:tc>
        <w:tc>
          <w:tcPr>
            <w:tcW w:w="864" w:type="pct"/>
            <w:vAlign w:val="center"/>
          </w:tcPr>
          <w:p w14:paraId="2945EC62"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[+0.069, +0.228]</w:t>
            </w:r>
          </w:p>
        </w:tc>
        <w:tc>
          <w:tcPr>
            <w:tcW w:w="318" w:type="pct"/>
            <w:vAlign w:val="center"/>
          </w:tcPr>
          <w:p w14:paraId="7A8A284A"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99%</w:t>
            </w:r>
          </w:p>
        </w:tc>
        <w:tc>
          <w:tcPr>
            <w:tcW w:w="1545" w:type="pct"/>
            <w:vAlign w:val="center"/>
          </w:tcPr>
          <w:p w14:paraId="2138A408"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Lu 2026; Boros 2025; Seo 2020; Shung 2024; Nazarian 2024; Raghareutai 2025; Alomari 2026</w:t>
            </w:r>
          </w:p>
        </w:tc>
      </w:tr>
      <w:tr w:rsidR="004B2C8C" w:rsidRPr="004205E6" w14:paraId="248A4CD8" w14:textId="77777777" w:rsidTr="00A53773">
        <w:trPr>
          <w:trHeight w:val="567"/>
        </w:trPr>
        <w:tc>
          <w:tcPr>
            <w:tcW w:w="1545" w:type="pct"/>
            <w:vAlign w:val="center"/>
          </w:tcPr>
          <w:p w14:paraId="4650DFCD"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Peer-reviewed-only ML vs GBS (identical to primary; no preprint/unpublished study contributed to S2)</w:t>
            </w:r>
          </w:p>
        </w:tc>
        <w:tc>
          <w:tcPr>
            <w:tcW w:w="227" w:type="pct"/>
            <w:vAlign w:val="center"/>
          </w:tcPr>
          <w:p w14:paraId="27A69E4E"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7</w:t>
            </w:r>
          </w:p>
        </w:tc>
        <w:tc>
          <w:tcPr>
            <w:tcW w:w="500" w:type="pct"/>
            <w:vAlign w:val="center"/>
          </w:tcPr>
          <w:p w14:paraId="3E13E037"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+0.148</w:t>
            </w:r>
          </w:p>
        </w:tc>
        <w:tc>
          <w:tcPr>
            <w:tcW w:w="864" w:type="pct"/>
            <w:vAlign w:val="center"/>
          </w:tcPr>
          <w:p w14:paraId="1B8D7B92"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[+0.069, +0.228]</w:t>
            </w:r>
          </w:p>
        </w:tc>
        <w:tc>
          <w:tcPr>
            <w:tcW w:w="318" w:type="pct"/>
            <w:vAlign w:val="center"/>
          </w:tcPr>
          <w:p w14:paraId="1DCA3E7F"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99%</w:t>
            </w:r>
          </w:p>
        </w:tc>
        <w:tc>
          <w:tcPr>
            <w:tcW w:w="1545" w:type="pct"/>
            <w:vAlign w:val="center"/>
          </w:tcPr>
          <w:p w14:paraId="72CC594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Lu 2026; Boros 2025; Seo 2020; Shung 2024; Nazarian 2024; Raghareutai 2025; Alomari 2026</w:t>
            </w:r>
          </w:p>
        </w:tc>
      </w:tr>
      <w:tr w:rsidR="004B2C8C" w:rsidRPr="004205E6" w14:paraId="53498875" w14:textId="77777777" w:rsidTr="00A53773">
        <w:trPr>
          <w:trHeight w:val="567"/>
        </w:trPr>
        <w:tc>
          <w:tcPr>
            <w:tcW w:w="1545" w:type="pct"/>
            <w:vAlign w:val="center"/>
          </w:tcPr>
          <w:p w14:paraId="68B2AFBE"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Contemporary ML-vs-CCS sensitivity (Shung/Nazarian/Raghareutai mixed outcomes)</w:t>
            </w:r>
          </w:p>
        </w:tc>
        <w:tc>
          <w:tcPr>
            <w:tcW w:w="227" w:type="pct"/>
            <w:vAlign w:val="center"/>
          </w:tcPr>
          <w:p w14:paraId="2A0CEB7C"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3</w:t>
            </w:r>
          </w:p>
        </w:tc>
        <w:tc>
          <w:tcPr>
            <w:tcW w:w="500" w:type="pct"/>
            <w:vAlign w:val="center"/>
          </w:tcPr>
          <w:p w14:paraId="4CB2B742"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+0.083</w:t>
            </w:r>
          </w:p>
        </w:tc>
        <w:tc>
          <w:tcPr>
            <w:tcW w:w="864" w:type="pct"/>
            <w:vAlign w:val="center"/>
          </w:tcPr>
          <w:p w14:paraId="7F2D3631"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[-0.045, +0.210]</w:t>
            </w:r>
          </w:p>
        </w:tc>
        <w:tc>
          <w:tcPr>
            <w:tcW w:w="318" w:type="pct"/>
            <w:vAlign w:val="center"/>
          </w:tcPr>
          <w:p w14:paraId="0484E021"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96%</w:t>
            </w:r>
          </w:p>
        </w:tc>
        <w:tc>
          <w:tcPr>
            <w:tcW w:w="1545" w:type="pct"/>
            <w:vAlign w:val="center"/>
          </w:tcPr>
          <w:p w14:paraId="7896FBDF"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Shung 2024; Nazarian 2024; Raghareutai 2025</w:t>
            </w:r>
          </w:p>
        </w:tc>
      </w:tr>
      <w:tr w:rsidR="004B2C8C" w:rsidRPr="004205E6" w14:paraId="48B73673" w14:textId="77777777" w:rsidTr="00A53773">
        <w:trPr>
          <w:trHeight w:val="567"/>
        </w:trPr>
        <w:tc>
          <w:tcPr>
            <w:tcW w:w="1545" w:type="pct"/>
            <w:tcBorders>
              <w:bottom w:val="single" w:sz="4" w:space="0" w:color="BFBFBF" w:themeColor="background1" w:themeShade="BF"/>
            </w:tcBorders>
            <w:vAlign w:val="center"/>
          </w:tcPr>
          <w:p w14:paraId="4704C074"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Exploratory mortality-only outcome subgroup vs GBS (all-ML direct pool)</w:t>
            </w:r>
          </w:p>
        </w:tc>
        <w:tc>
          <w:tcPr>
            <w:tcW w:w="227" w:type="pct"/>
            <w:tcBorders>
              <w:bottom w:val="single" w:sz="4" w:space="0" w:color="BFBFBF" w:themeColor="background1" w:themeShade="BF"/>
            </w:tcBorders>
            <w:vAlign w:val="center"/>
          </w:tcPr>
          <w:p w14:paraId="1C57F4B7"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3</w:t>
            </w:r>
          </w:p>
        </w:tc>
        <w:tc>
          <w:tcPr>
            <w:tcW w:w="500" w:type="pct"/>
            <w:tcBorders>
              <w:bottom w:val="single" w:sz="4" w:space="0" w:color="BFBFBF" w:themeColor="background1" w:themeShade="BF"/>
            </w:tcBorders>
            <w:vAlign w:val="center"/>
          </w:tcPr>
          <w:p w14:paraId="7553CA66"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+0.202</w:t>
            </w:r>
          </w:p>
        </w:tc>
        <w:tc>
          <w:tcPr>
            <w:tcW w:w="864" w:type="pct"/>
            <w:tcBorders>
              <w:bottom w:val="single" w:sz="4" w:space="0" w:color="BFBFBF" w:themeColor="background1" w:themeShade="BF"/>
            </w:tcBorders>
            <w:vAlign w:val="center"/>
          </w:tcPr>
          <w:p w14:paraId="2A88948E"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[-0.016, +0.419]</w:t>
            </w:r>
          </w:p>
        </w:tc>
        <w:tc>
          <w:tcPr>
            <w:tcW w:w="318" w:type="pct"/>
            <w:tcBorders>
              <w:bottom w:val="single" w:sz="4" w:space="0" w:color="BFBFBF" w:themeColor="background1" w:themeShade="BF"/>
            </w:tcBorders>
            <w:vAlign w:val="center"/>
          </w:tcPr>
          <w:p w14:paraId="54B7DBD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99%</w:t>
            </w:r>
          </w:p>
        </w:tc>
        <w:tc>
          <w:tcPr>
            <w:tcW w:w="1545" w:type="pct"/>
            <w:tcBorders>
              <w:bottom w:val="single" w:sz="4" w:space="0" w:color="BFBFBF" w:themeColor="background1" w:themeShade="BF"/>
            </w:tcBorders>
            <w:vAlign w:val="center"/>
          </w:tcPr>
          <w:p w14:paraId="2C7968D3"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Lu 2026, Boros 2025, Alomari 2026</w:t>
            </w:r>
          </w:p>
        </w:tc>
      </w:tr>
      <w:tr w:rsidR="004B2C8C" w:rsidRPr="004205E6" w14:paraId="00AAD60D" w14:textId="77777777" w:rsidTr="00A53773">
        <w:trPr>
          <w:trHeight w:val="567"/>
        </w:trPr>
        <w:tc>
          <w:tcPr>
            <w:tcW w:w="1545" w:type="pct"/>
            <w:tcBorders>
              <w:bottom w:val="single" w:sz="12" w:space="0" w:color="auto"/>
            </w:tcBorders>
            <w:vAlign w:val="center"/>
          </w:tcPr>
          <w:p w14:paraId="37B0C4C7"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lastRenderedPageBreak/>
              <w:t>Exploratory composite/intervention-related outcome subgroup vs GBS (all-ML direct pool)</w:t>
            </w:r>
          </w:p>
        </w:tc>
        <w:tc>
          <w:tcPr>
            <w:tcW w:w="227" w:type="pct"/>
            <w:tcBorders>
              <w:bottom w:val="single" w:sz="12" w:space="0" w:color="auto"/>
            </w:tcBorders>
            <w:vAlign w:val="center"/>
          </w:tcPr>
          <w:p w14:paraId="1379C87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4</w:t>
            </w:r>
          </w:p>
        </w:tc>
        <w:tc>
          <w:tcPr>
            <w:tcW w:w="500" w:type="pct"/>
            <w:tcBorders>
              <w:bottom w:val="single" w:sz="12" w:space="0" w:color="auto"/>
            </w:tcBorders>
            <w:vAlign w:val="center"/>
          </w:tcPr>
          <w:p w14:paraId="420BF2E4"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+0.101</w:t>
            </w:r>
          </w:p>
        </w:tc>
        <w:tc>
          <w:tcPr>
            <w:tcW w:w="864" w:type="pct"/>
            <w:tcBorders>
              <w:bottom w:val="single" w:sz="12" w:space="0" w:color="auto"/>
            </w:tcBorders>
            <w:vAlign w:val="center"/>
          </w:tcPr>
          <w:p w14:paraId="5F71EC1E"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[-0.002, +0.205]</w:t>
            </w:r>
          </w:p>
        </w:tc>
        <w:tc>
          <w:tcPr>
            <w:tcW w:w="318" w:type="pct"/>
            <w:tcBorders>
              <w:bottom w:val="single" w:sz="12" w:space="0" w:color="auto"/>
            </w:tcBorders>
            <w:vAlign w:val="center"/>
          </w:tcPr>
          <w:p w14:paraId="307C2C31"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94%</w:t>
            </w:r>
          </w:p>
        </w:tc>
        <w:tc>
          <w:tcPr>
            <w:tcW w:w="1545" w:type="pct"/>
            <w:tcBorders>
              <w:bottom w:val="single" w:sz="12" w:space="0" w:color="auto"/>
            </w:tcBorders>
            <w:vAlign w:val="center"/>
          </w:tcPr>
          <w:p w14:paraId="26B81FDB"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Seo 2020, Shung 2024, Nazarian 2024, Raghareutai 2025</w:t>
            </w:r>
          </w:p>
        </w:tc>
      </w:tr>
    </w:tbl>
    <w:p w14:paraId="34E25AC2" w14:textId="77777777" w:rsidR="004B2C8C" w:rsidRPr="004205E6" w:rsidRDefault="00000000">
      <w:pPr>
        <w:spacing w:before="80" w:after="80"/>
        <w:rPr>
          <w:rFonts w:ascii="Arial" w:hAnsi="Arial" w:cs="Arial"/>
          <w:color w:val="000000" w:themeColor="text1"/>
        </w:rPr>
      </w:pPr>
      <w:r w:rsidRPr="004205E6">
        <w:rPr>
          <w:rFonts w:ascii="Arial" w:hAnsi="Arial" w:cs="Arial"/>
          <w:i/>
          <w:iCs/>
          <w:color w:val="000000" w:themeColor="text1"/>
          <w:sz w:val="14"/>
          <w:szCs w:val="14"/>
        </w:rPr>
        <w:t>Pre-specified sensitivity analyses for the S2 high-risk adverse outcome primary network. (a) Primary all-ML versus GBS pool is the headline contrast. (e) Externally validated ML versus GBS is the key sensitivity. (m) is a post-hoc contemporary mixed-outcome sensitivity restricted to Shung 2024, Nazarian 2024, and Raghareutai 2025, which evaluated composite or intervention-related outcomes.</w:t>
      </w:r>
    </w:p>
    <w:p w14:paraId="6AC09A7E" w14:textId="77777777" w:rsidR="004B2C8C" w:rsidRPr="004205E6" w:rsidRDefault="00000000">
      <w:pPr>
        <w:rPr>
          <w:rFonts w:ascii="Arial" w:hAnsi="Arial" w:cs="Arial"/>
          <w:color w:val="000000" w:themeColor="text1"/>
        </w:rPr>
      </w:pPr>
      <w:r w:rsidRPr="004205E6">
        <w:rPr>
          <w:rFonts w:ascii="Arial" w:hAnsi="Arial" w:cs="Arial"/>
          <w:color w:val="000000" w:themeColor="text1"/>
        </w:rPr>
        <w:br w:type="page"/>
      </w:r>
    </w:p>
    <w:p w14:paraId="79F3CD31" w14:textId="77777777" w:rsidR="004B2C8C" w:rsidRPr="004205E6" w:rsidRDefault="004B2C8C">
      <w:pPr>
        <w:pStyle w:val="2"/>
        <w:spacing w:before="280" w:after="140"/>
        <w:rPr>
          <w:rFonts w:ascii="Arial" w:hAnsi="Arial" w:cs="Arial"/>
          <w:color w:val="000000" w:themeColor="text1"/>
          <w:sz w:val="24"/>
          <w:szCs w:val="24"/>
        </w:rPr>
      </w:pPr>
    </w:p>
    <w:p w14:paraId="1913CB3C" w14:textId="77777777" w:rsidR="004B2C8C" w:rsidRPr="0033601D" w:rsidRDefault="00000000">
      <w:pPr>
        <w:pStyle w:val="2"/>
        <w:spacing w:before="280" w:after="140"/>
        <w:rPr>
          <w:rFonts w:ascii="Arial" w:hAnsi="Arial" w:cs="Arial"/>
          <w:color w:val="000000" w:themeColor="text1"/>
          <w:sz w:val="24"/>
          <w:szCs w:val="24"/>
        </w:rPr>
      </w:pPr>
      <w:r w:rsidRPr="0033601D">
        <w:rPr>
          <w:rFonts w:ascii="Arial" w:hAnsi="Arial" w:cs="Arial"/>
          <w:b/>
          <w:color w:val="000000" w:themeColor="text1"/>
        </w:rPr>
        <w:t>Supplementary Figure S2. Prediction interval for the all-ML versus GBS direct pool (k=7).</w:t>
      </w:r>
    </w:p>
    <w:p w14:paraId="27688F25" w14:textId="77777777" w:rsidR="004B2C8C" w:rsidRPr="0033601D" w:rsidRDefault="00000000">
      <w:pPr>
        <w:pStyle w:val="2"/>
        <w:spacing w:before="280" w:after="140"/>
        <w:rPr>
          <w:rFonts w:ascii="Arial" w:hAnsi="Arial" w:cs="Arial"/>
          <w:color w:val="000000" w:themeColor="text1"/>
          <w:sz w:val="24"/>
          <w:szCs w:val="24"/>
        </w:rPr>
      </w:pPr>
      <w:r w:rsidRPr="0033601D">
        <w:rPr>
          <w:rFonts w:ascii="Arial" w:hAnsi="Arial" w:cs="Arial"/>
          <w:noProof/>
          <w:color w:val="000000" w:themeColor="text1"/>
        </w:rPr>
        <w:drawing>
          <wp:inline distT="0" distB="0" distL="0" distR="0" wp14:anchorId="3C9E47D2" wp14:editId="3B48B47F">
            <wp:extent cx="7191375" cy="42381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3_PredictionInterval_v3.63.png"/>
                    <pic:cNvPicPr/>
                  </pic:nvPicPr>
                  <pic:blipFill>
                    <a:blip r:embed="rId8"/>
                    <a:stretch>
                      <a:fillRect/>
                    </a:stretch>
                  </pic:blipFill>
                  <pic:spPr>
                    <a:xfrm>
                      <a:off x="0" y="0"/>
                      <a:ext cx="7199131" cy="4242737"/>
                    </a:xfrm>
                    <a:prstGeom prst="rect">
                      <a:avLst/>
                    </a:prstGeom>
                  </pic:spPr>
                </pic:pic>
              </a:graphicData>
            </a:graphic>
          </wp:inline>
        </w:drawing>
      </w:r>
    </w:p>
    <w:p w14:paraId="714849D1" w14:textId="77777777" w:rsidR="004B2C8C" w:rsidRPr="0033601D" w:rsidRDefault="00000000">
      <w:pPr>
        <w:pStyle w:val="2"/>
        <w:spacing w:before="280" w:after="140"/>
        <w:rPr>
          <w:rFonts w:ascii="Arial" w:hAnsi="Arial" w:cs="Arial"/>
          <w:color w:val="000000" w:themeColor="text1"/>
          <w:sz w:val="20"/>
          <w:szCs w:val="20"/>
        </w:rPr>
      </w:pPr>
      <w:r w:rsidRPr="0033601D">
        <w:rPr>
          <w:rFonts w:ascii="Arial" w:hAnsi="Arial" w:cs="Arial"/>
          <w:color w:val="000000" w:themeColor="text1"/>
          <w:sz w:val="22"/>
          <w:szCs w:val="22"/>
        </w:rPr>
        <w:t>Individual studies (blue squares) with 95% CIs, HKSJ pooled estimate (red diamond, 95% CI), and 95% prediction interval (dashed red bar). The wide PI (−0.111 to +0.407) approaches and crosses zero, indicating that with I²=99% heterogeneity, the apparent ML discrimination advantage may not generalize to all future studies.</w:t>
      </w:r>
    </w:p>
    <w:p w14:paraId="7D44CCC9" w14:textId="77777777" w:rsidR="004B2C8C" w:rsidRPr="0033601D" w:rsidRDefault="004B2C8C">
      <w:pPr>
        <w:pStyle w:val="2"/>
        <w:spacing w:before="280" w:after="140"/>
        <w:rPr>
          <w:rFonts w:ascii="Arial" w:hAnsi="Arial" w:cs="Arial"/>
          <w:color w:val="000000" w:themeColor="text1"/>
          <w:sz w:val="20"/>
          <w:szCs w:val="20"/>
        </w:rPr>
      </w:pPr>
    </w:p>
    <w:p w14:paraId="53713095" w14:textId="77777777" w:rsidR="004B2C8C" w:rsidRPr="0033601D" w:rsidRDefault="00000000">
      <w:pPr>
        <w:pStyle w:val="2"/>
        <w:spacing w:before="280" w:after="140"/>
        <w:rPr>
          <w:rFonts w:ascii="Arial" w:hAnsi="Arial" w:cs="Arial"/>
          <w:color w:val="000000" w:themeColor="text1"/>
        </w:rPr>
      </w:pPr>
      <w:r w:rsidRPr="0033601D">
        <w:rPr>
          <w:rFonts w:ascii="Arial" w:hAnsi="Arial" w:cs="Arial"/>
          <w:b/>
          <w:color w:val="000000" w:themeColor="text1"/>
        </w:rPr>
        <w:t>Supplementary Figure S3. Doi plot with LFK index for the all-ML versus GBS direct pool (k=7).</w:t>
      </w:r>
    </w:p>
    <w:p w14:paraId="38619DD2" w14:textId="77777777" w:rsidR="004B2C8C" w:rsidRPr="0033601D" w:rsidRDefault="00000000">
      <w:pPr>
        <w:pStyle w:val="2"/>
        <w:spacing w:before="280" w:after="140"/>
        <w:rPr>
          <w:rFonts w:ascii="Arial" w:hAnsi="Arial" w:cs="Arial"/>
          <w:color w:val="000000" w:themeColor="text1"/>
          <w:sz w:val="20"/>
          <w:szCs w:val="20"/>
        </w:rPr>
      </w:pPr>
      <w:r w:rsidRPr="0033601D">
        <w:rPr>
          <w:rFonts w:ascii="Arial" w:hAnsi="Arial" w:cs="Arial"/>
          <w:noProof/>
          <w:color w:val="000000" w:themeColor="text1"/>
          <w:sz w:val="22"/>
          <w:szCs w:val="22"/>
        </w:rPr>
        <w:drawing>
          <wp:inline distT="0" distB="0" distL="0" distR="0" wp14:anchorId="799551D4" wp14:editId="3D3B3545">
            <wp:extent cx="6384771" cy="435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4_DoiPlot_v3.63.png"/>
                    <pic:cNvPicPr/>
                  </pic:nvPicPr>
                  <pic:blipFill>
                    <a:blip r:embed="rId9"/>
                    <a:stretch>
                      <a:fillRect/>
                    </a:stretch>
                  </pic:blipFill>
                  <pic:spPr>
                    <a:xfrm>
                      <a:off x="0" y="0"/>
                      <a:ext cx="6391368" cy="4357423"/>
                    </a:xfrm>
                    <a:prstGeom prst="rect">
                      <a:avLst/>
                    </a:prstGeom>
                  </pic:spPr>
                </pic:pic>
              </a:graphicData>
            </a:graphic>
          </wp:inline>
        </w:drawing>
      </w:r>
    </w:p>
    <w:p w14:paraId="13F04507" w14:textId="77777777" w:rsidR="004B2C8C" w:rsidRPr="0033601D" w:rsidRDefault="00000000">
      <w:pPr>
        <w:pStyle w:val="2"/>
        <w:spacing w:before="280" w:after="140"/>
        <w:rPr>
          <w:rFonts w:ascii="Arial" w:hAnsi="Arial" w:cs="Arial"/>
          <w:color w:val="000000" w:themeColor="text1"/>
          <w:sz w:val="20"/>
          <w:szCs w:val="20"/>
        </w:rPr>
      </w:pPr>
      <w:r w:rsidRPr="0033601D">
        <w:rPr>
          <w:rFonts w:ascii="Arial" w:hAnsi="Arial" w:cs="Arial"/>
          <w:color w:val="000000" w:themeColor="text1"/>
          <w:sz w:val="22"/>
          <w:szCs w:val="22"/>
        </w:rPr>
        <w:t>Doi plot (Furuya-Kanamori 2018) showing each study by ΔAUROC (x-axis) and |Z-score| (y-axis). The LFK index of +1.768 indicates minor asymmetry (|LFK| 1–2), suggesting some publication-bias or small-study-effect risk in the sparse all-ML vs GBS pool. The LFK index provides a quantitative asymmetry measure robust at k&lt;10, addressing the conventional funnel-plot infeasibility for sparse networks.</w:t>
      </w:r>
    </w:p>
    <w:p w14:paraId="0394D8D1" w14:textId="77777777" w:rsidR="004B2C8C" w:rsidRPr="004205E6" w:rsidRDefault="004B2C8C">
      <w:pPr>
        <w:pStyle w:val="2"/>
        <w:spacing w:before="280" w:after="140"/>
        <w:rPr>
          <w:rFonts w:ascii="Arial" w:hAnsi="Arial" w:cs="Arial"/>
          <w:color w:val="000000" w:themeColor="text1"/>
          <w:sz w:val="24"/>
          <w:szCs w:val="24"/>
        </w:rPr>
      </w:pPr>
    </w:p>
    <w:p w14:paraId="004E710B" w14:textId="77777777" w:rsidR="004B2C8C" w:rsidRPr="004205E6" w:rsidRDefault="00000000">
      <w:pPr>
        <w:pStyle w:val="2"/>
        <w:spacing w:before="280" w:after="140"/>
        <w:rPr>
          <w:rFonts w:ascii="Arial" w:hAnsi="Arial" w:cs="Arial"/>
          <w:color w:val="000000" w:themeColor="text1"/>
          <w:sz w:val="24"/>
          <w:szCs w:val="24"/>
        </w:rPr>
      </w:pPr>
      <w:r w:rsidRPr="004205E6">
        <w:rPr>
          <w:rFonts w:ascii="Arial" w:hAnsi="Arial" w:cs="Arial"/>
          <w:b/>
          <w:bCs/>
          <w:color w:val="000000" w:themeColor="text1"/>
          <w:sz w:val="24"/>
          <w:szCs w:val="24"/>
        </w:rPr>
        <w:t>Supplementary Table S10. Node-Splitting Inconsistency Tests</w:t>
      </w:r>
    </w:p>
    <w:p w14:paraId="5C535F6D" w14:textId="77777777" w:rsidR="004B2C8C" w:rsidRPr="004205E6" w:rsidRDefault="00000000">
      <w:pPr>
        <w:spacing w:before="80" w:after="80"/>
        <w:rPr>
          <w:rFonts w:ascii="Arial" w:hAnsi="Arial" w:cs="Arial"/>
          <w:color w:val="000000" w:themeColor="text1"/>
        </w:rPr>
      </w:pPr>
      <w:r w:rsidRPr="004205E6">
        <w:rPr>
          <w:rFonts w:ascii="Arial" w:hAnsi="Arial" w:cs="Arial"/>
          <w:color w:val="000000" w:themeColor="text1"/>
        </w:rPr>
        <w:t>Direct vs indirect comparison consistency tests at each edge of the S2 network. p &gt; 0.10 = consistent; p ≤ 0.10 flagged.</w:t>
      </w:r>
    </w:p>
    <w:tbl>
      <w:tblPr>
        <w:tblStyle w:val="aa"/>
        <w:tblW w:w="5000" w:type="pct"/>
        <w:tblLook w:val="04A0" w:firstRow="1" w:lastRow="0" w:firstColumn="1" w:lastColumn="0" w:noHBand="0" w:noVBand="1"/>
      </w:tblPr>
      <w:tblGrid>
        <w:gridCol w:w="1121"/>
        <w:gridCol w:w="3358"/>
        <w:gridCol w:w="1819"/>
        <w:gridCol w:w="1819"/>
        <w:gridCol w:w="1677"/>
        <w:gridCol w:w="1120"/>
        <w:gridCol w:w="1957"/>
        <w:gridCol w:w="2517"/>
      </w:tblGrid>
      <w:tr w:rsidR="004B2C8C" w:rsidRPr="004205E6" w14:paraId="1BAED24F" w14:textId="77777777" w:rsidTr="00A53773">
        <w:trPr>
          <w:trHeight w:val="454"/>
        </w:trPr>
        <w:tc>
          <w:tcPr>
            <w:tcW w:w="364" w:type="pct"/>
            <w:tcBorders>
              <w:top w:val="single" w:sz="12" w:space="0" w:color="auto"/>
              <w:bottom w:val="single" w:sz="12" w:space="0" w:color="auto"/>
            </w:tcBorders>
            <w:vAlign w:val="center"/>
          </w:tcPr>
          <w:p w14:paraId="0580CDCA"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Scenario</w:t>
            </w:r>
          </w:p>
        </w:tc>
        <w:tc>
          <w:tcPr>
            <w:tcW w:w="1091" w:type="pct"/>
            <w:tcBorders>
              <w:top w:val="single" w:sz="12" w:space="0" w:color="auto"/>
              <w:bottom w:val="single" w:sz="12" w:space="0" w:color="auto"/>
            </w:tcBorders>
            <w:vAlign w:val="center"/>
          </w:tcPr>
          <w:p w14:paraId="3963838B"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Edge (A vs B)</w:t>
            </w:r>
          </w:p>
        </w:tc>
        <w:tc>
          <w:tcPr>
            <w:tcW w:w="591" w:type="pct"/>
            <w:tcBorders>
              <w:top w:val="single" w:sz="12" w:space="0" w:color="auto"/>
              <w:bottom w:val="single" w:sz="12" w:space="0" w:color="auto"/>
            </w:tcBorders>
            <w:vAlign w:val="center"/>
          </w:tcPr>
          <w:p w14:paraId="39BA3813"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Direct ΔAUROC</w:t>
            </w:r>
          </w:p>
        </w:tc>
        <w:tc>
          <w:tcPr>
            <w:tcW w:w="591" w:type="pct"/>
            <w:tcBorders>
              <w:top w:val="single" w:sz="12" w:space="0" w:color="auto"/>
              <w:bottom w:val="single" w:sz="12" w:space="0" w:color="auto"/>
            </w:tcBorders>
            <w:vAlign w:val="center"/>
          </w:tcPr>
          <w:p w14:paraId="3805FCCE"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Indirect ΔAUROC</w:t>
            </w:r>
          </w:p>
        </w:tc>
        <w:tc>
          <w:tcPr>
            <w:tcW w:w="545" w:type="pct"/>
            <w:tcBorders>
              <w:top w:val="single" w:sz="12" w:space="0" w:color="auto"/>
              <w:bottom w:val="single" w:sz="12" w:space="0" w:color="auto"/>
            </w:tcBorders>
            <w:vAlign w:val="center"/>
          </w:tcPr>
          <w:p w14:paraId="58C044C0"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Difference</w:t>
            </w:r>
          </w:p>
        </w:tc>
        <w:tc>
          <w:tcPr>
            <w:tcW w:w="364" w:type="pct"/>
            <w:tcBorders>
              <w:top w:val="single" w:sz="12" w:space="0" w:color="auto"/>
              <w:bottom w:val="single" w:sz="12" w:space="0" w:color="auto"/>
            </w:tcBorders>
            <w:vAlign w:val="center"/>
          </w:tcPr>
          <w:p w14:paraId="631A5263"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z</w:t>
            </w:r>
          </w:p>
        </w:tc>
        <w:tc>
          <w:tcPr>
            <w:tcW w:w="636" w:type="pct"/>
            <w:tcBorders>
              <w:top w:val="single" w:sz="12" w:space="0" w:color="auto"/>
              <w:bottom w:val="single" w:sz="12" w:space="0" w:color="auto"/>
            </w:tcBorders>
            <w:vAlign w:val="center"/>
          </w:tcPr>
          <w:p w14:paraId="03D79B9A"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p (inconsistency)</w:t>
            </w:r>
          </w:p>
        </w:tc>
        <w:tc>
          <w:tcPr>
            <w:tcW w:w="818" w:type="pct"/>
            <w:tcBorders>
              <w:top w:val="single" w:sz="12" w:space="0" w:color="auto"/>
              <w:bottom w:val="single" w:sz="12" w:space="0" w:color="auto"/>
            </w:tcBorders>
            <w:vAlign w:val="center"/>
          </w:tcPr>
          <w:p w14:paraId="01790B30"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Flag</w:t>
            </w:r>
          </w:p>
        </w:tc>
      </w:tr>
      <w:tr w:rsidR="004B2C8C" w:rsidRPr="004205E6" w14:paraId="32359E3A" w14:textId="77777777" w:rsidTr="00A53773">
        <w:trPr>
          <w:trHeight w:val="454"/>
        </w:trPr>
        <w:tc>
          <w:tcPr>
            <w:tcW w:w="364" w:type="pct"/>
            <w:tcBorders>
              <w:top w:val="single" w:sz="12" w:space="0" w:color="auto"/>
            </w:tcBorders>
            <w:vAlign w:val="center"/>
          </w:tcPr>
          <w:p w14:paraId="1CC6D813"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S2</w:t>
            </w:r>
          </w:p>
        </w:tc>
        <w:tc>
          <w:tcPr>
            <w:tcW w:w="1091" w:type="pct"/>
            <w:tcBorders>
              <w:top w:val="single" w:sz="12" w:space="0" w:color="auto"/>
            </w:tcBorders>
            <w:vAlign w:val="center"/>
          </w:tcPr>
          <w:p w14:paraId="135C18CD"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GBS vs Tree-ensemble</w:t>
            </w:r>
          </w:p>
        </w:tc>
        <w:tc>
          <w:tcPr>
            <w:tcW w:w="591" w:type="pct"/>
            <w:tcBorders>
              <w:top w:val="single" w:sz="12" w:space="0" w:color="auto"/>
            </w:tcBorders>
            <w:vAlign w:val="center"/>
          </w:tcPr>
          <w:p w14:paraId="4F301BAB"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-0.128</w:t>
            </w:r>
          </w:p>
        </w:tc>
        <w:tc>
          <w:tcPr>
            <w:tcW w:w="591" w:type="pct"/>
            <w:tcBorders>
              <w:top w:val="single" w:sz="12" w:space="0" w:color="auto"/>
            </w:tcBorders>
            <w:vAlign w:val="center"/>
          </w:tcPr>
          <w:p w14:paraId="03A2513E"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-0.133</w:t>
            </w:r>
          </w:p>
        </w:tc>
        <w:tc>
          <w:tcPr>
            <w:tcW w:w="545" w:type="pct"/>
            <w:tcBorders>
              <w:top w:val="single" w:sz="12" w:space="0" w:color="auto"/>
            </w:tcBorders>
            <w:vAlign w:val="center"/>
          </w:tcPr>
          <w:p w14:paraId="051378B7"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+0.0048</w:t>
            </w:r>
          </w:p>
        </w:tc>
        <w:tc>
          <w:tcPr>
            <w:tcW w:w="364" w:type="pct"/>
            <w:tcBorders>
              <w:top w:val="single" w:sz="12" w:space="0" w:color="auto"/>
            </w:tcBorders>
            <w:vAlign w:val="center"/>
          </w:tcPr>
          <w:p w14:paraId="570AB901"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+0.113</w:t>
            </w:r>
          </w:p>
        </w:tc>
        <w:tc>
          <w:tcPr>
            <w:tcW w:w="636" w:type="pct"/>
            <w:tcBorders>
              <w:top w:val="single" w:sz="12" w:space="0" w:color="auto"/>
            </w:tcBorders>
            <w:vAlign w:val="center"/>
          </w:tcPr>
          <w:p w14:paraId="516841DD"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+0.910</w:t>
            </w:r>
          </w:p>
        </w:tc>
        <w:tc>
          <w:tcPr>
            <w:tcW w:w="818" w:type="pct"/>
            <w:tcBorders>
              <w:top w:val="single" w:sz="12" w:space="0" w:color="auto"/>
            </w:tcBorders>
            <w:vAlign w:val="center"/>
          </w:tcPr>
          <w:p w14:paraId="27B3A7B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Consistent</w:t>
            </w:r>
          </w:p>
        </w:tc>
      </w:tr>
      <w:tr w:rsidR="004B2C8C" w:rsidRPr="004205E6" w14:paraId="0099EE5C" w14:textId="77777777" w:rsidTr="00A53773">
        <w:trPr>
          <w:trHeight w:val="454"/>
        </w:trPr>
        <w:tc>
          <w:tcPr>
            <w:tcW w:w="364" w:type="pct"/>
            <w:vAlign w:val="center"/>
          </w:tcPr>
          <w:p w14:paraId="4E03D7E2"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S2</w:t>
            </w:r>
          </w:p>
        </w:tc>
        <w:tc>
          <w:tcPr>
            <w:tcW w:w="1091" w:type="pct"/>
            <w:vAlign w:val="center"/>
          </w:tcPr>
          <w:p w14:paraId="047DD784"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AIMS65 vs Tree-ensemble</w:t>
            </w:r>
          </w:p>
        </w:tc>
        <w:tc>
          <w:tcPr>
            <w:tcW w:w="591" w:type="pct"/>
            <w:vAlign w:val="center"/>
          </w:tcPr>
          <w:p w14:paraId="6AC1915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-0.102</w:t>
            </w:r>
          </w:p>
        </w:tc>
        <w:tc>
          <w:tcPr>
            <w:tcW w:w="591" w:type="pct"/>
            <w:vAlign w:val="center"/>
          </w:tcPr>
          <w:p w14:paraId="1EF1546E"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-0.097</w:t>
            </w:r>
          </w:p>
        </w:tc>
        <w:tc>
          <w:tcPr>
            <w:tcW w:w="545" w:type="pct"/>
            <w:vAlign w:val="center"/>
          </w:tcPr>
          <w:p w14:paraId="2B40BEAD"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-0.0048</w:t>
            </w:r>
          </w:p>
        </w:tc>
        <w:tc>
          <w:tcPr>
            <w:tcW w:w="364" w:type="pct"/>
            <w:vAlign w:val="center"/>
          </w:tcPr>
          <w:p w14:paraId="6DDFCDF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-0.113</w:t>
            </w:r>
          </w:p>
        </w:tc>
        <w:tc>
          <w:tcPr>
            <w:tcW w:w="636" w:type="pct"/>
            <w:vAlign w:val="center"/>
          </w:tcPr>
          <w:p w14:paraId="3DED2B6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+0.910</w:t>
            </w:r>
          </w:p>
        </w:tc>
        <w:tc>
          <w:tcPr>
            <w:tcW w:w="818" w:type="pct"/>
            <w:vAlign w:val="center"/>
          </w:tcPr>
          <w:p w14:paraId="4EA73B47"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Consistent</w:t>
            </w:r>
          </w:p>
        </w:tc>
      </w:tr>
      <w:tr w:rsidR="004B2C8C" w:rsidRPr="004205E6" w14:paraId="5B93CE85" w14:textId="77777777" w:rsidTr="00A53773">
        <w:trPr>
          <w:trHeight w:val="454"/>
        </w:trPr>
        <w:tc>
          <w:tcPr>
            <w:tcW w:w="364" w:type="pct"/>
            <w:vAlign w:val="center"/>
          </w:tcPr>
          <w:p w14:paraId="2C59F18D"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S2</w:t>
            </w:r>
          </w:p>
        </w:tc>
        <w:tc>
          <w:tcPr>
            <w:tcW w:w="1091" w:type="pct"/>
            <w:vAlign w:val="center"/>
          </w:tcPr>
          <w:p w14:paraId="1194758F"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ANN vs Complete Rockall</w:t>
            </w:r>
          </w:p>
        </w:tc>
        <w:tc>
          <w:tcPr>
            <w:tcW w:w="591" w:type="pct"/>
            <w:vAlign w:val="center"/>
          </w:tcPr>
          <w:p w14:paraId="076EAAEF"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+0.090</w:t>
            </w:r>
          </w:p>
        </w:tc>
        <w:tc>
          <w:tcPr>
            <w:tcW w:w="591" w:type="pct"/>
            <w:vAlign w:val="center"/>
          </w:tcPr>
          <w:p w14:paraId="3BA04297"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+0.090</w:t>
            </w:r>
          </w:p>
        </w:tc>
        <w:tc>
          <w:tcPr>
            <w:tcW w:w="545" w:type="pct"/>
            <w:vAlign w:val="center"/>
          </w:tcPr>
          <w:p w14:paraId="0E27800D"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0.000</w:t>
            </w:r>
          </w:p>
        </w:tc>
        <w:tc>
          <w:tcPr>
            <w:tcW w:w="364" w:type="pct"/>
            <w:vAlign w:val="center"/>
          </w:tcPr>
          <w:p w14:paraId="1C681EC8"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0.000</w:t>
            </w:r>
          </w:p>
        </w:tc>
        <w:tc>
          <w:tcPr>
            <w:tcW w:w="636" w:type="pct"/>
            <w:vAlign w:val="center"/>
          </w:tcPr>
          <w:p w14:paraId="6171B100"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+1.000</w:t>
            </w:r>
          </w:p>
        </w:tc>
        <w:tc>
          <w:tcPr>
            <w:tcW w:w="818" w:type="pct"/>
            <w:vAlign w:val="center"/>
          </w:tcPr>
          <w:p w14:paraId="61A03EBD"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Consistent</w:t>
            </w:r>
          </w:p>
        </w:tc>
      </w:tr>
      <w:tr w:rsidR="004B2C8C" w:rsidRPr="004205E6" w14:paraId="0C760E5A" w14:textId="77777777" w:rsidTr="00A53773">
        <w:trPr>
          <w:trHeight w:val="454"/>
        </w:trPr>
        <w:tc>
          <w:tcPr>
            <w:tcW w:w="364" w:type="pct"/>
            <w:vAlign w:val="center"/>
          </w:tcPr>
          <w:p w14:paraId="5066B9CE"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S2</w:t>
            </w:r>
          </w:p>
        </w:tc>
        <w:tc>
          <w:tcPr>
            <w:tcW w:w="1091" w:type="pct"/>
            <w:vAlign w:val="center"/>
          </w:tcPr>
          <w:p w14:paraId="0FF2E67C"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ANN vs GBS</w:t>
            </w:r>
          </w:p>
        </w:tc>
        <w:tc>
          <w:tcPr>
            <w:tcW w:w="591" w:type="pct"/>
            <w:vAlign w:val="center"/>
          </w:tcPr>
          <w:p w14:paraId="7480E3EF"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+0.120</w:t>
            </w:r>
          </w:p>
        </w:tc>
        <w:tc>
          <w:tcPr>
            <w:tcW w:w="591" w:type="pct"/>
            <w:vAlign w:val="center"/>
          </w:tcPr>
          <w:p w14:paraId="0FB52D3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+0.126</w:t>
            </w:r>
          </w:p>
        </w:tc>
        <w:tc>
          <w:tcPr>
            <w:tcW w:w="545" w:type="pct"/>
            <w:vAlign w:val="center"/>
          </w:tcPr>
          <w:p w14:paraId="3493F497"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-0.0064</w:t>
            </w:r>
          </w:p>
        </w:tc>
        <w:tc>
          <w:tcPr>
            <w:tcW w:w="364" w:type="pct"/>
            <w:vAlign w:val="center"/>
          </w:tcPr>
          <w:p w14:paraId="2B1B1063"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-0.174</w:t>
            </w:r>
          </w:p>
        </w:tc>
        <w:tc>
          <w:tcPr>
            <w:tcW w:w="636" w:type="pct"/>
            <w:vAlign w:val="center"/>
          </w:tcPr>
          <w:p w14:paraId="48505D0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+0.862</w:t>
            </w:r>
          </w:p>
        </w:tc>
        <w:tc>
          <w:tcPr>
            <w:tcW w:w="818" w:type="pct"/>
            <w:vAlign w:val="center"/>
          </w:tcPr>
          <w:p w14:paraId="4E0E0F84"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Consistent</w:t>
            </w:r>
          </w:p>
        </w:tc>
      </w:tr>
      <w:tr w:rsidR="004B2C8C" w:rsidRPr="004205E6" w14:paraId="7287BCCD" w14:textId="77777777" w:rsidTr="00A53773">
        <w:trPr>
          <w:trHeight w:val="454"/>
        </w:trPr>
        <w:tc>
          <w:tcPr>
            <w:tcW w:w="364" w:type="pct"/>
            <w:vAlign w:val="center"/>
          </w:tcPr>
          <w:p w14:paraId="28114C8B"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S2</w:t>
            </w:r>
          </w:p>
        </w:tc>
        <w:tc>
          <w:tcPr>
            <w:tcW w:w="1091" w:type="pct"/>
            <w:vAlign w:val="center"/>
          </w:tcPr>
          <w:p w14:paraId="3AB22CAA"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AIMS65 vs ANN</w:t>
            </w:r>
          </w:p>
        </w:tc>
        <w:tc>
          <w:tcPr>
            <w:tcW w:w="591" w:type="pct"/>
            <w:vAlign w:val="center"/>
          </w:tcPr>
          <w:p w14:paraId="60684A20"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-0.100</w:t>
            </w:r>
          </w:p>
        </w:tc>
        <w:tc>
          <w:tcPr>
            <w:tcW w:w="591" w:type="pct"/>
            <w:vAlign w:val="center"/>
          </w:tcPr>
          <w:p w14:paraId="1BF09BB2"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-0.094</w:t>
            </w:r>
          </w:p>
        </w:tc>
        <w:tc>
          <w:tcPr>
            <w:tcW w:w="545" w:type="pct"/>
            <w:vAlign w:val="center"/>
          </w:tcPr>
          <w:p w14:paraId="7891CEFB"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-0.0063</w:t>
            </w:r>
          </w:p>
        </w:tc>
        <w:tc>
          <w:tcPr>
            <w:tcW w:w="364" w:type="pct"/>
            <w:vAlign w:val="center"/>
          </w:tcPr>
          <w:p w14:paraId="0CBE72CA"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-0.173</w:t>
            </w:r>
          </w:p>
        </w:tc>
        <w:tc>
          <w:tcPr>
            <w:tcW w:w="636" w:type="pct"/>
            <w:vAlign w:val="center"/>
          </w:tcPr>
          <w:p w14:paraId="01466FC0"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+0.863</w:t>
            </w:r>
          </w:p>
        </w:tc>
        <w:tc>
          <w:tcPr>
            <w:tcW w:w="818" w:type="pct"/>
            <w:vAlign w:val="center"/>
          </w:tcPr>
          <w:p w14:paraId="0639CD5B"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Consistent</w:t>
            </w:r>
          </w:p>
        </w:tc>
      </w:tr>
      <w:tr w:rsidR="004B2C8C" w:rsidRPr="004205E6" w14:paraId="4548355C" w14:textId="77777777" w:rsidTr="00A53773">
        <w:trPr>
          <w:trHeight w:val="454"/>
        </w:trPr>
        <w:tc>
          <w:tcPr>
            <w:tcW w:w="364" w:type="pct"/>
            <w:vAlign w:val="center"/>
          </w:tcPr>
          <w:p w14:paraId="5C62F84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S2</w:t>
            </w:r>
          </w:p>
        </w:tc>
        <w:tc>
          <w:tcPr>
            <w:tcW w:w="1091" w:type="pct"/>
            <w:vAlign w:val="center"/>
          </w:tcPr>
          <w:p w14:paraId="5BDB49F4"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AIMS65 vs GBS</w:t>
            </w:r>
          </w:p>
        </w:tc>
        <w:tc>
          <w:tcPr>
            <w:tcW w:w="591" w:type="pct"/>
            <w:vAlign w:val="center"/>
          </w:tcPr>
          <w:p w14:paraId="06B0FC2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+0.031</w:t>
            </w:r>
          </w:p>
        </w:tc>
        <w:tc>
          <w:tcPr>
            <w:tcW w:w="591" w:type="pct"/>
            <w:vAlign w:val="center"/>
          </w:tcPr>
          <w:p w14:paraId="4EC5DD80"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+0.022</w:t>
            </w:r>
          </w:p>
        </w:tc>
        <w:tc>
          <w:tcPr>
            <w:tcW w:w="545" w:type="pct"/>
            <w:vAlign w:val="center"/>
          </w:tcPr>
          <w:p w14:paraId="17CF4AF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+0.0088</w:t>
            </w:r>
          </w:p>
        </w:tc>
        <w:tc>
          <w:tcPr>
            <w:tcW w:w="364" w:type="pct"/>
            <w:vAlign w:val="center"/>
          </w:tcPr>
          <w:p w14:paraId="067BF346"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+0.301</w:t>
            </w:r>
          </w:p>
        </w:tc>
        <w:tc>
          <w:tcPr>
            <w:tcW w:w="636" w:type="pct"/>
            <w:vAlign w:val="center"/>
          </w:tcPr>
          <w:p w14:paraId="5C307C7A"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+0.764</w:t>
            </w:r>
          </w:p>
        </w:tc>
        <w:tc>
          <w:tcPr>
            <w:tcW w:w="818" w:type="pct"/>
            <w:vAlign w:val="center"/>
          </w:tcPr>
          <w:p w14:paraId="4B242910"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Consistent</w:t>
            </w:r>
          </w:p>
        </w:tc>
      </w:tr>
      <w:tr w:rsidR="004B2C8C" w:rsidRPr="004205E6" w14:paraId="61412EF9" w14:textId="77777777" w:rsidTr="00A53773">
        <w:trPr>
          <w:trHeight w:val="454"/>
        </w:trPr>
        <w:tc>
          <w:tcPr>
            <w:tcW w:w="364" w:type="pct"/>
            <w:tcBorders>
              <w:bottom w:val="single" w:sz="4" w:space="0" w:color="BFBFBF" w:themeColor="background1" w:themeShade="BF"/>
            </w:tcBorders>
            <w:vAlign w:val="center"/>
          </w:tcPr>
          <w:p w14:paraId="7E33EF7F"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S2</w:t>
            </w:r>
          </w:p>
        </w:tc>
        <w:tc>
          <w:tcPr>
            <w:tcW w:w="1091" w:type="pct"/>
            <w:tcBorders>
              <w:bottom w:val="single" w:sz="4" w:space="0" w:color="BFBFBF" w:themeColor="background1" w:themeShade="BF"/>
            </w:tcBorders>
            <w:vAlign w:val="center"/>
          </w:tcPr>
          <w:p w14:paraId="2977DC9D"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Complete Rockall vs GBS</w:t>
            </w:r>
          </w:p>
        </w:tc>
        <w:tc>
          <w:tcPr>
            <w:tcW w:w="591" w:type="pct"/>
            <w:tcBorders>
              <w:bottom w:val="single" w:sz="4" w:space="0" w:color="BFBFBF" w:themeColor="background1" w:themeShade="BF"/>
            </w:tcBorders>
            <w:vAlign w:val="center"/>
          </w:tcPr>
          <w:p w14:paraId="76574813"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+0.030</w:t>
            </w:r>
          </w:p>
        </w:tc>
        <w:tc>
          <w:tcPr>
            <w:tcW w:w="591" w:type="pct"/>
            <w:tcBorders>
              <w:bottom w:val="single" w:sz="4" w:space="0" w:color="BFBFBF" w:themeColor="background1" w:themeShade="BF"/>
            </w:tcBorders>
            <w:vAlign w:val="center"/>
          </w:tcPr>
          <w:p w14:paraId="0D750754"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+0.036</w:t>
            </w:r>
          </w:p>
        </w:tc>
        <w:tc>
          <w:tcPr>
            <w:tcW w:w="545" w:type="pct"/>
            <w:tcBorders>
              <w:bottom w:val="single" w:sz="4" w:space="0" w:color="BFBFBF" w:themeColor="background1" w:themeShade="BF"/>
            </w:tcBorders>
            <w:vAlign w:val="center"/>
          </w:tcPr>
          <w:p w14:paraId="5DA6CFE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-0.0061</w:t>
            </w:r>
          </w:p>
        </w:tc>
        <w:tc>
          <w:tcPr>
            <w:tcW w:w="364" w:type="pct"/>
            <w:tcBorders>
              <w:bottom w:val="single" w:sz="4" w:space="0" w:color="BFBFBF" w:themeColor="background1" w:themeShade="BF"/>
            </w:tcBorders>
            <w:vAlign w:val="center"/>
          </w:tcPr>
          <w:p w14:paraId="63826EBD"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-0.161</w:t>
            </w:r>
          </w:p>
        </w:tc>
        <w:tc>
          <w:tcPr>
            <w:tcW w:w="636" w:type="pct"/>
            <w:tcBorders>
              <w:bottom w:val="single" w:sz="4" w:space="0" w:color="BFBFBF" w:themeColor="background1" w:themeShade="BF"/>
            </w:tcBorders>
            <w:vAlign w:val="center"/>
          </w:tcPr>
          <w:p w14:paraId="1DDF2DBE"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+0.872</w:t>
            </w:r>
          </w:p>
        </w:tc>
        <w:tc>
          <w:tcPr>
            <w:tcW w:w="818" w:type="pct"/>
            <w:tcBorders>
              <w:bottom w:val="single" w:sz="4" w:space="0" w:color="BFBFBF" w:themeColor="background1" w:themeShade="BF"/>
            </w:tcBorders>
            <w:vAlign w:val="center"/>
          </w:tcPr>
          <w:p w14:paraId="15EA86C7"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Consistent</w:t>
            </w:r>
          </w:p>
        </w:tc>
      </w:tr>
      <w:tr w:rsidR="004B2C8C" w:rsidRPr="004205E6" w14:paraId="5B8E15D8" w14:textId="77777777" w:rsidTr="00A53773">
        <w:trPr>
          <w:trHeight w:val="454"/>
        </w:trPr>
        <w:tc>
          <w:tcPr>
            <w:tcW w:w="364" w:type="pct"/>
            <w:tcBorders>
              <w:bottom w:val="single" w:sz="12" w:space="0" w:color="auto"/>
            </w:tcBorders>
            <w:vAlign w:val="center"/>
          </w:tcPr>
          <w:p w14:paraId="1CB3E68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S2</w:t>
            </w:r>
          </w:p>
        </w:tc>
        <w:tc>
          <w:tcPr>
            <w:tcW w:w="1091" w:type="pct"/>
            <w:tcBorders>
              <w:bottom w:val="single" w:sz="12" w:space="0" w:color="auto"/>
            </w:tcBorders>
            <w:vAlign w:val="center"/>
          </w:tcPr>
          <w:p w14:paraId="3C9F2A8C"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AIMS65 vs Complete Rockall</w:t>
            </w:r>
          </w:p>
        </w:tc>
        <w:tc>
          <w:tcPr>
            <w:tcW w:w="591" w:type="pct"/>
            <w:tcBorders>
              <w:bottom w:val="single" w:sz="12" w:space="0" w:color="auto"/>
            </w:tcBorders>
            <w:vAlign w:val="center"/>
          </w:tcPr>
          <w:p w14:paraId="4130197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-0.010</w:t>
            </w:r>
          </w:p>
        </w:tc>
        <w:tc>
          <w:tcPr>
            <w:tcW w:w="591" w:type="pct"/>
            <w:tcBorders>
              <w:bottom w:val="single" w:sz="12" w:space="0" w:color="auto"/>
            </w:tcBorders>
            <w:vAlign w:val="center"/>
          </w:tcPr>
          <w:p w14:paraId="6D4DFDE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-0.004</w:t>
            </w:r>
          </w:p>
        </w:tc>
        <w:tc>
          <w:tcPr>
            <w:tcW w:w="545" w:type="pct"/>
            <w:tcBorders>
              <w:bottom w:val="single" w:sz="12" w:space="0" w:color="auto"/>
            </w:tcBorders>
            <w:vAlign w:val="center"/>
          </w:tcPr>
          <w:p w14:paraId="6412D45F"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-0.0060</w:t>
            </w:r>
          </w:p>
        </w:tc>
        <w:tc>
          <w:tcPr>
            <w:tcW w:w="364" w:type="pct"/>
            <w:tcBorders>
              <w:bottom w:val="single" w:sz="12" w:space="0" w:color="auto"/>
            </w:tcBorders>
            <w:vAlign w:val="center"/>
          </w:tcPr>
          <w:p w14:paraId="416A1CC0"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-0.160</w:t>
            </w:r>
          </w:p>
        </w:tc>
        <w:tc>
          <w:tcPr>
            <w:tcW w:w="636" w:type="pct"/>
            <w:tcBorders>
              <w:bottom w:val="single" w:sz="12" w:space="0" w:color="auto"/>
            </w:tcBorders>
            <w:vAlign w:val="center"/>
          </w:tcPr>
          <w:p w14:paraId="1EDDBC3B"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+0.873</w:t>
            </w:r>
          </w:p>
        </w:tc>
        <w:tc>
          <w:tcPr>
            <w:tcW w:w="818" w:type="pct"/>
            <w:tcBorders>
              <w:bottom w:val="single" w:sz="12" w:space="0" w:color="auto"/>
            </w:tcBorders>
            <w:vAlign w:val="center"/>
          </w:tcPr>
          <w:p w14:paraId="3B8AEC0A"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Consistent</w:t>
            </w:r>
          </w:p>
        </w:tc>
      </w:tr>
    </w:tbl>
    <w:p w14:paraId="74E8F3FB" w14:textId="77777777" w:rsidR="004B2C8C" w:rsidRPr="004205E6" w:rsidRDefault="00000000">
      <w:pPr>
        <w:spacing w:before="80" w:after="80"/>
        <w:rPr>
          <w:rFonts w:ascii="Arial" w:hAnsi="Arial" w:cs="Arial"/>
          <w:color w:val="000000" w:themeColor="text1"/>
        </w:rPr>
      </w:pPr>
      <w:r w:rsidRPr="004205E6">
        <w:rPr>
          <w:rFonts w:ascii="Arial" w:hAnsi="Arial" w:cs="Arial"/>
          <w:i/>
          <w:iCs/>
          <w:color w:val="000000" w:themeColor="text1"/>
          <w:sz w:val="14"/>
          <w:szCs w:val="14"/>
        </w:rPr>
        <w:t>Direct versus indirect comparison consistency tests at each edge of the S2 network. Difference = (direct ΔAUROC) − (indirect ΔAUROC). p &gt; 0.10 indicates statistical consistency between direct and indirect evidence; p ≤ 0.10 would flag inconsistency. All edges in the present S2 network were consistent.</w:t>
      </w:r>
    </w:p>
    <w:p w14:paraId="27E4CF55" w14:textId="77777777" w:rsidR="004B2C8C" w:rsidRPr="004205E6" w:rsidRDefault="00000000">
      <w:pPr>
        <w:rPr>
          <w:rFonts w:ascii="Arial" w:hAnsi="Arial" w:cs="Arial"/>
          <w:color w:val="000000" w:themeColor="text1"/>
        </w:rPr>
      </w:pPr>
      <w:r w:rsidRPr="004205E6">
        <w:rPr>
          <w:rFonts w:ascii="Arial" w:hAnsi="Arial" w:cs="Arial"/>
          <w:color w:val="000000" w:themeColor="text1"/>
        </w:rPr>
        <w:br w:type="page"/>
      </w:r>
    </w:p>
    <w:p w14:paraId="0FF2C021" w14:textId="77777777" w:rsidR="004B2C8C" w:rsidRPr="004205E6" w:rsidRDefault="004B2C8C">
      <w:pPr>
        <w:pStyle w:val="2"/>
        <w:spacing w:before="280" w:after="140"/>
        <w:rPr>
          <w:rFonts w:ascii="Arial" w:hAnsi="Arial" w:cs="Arial"/>
          <w:color w:val="000000" w:themeColor="text1"/>
          <w:sz w:val="24"/>
          <w:szCs w:val="24"/>
        </w:rPr>
      </w:pPr>
    </w:p>
    <w:p w14:paraId="6EC17A11" w14:textId="77777777" w:rsidR="004B2C8C" w:rsidRPr="0033601D" w:rsidRDefault="00000000">
      <w:pPr>
        <w:pStyle w:val="2"/>
        <w:spacing w:before="280" w:after="140"/>
        <w:rPr>
          <w:rFonts w:ascii="Arial" w:hAnsi="Arial" w:cs="Arial"/>
          <w:color w:val="000000" w:themeColor="text1"/>
          <w:sz w:val="24"/>
          <w:szCs w:val="24"/>
        </w:rPr>
      </w:pPr>
      <w:r w:rsidRPr="0033601D">
        <w:rPr>
          <w:rFonts w:ascii="Arial" w:hAnsi="Arial" w:cs="Arial"/>
          <w:b/>
          <w:color w:val="000000" w:themeColor="text1"/>
        </w:rPr>
        <w:t>Supplementary Figure S4. Node-splitting consistency assessment for the S2 closed loops.</w:t>
      </w:r>
    </w:p>
    <w:p w14:paraId="0F74D457" w14:textId="77777777" w:rsidR="004B2C8C" w:rsidRPr="0033601D" w:rsidRDefault="00000000">
      <w:pPr>
        <w:pStyle w:val="2"/>
        <w:spacing w:before="280" w:after="140"/>
        <w:rPr>
          <w:rFonts w:ascii="Arial" w:hAnsi="Arial" w:cs="Arial"/>
          <w:color w:val="000000" w:themeColor="text1"/>
          <w:sz w:val="24"/>
          <w:szCs w:val="24"/>
        </w:rPr>
      </w:pPr>
      <w:r w:rsidRPr="0033601D">
        <w:rPr>
          <w:rFonts w:ascii="Arial" w:hAnsi="Arial" w:cs="Arial"/>
          <w:noProof/>
          <w:color w:val="000000" w:themeColor="text1"/>
        </w:rPr>
        <w:drawing>
          <wp:inline distT="0" distB="0" distL="0" distR="0" wp14:anchorId="43440D36" wp14:editId="6F1B0649">
            <wp:extent cx="7259599" cy="3876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_NodeSplitting_v3.61.png"/>
                    <pic:cNvPicPr/>
                  </pic:nvPicPr>
                  <pic:blipFill>
                    <a:blip r:embed="rId10"/>
                    <a:stretch>
                      <a:fillRect/>
                    </a:stretch>
                  </pic:blipFill>
                  <pic:spPr>
                    <a:xfrm>
                      <a:off x="0" y="0"/>
                      <a:ext cx="7261242" cy="3877552"/>
                    </a:xfrm>
                    <a:prstGeom prst="rect">
                      <a:avLst/>
                    </a:prstGeom>
                  </pic:spPr>
                </pic:pic>
              </a:graphicData>
            </a:graphic>
          </wp:inline>
        </w:drawing>
      </w:r>
    </w:p>
    <w:p w14:paraId="1002D251" w14:textId="77777777" w:rsidR="004B2C8C" w:rsidRPr="0033601D" w:rsidRDefault="00000000">
      <w:pPr>
        <w:pStyle w:val="2"/>
        <w:spacing w:before="280" w:after="140"/>
        <w:rPr>
          <w:rFonts w:ascii="Arial" w:hAnsi="Arial" w:cs="Arial"/>
          <w:color w:val="000000" w:themeColor="text1"/>
          <w:sz w:val="20"/>
          <w:szCs w:val="20"/>
        </w:rPr>
      </w:pPr>
      <w:r w:rsidRPr="0033601D">
        <w:rPr>
          <w:rFonts w:ascii="Arial" w:hAnsi="Arial" w:cs="Arial"/>
          <w:color w:val="000000" w:themeColor="text1"/>
          <w:sz w:val="22"/>
          <w:szCs w:val="22"/>
        </w:rPr>
        <w:t>For each closed loop, the direct estimate (blue square), indirect estimate via Bucher (orange circle), and combined network estimate (black diamond) are shown with 95% CIs. All eight comparisons yielded p &gt; 0.10 (Wald-type z-test for Direct − Indirect), indicating no detected inconsistency between direct and indirect evidence.</w:t>
      </w:r>
    </w:p>
    <w:p w14:paraId="574B368E" w14:textId="7CF55E29" w:rsidR="0033601D" w:rsidRDefault="0033601D">
      <w:pPr>
        <w:widowControl/>
        <w:wordWrap/>
        <w:autoSpaceDE/>
        <w:autoSpaceDN/>
        <w:rPr>
          <w:rFonts w:ascii="Arial" w:hAnsi="Arial" w:cs="Arial"/>
          <w:color w:val="000000" w:themeColor="text1"/>
          <w:sz w:val="24"/>
          <w:szCs w:val="24"/>
        </w:rPr>
      </w:pPr>
      <w:r>
        <w:rPr>
          <w:rFonts w:ascii="Arial" w:hAnsi="Arial" w:cs="Arial"/>
          <w:color w:val="000000" w:themeColor="text1"/>
          <w:sz w:val="24"/>
          <w:szCs w:val="24"/>
        </w:rPr>
        <w:br w:type="page"/>
      </w:r>
    </w:p>
    <w:p w14:paraId="7B78CA36" w14:textId="77777777" w:rsidR="004B2C8C" w:rsidRPr="004205E6" w:rsidRDefault="00000000">
      <w:pPr>
        <w:pStyle w:val="2"/>
        <w:spacing w:before="280" w:after="140"/>
        <w:rPr>
          <w:rFonts w:ascii="Arial" w:hAnsi="Arial" w:cs="Arial"/>
          <w:color w:val="000000" w:themeColor="text1"/>
          <w:sz w:val="24"/>
          <w:szCs w:val="24"/>
        </w:rPr>
      </w:pPr>
      <w:r w:rsidRPr="004205E6">
        <w:rPr>
          <w:rFonts w:ascii="Arial" w:hAnsi="Arial" w:cs="Arial"/>
          <w:b/>
          <w:bCs/>
          <w:color w:val="000000" w:themeColor="text1"/>
          <w:sz w:val="24"/>
          <w:szCs w:val="24"/>
        </w:rPr>
        <w:lastRenderedPageBreak/>
        <w:t>Supplementary Table S11. Meta-Regression on Heterogeneity Sources</w:t>
      </w:r>
    </w:p>
    <w:p w14:paraId="63F277A5" w14:textId="77777777" w:rsidR="004B2C8C" w:rsidRPr="004205E6" w:rsidRDefault="00000000">
      <w:pPr>
        <w:spacing w:before="80" w:after="80"/>
        <w:rPr>
          <w:rFonts w:ascii="Arial" w:hAnsi="Arial" w:cs="Arial"/>
          <w:color w:val="000000" w:themeColor="text1"/>
        </w:rPr>
      </w:pPr>
      <w:r w:rsidRPr="004205E6">
        <w:rPr>
          <w:rFonts w:ascii="Arial" w:hAnsi="Arial" w:cs="Arial"/>
          <w:color w:val="000000" w:themeColor="text1"/>
        </w:rPr>
        <w:t>Random-effects meta-regression of ΔAUROC against pre-specified study-level covariates.</w:t>
      </w:r>
    </w:p>
    <w:tbl>
      <w:tblPr>
        <w:tblStyle w:val="aa"/>
        <w:tblW w:w="5000" w:type="pct"/>
        <w:tblLook w:val="04A0" w:firstRow="1" w:lastRow="0" w:firstColumn="1" w:lastColumn="0" w:noHBand="0" w:noVBand="1"/>
      </w:tblPr>
      <w:tblGrid>
        <w:gridCol w:w="4156"/>
        <w:gridCol w:w="769"/>
        <w:gridCol w:w="1385"/>
        <w:gridCol w:w="1077"/>
        <w:gridCol w:w="923"/>
        <w:gridCol w:w="1077"/>
        <w:gridCol w:w="923"/>
        <w:gridCol w:w="5078"/>
      </w:tblGrid>
      <w:tr w:rsidR="004B2C8C" w:rsidRPr="004205E6" w14:paraId="4CBEF5CE" w14:textId="77777777" w:rsidTr="00A53773">
        <w:trPr>
          <w:trHeight w:val="567"/>
        </w:trPr>
        <w:tc>
          <w:tcPr>
            <w:tcW w:w="1350" w:type="pct"/>
            <w:tcBorders>
              <w:top w:val="single" w:sz="12" w:space="0" w:color="auto"/>
              <w:bottom w:val="single" w:sz="12" w:space="0" w:color="auto"/>
            </w:tcBorders>
            <w:vAlign w:val="center"/>
          </w:tcPr>
          <w:p w14:paraId="67E4E2DC"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Covariate</w:t>
            </w:r>
          </w:p>
        </w:tc>
        <w:tc>
          <w:tcPr>
            <w:tcW w:w="250" w:type="pct"/>
            <w:tcBorders>
              <w:top w:val="single" w:sz="12" w:space="0" w:color="auto"/>
              <w:bottom w:val="single" w:sz="12" w:space="0" w:color="auto"/>
            </w:tcBorders>
            <w:vAlign w:val="center"/>
          </w:tcPr>
          <w:p w14:paraId="52DFFDAB"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k</w:t>
            </w:r>
          </w:p>
        </w:tc>
        <w:tc>
          <w:tcPr>
            <w:tcW w:w="450" w:type="pct"/>
            <w:tcBorders>
              <w:top w:val="single" w:sz="12" w:space="0" w:color="auto"/>
              <w:bottom w:val="single" w:sz="12" w:space="0" w:color="auto"/>
            </w:tcBorders>
            <w:vAlign w:val="center"/>
          </w:tcPr>
          <w:p w14:paraId="76136A9A"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β</w:t>
            </w:r>
          </w:p>
        </w:tc>
        <w:tc>
          <w:tcPr>
            <w:tcW w:w="350" w:type="pct"/>
            <w:tcBorders>
              <w:top w:val="single" w:sz="12" w:space="0" w:color="auto"/>
              <w:bottom w:val="single" w:sz="12" w:space="0" w:color="auto"/>
            </w:tcBorders>
            <w:vAlign w:val="center"/>
          </w:tcPr>
          <w:p w14:paraId="61ED7BD9"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SE</w:t>
            </w:r>
          </w:p>
        </w:tc>
        <w:tc>
          <w:tcPr>
            <w:tcW w:w="300" w:type="pct"/>
            <w:tcBorders>
              <w:top w:val="single" w:sz="12" w:space="0" w:color="auto"/>
              <w:bottom w:val="single" w:sz="12" w:space="0" w:color="auto"/>
            </w:tcBorders>
            <w:vAlign w:val="center"/>
          </w:tcPr>
          <w:p w14:paraId="6EB50EDE"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t</w:t>
            </w:r>
          </w:p>
        </w:tc>
        <w:tc>
          <w:tcPr>
            <w:tcW w:w="350" w:type="pct"/>
            <w:tcBorders>
              <w:top w:val="single" w:sz="12" w:space="0" w:color="auto"/>
              <w:bottom w:val="single" w:sz="12" w:space="0" w:color="auto"/>
            </w:tcBorders>
            <w:vAlign w:val="center"/>
          </w:tcPr>
          <w:p w14:paraId="33084F17"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p</w:t>
            </w:r>
          </w:p>
        </w:tc>
        <w:tc>
          <w:tcPr>
            <w:tcW w:w="300" w:type="pct"/>
            <w:tcBorders>
              <w:top w:val="single" w:sz="12" w:space="0" w:color="auto"/>
              <w:bottom w:val="single" w:sz="12" w:space="0" w:color="auto"/>
            </w:tcBorders>
            <w:vAlign w:val="center"/>
          </w:tcPr>
          <w:p w14:paraId="60CEE352"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R²</w:t>
            </w:r>
          </w:p>
        </w:tc>
        <w:tc>
          <w:tcPr>
            <w:tcW w:w="1650" w:type="pct"/>
            <w:tcBorders>
              <w:top w:val="single" w:sz="12" w:space="0" w:color="auto"/>
              <w:bottom w:val="single" w:sz="12" w:space="0" w:color="auto"/>
            </w:tcBorders>
            <w:vAlign w:val="center"/>
          </w:tcPr>
          <w:p w14:paraId="7BF3A2F1"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Interpretation</w:t>
            </w:r>
          </w:p>
        </w:tc>
      </w:tr>
      <w:tr w:rsidR="004B2C8C" w:rsidRPr="004205E6" w14:paraId="35F34A42" w14:textId="77777777" w:rsidTr="00A53773">
        <w:trPr>
          <w:trHeight w:val="567"/>
        </w:trPr>
        <w:tc>
          <w:tcPr>
            <w:tcW w:w="1350" w:type="pct"/>
            <w:tcBorders>
              <w:top w:val="single" w:sz="12" w:space="0" w:color="auto"/>
            </w:tcBorders>
            <w:vAlign w:val="center"/>
          </w:tcPr>
          <w:p w14:paraId="54E8BC3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Era (0=pre-2015, 1=post-2015, 2=post-2020)</w:t>
            </w:r>
          </w:p>
        </w:tc>
        <w:tc>
          <w:tcPr>
            <w:tcW w:w="250" w:type="pct"/>
            <w:tcBorders>
              <w:top w:val="single" w:sz="12" w:space="0" w:color="auto"/>
            </w:tcBorders>
            <w:vAlign w:val="center"/>
          </w:tcPr>
          <w:p w14:paraId="7F89AF1E"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5</w:t>
            </w:r>
          </w:p>
        </w:tc>
        <w:tc>
          <w:tcPr>
            <w:tcW w:w="450" w:type="pct"/>
            <w:tcBorders>
              <w:top w:val="single" w:sz="12" w:space="0" w:color="auto"/>
            </w:tcBorders>
            <w:vAlign w:val="center"/>
          </w:tcPr>
          <w:p w14:paraId="60101EFD"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-0.0089</w:t>
            </w:r>
          </w:p>
        </w:tc>
        <w:tc>
          <w:tcPr>
            <w:tcW w:w="350" w:type="pct"/>
            <w:tcBorders>
              <w:top w:val="single" w:sz="12" w:space="0" w:color="auto"/>
            </w:tcBorders>
            <w:vAlign w:val="center"/>
          </w:tcPr>
          <w:p w14:paraId="6581AAF2"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+0.0174</w:t>
            </w:r>
          </w:p>
        </w:tc>
        <w:tc>
          <w:tcPr>
            <w:tcW w:w="300" w:type="pct"/>
            <w:tcBorders>
              <w:top w:val="single" w:sz="12" w:space="0" w:color="auto"/>
            </w:tcBorders>
            <w:vAlign w:val="center"/>
          </w:tcPr>
          <w:p w14:paraId="3A87FA5A"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-0.513</w:t>
            </w:r>
          </w:p>
        </w:tc>
        <w:tc>
          <w:tcPr>
            <w:tcW w:w="350" w:type="pct"/>
            <w:tcBorders>
              <w:top w:val="single" w:sz="12" w:space="0" w:color="auto"/>
            </w:tcBorders>
            <w:vAlign w:val="center"/>
          </w:tcPr>
          <w:p w14:paraId="0D9C32E1"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+0.644</w:t>
            </w:r>
          </w:p>
        </w:tc>
        <w:tc>
          <w:tcPr>
            <w:tcW w:w="300" w:type="pct"/>
            <w:tcBorders>
              <w:top w:val="single" w:sz="12" w:space="0" w:color="auto"/>
            </w:tcBorders>
            <w:vAlign w:val="center"/>
          </w:tcPr>
          <w:p w14:paraId="3C588F98"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+0.081</w:t>
            </w:r>
          </w:p>
        </w:tc>
        <w:tc>
          <w:tcPr>
            <w:tcW w:w="1650" w:type="pct"/>
            <w:tcBorders>
              <w:top w:val="single" w:sz="12" w:space="0" w:color="auto"/>
            </w:tcBorders>
            <w:vAlign w:val="center"/>
          </w:tcPr>
          <w:p w14:paraId="2C899A5A"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No significant effect</w:t>
            </w:r>
          </w:p>
        </w:tc>
      </w:tr>
      <w:tr w:rsidR="004B2C8C" w:rsidRPr="004205E6" w14:paraId="30DF944E" w14:textId="77777777" w:rsidTr="00A53773">
        <w:trPr>
          <w:trHeight w:val="567"/>
        </w:trPr>
        <w:tc>
          <w:tcPr>
            <w:tcW w:w="1350" w:type="pct"/>
            <w:tcBorders>
              <w:bottom w:val="single" w:sz="4" w:space="0" w:color="BFBFBF" w:themeColor="background1" w:themeShade="BF"/>
            </w:tcBorders>
            <w:vAlign w:val="center"/>
          </w:tcPr>
          <w:p w14:paraId="51749E77"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ML class (0=ANN, 1=tree-ensemble, 2=hybrid)</w:t>
            </w:r>
          </w:p>
        </w:tc>
        <w:tc>
          <w:tcPr>
            <w:tcW w:w="250" w:type="pct"/>
            <w:tcBorders>
              <w:bottom w:val="single" w:sz="4" w:space="0" w:color="BFBFBF" w:themeColor="background1" w:themeShade="BF"/>
            </w:tcBorders>
            <w:vAlign w:val="center"/>
          </w:tcPr>
          <w:p w14:paraId="01F028EE"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5</w:t>
            </w:r>
          </w:p>
        </w:tc>
        <w:tc>
          <w:tcPr>
            <w:tcW w:w="450" w:type="pct"/>
            <w:tcBorders>
              <w:bottom w:val="single" w:sz="4" w:space="0" w:color="BFBFBF" w:themeColor="background1" w:themeShade="BF"/>
            </w:tcBorders>
            <w:vAlign w:val="center"/>
          </w:tcPr>
          <w:p w14:paraId="755EE2F0"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+0.0143</w:t>
            </w:r>
          </w:p>
        </w:tc>
        <w:tc>
          <w:tcPr>
            <w:tcW w:w="350" w:type="pct"/>
            <w:tcBorders>
              <w:bottom w:val="single" w:sz="4" w:space="0" w:color="BFBFBF" w:themeColor="background1" w:themeShade="BF"/>
            </w:tcBorders>
            <w:vAlign w:val="center"/>
          </w:tcPr>
          <w:p w14:paraId="5434FF0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+0.0194</w:t>
            </w:r>
          </w:p>
        </w:tc>
        <w:tc>
          <w:tcPr>
            <w:tcW w:w="300" w:type="pct"/>
            <w:tcBorders>
              <w:bottom w:val="single" w:sz="4" w:space="0" w:color="BFBFBF" w:themeColor="background1" w:themeShade="BF"/>
            </w:tcBorders>
            <w:vAlign w:val="center"/>
          </w:tcPr>
          <w:p w14:paraId="1028D1C4"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+0.739</w:t>
            </w:r>
          </w:p>
        </w:tc>
        <w:tc>
          <w:tcPr>
            <w:tcW w:w="350" w:type="pct"/>
            <w:tcBorders>
              <w:bottom w:val="single" w:sz="4" w:space="0" w:color="BFBFBF" w:themeColor="background1" w:themeShade="BF"/>
            </w:tcBorders>
            <w:vAlign w:val="center"/>
          </w:tcPr>
          <w:p w14:paraId="0904095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+0.514</w:t>
            </w:r>
          </w:p>
        </w:tc>
        <w:tc>
          <w:tcPr>
            <w:tcW w:w="300" w:type="pct"/>
            <w:tcBorders>
              <w:bottom w:val="single" w:sz="4" w:space="0" w:color="BFBFBF" w:themeColor="background1" w:themeShade="BF"/>
            </w:tcBorders>
            <w:vAlign w:val="center"/>
          </w:tcPr>
          <w:p w14:paraId="7AE75732"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+0.154</w:t>
            </w:r>
          </w:p>
        </w:tc>
        <w:tc>
          <w:tcPr>
            <w:tcW w:w="1650" w:type="pct"/>
            <w:tcBorders>
              <w:bottom w:val="single" w:sz="4" w:space="0" w:color="BFBFBF" w:themeColor="background1" w:themeShade="BF"/>
            </w:tcBorders>
            <w:vAlign w:val="center"/>
          </w:tcPr>
          <w:p w14:paraId="18091E64"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No significant effect</w:t>
            </w:r>
          </w:p>
        </w:tc>
      </w:tr>
      <w:tr w:rsidR="004B2C8C" w:rsidRPr="004205E6" w14:paraId="276AD0C1" w14:textId="77777777" w:rsidTr="00A53773">
        <w:trPr>
          <w:trHeight w:val="567"/>
        </w:trPr>
        <w:tc>
          <w:tcPr>
            <w:tcW w:w="1350" w:type="pct"/>
            <w:tcBorders>
              <w:bottom w:val="single" w:sz="12" w:space="0" w:color="auto"/>
            </w:tcBorders>
            <w:vAlign w:val="center"/>
          </w:tcPr>
          <w:p w14:paraId="0C49541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Validation type (0=split, 1=bootstrap, 2=temporal, 3=external)</w:t>
            </w:r>
          </w:p>
        </w:tc>
        <w:tc>
          <w:tcPr>
            <w:tcW w:w="250" w:type="pct"/>
            <w:tcBorders>
              <w:bottom w:val="single" w:sz="12" w:space="0" w:color="auto"/>
            </w:tcBorders>
            <w:vAlign w:val="center"/>
          </w:tcPr>
          <w:p w14:paraId="742BFBCD"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5</w:t>
            </w:r>
          </w:p>
        </w:tc>
        <w:tc>
          <w:tcPr>
            <w:tcW w:w="450" w:type="pct"/>
            <w:tcBorders>
              <w:bottom w:val="single" w:sz="12" w:space="0" w:color="auto"/>
            </w:tcBorders>
            <w:vAlign w:val="center"/>
          </w:tcPr>
          <w:p w14:paraId="5667D491"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-0.0035</w:t>
            </w:r>
          </w:p>
        </w:tc>
        <w:tc>
          <w:tcPr>
            <w:tcW w:w="350" w:type="pct"/>
            <w:tcBorders>
              <w:bottom w:val="single" w:sz="12" w:space="0" w:color="auto"/>
            </w:tcBorders>
            <w:vAlign w:val="center"/>
          </w:tcPr>
          <w:p w14:paraId="6852AA7F"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+0.0112</w:t>
            </w:r>
          </w:p>
        </w:tc>
        <w:tc>
          <w:tcPr>
            <w:tcW w:w="300" w:type="pct"/>
            <w:tcBorders>
              <w:bottom w:val="single" w:sz="12" w:space="0" w:color="auto"/>
            </w:tcBorders>
            <w:vAlign w:val="center"/>
          </w:tcPr>
          <w:p w14:paraId="4663B296"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-0.313</w:t>
            </w:r>
          </w:p>
        </w:tc>
        <w:tc>
          <w:tcPr>
            <w:tcW w:w="350" w:type="pct"/>
            <w:tcBorders>
              <w:bottom w:val="single" w:sz="12" w:space="0" w:color="auto"/>
            </w:tcBorders>
            <w:vAlign w:val="center"/>
          </w:tcPr>
          <w:p w14:paraId="79C7064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+0.775</w:t>
            </w:r>
          </w:p>
        </w:tc>
        <w:tc>
          <w:tcPr>
            <w:tcW w:w="300" w:type="pct"/>
            <w:tcBorders>
              <w:bottom w:val="single" w:sz="12" w:space="0" w:color="auto"/>
            </w:tcBorders>
            <w:vAlign w:val="center"/>
          </w:tcPr>
          <w:p w14:paraId="634886D7"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+0.032</w:t>
            </w:r>
          </w:p>
        </w:tc>
        <w:tc>
          <w:tcPr>
            <w:tcW w:w="1650" w:type="pct"/>
            <w:tcBorders>
              <w:bottom w:val="single" w:sz="12" w:space="0" w:color="auto"/>
            </w:tcBorders>
            <w:vAlign w:val="center"/>
          </w:tcPr>
          <w:p w14:paraId="7069D70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No significant effect</w:t>
            </w:r>
          </w:p>
        </w:tc>
      </w:tr>
    </w:tbl>
    <w:p w14:paraId="47D7525B" w14:textId="77777777" w:rsidR="004B2C8C" w:rsidRPr="004205E6" w:rsidRDefault="00000000">
      <w:pPr>
        <w:spacing w:before="80" w:after="80"/>
        <w:rPr>
          <w:rFonts w:ascii="Arial" w:hAnsi="Arial" w:cs="Arial"/>
          <w:color w:val="000000" w:themeColor="text1"/>
        </w:rPr>
      </w:pPr>
      <w:r w:rsidRPr="004205E6">
        <w:rPr>
          <w:rFonts w:ascii="Arial" w:hAnsi="Arial" w:cs="Arial"/>
          <w:i/>
          <w:iCs/>
          <w:color w:val="000000" w:themeColor="text1"/>
          <w:sz w:val="14"/>
          <w:szCs w:val="14"/>
        </w:rPr>
        <w:t>Random-effects meta-regression of pairwise ΔAUROC against pre-specified study-level covariates. β = regression coefficient; R² = proportion of between-study variance explained. p &gt; 0.05 indicates no statistically significant moderator effect at the conventional threshold.</w:t>
      </w:r>
    </w:p>
    <w:p w14:paraId="2A7F4986" w14:textId="77777777" w:rsidR="004B2C8C" w:rsidRPr="004205E6" w:rsidRDefault="00000000">
      <w:pPr>
        <w:rPr>
          <w:rFonts w:ascii="Arial" w:hAnsi="Arial" w:cs="Arial"/>
          <w:color w:val="000000" w:themeColor="text1"/>
        </w:rPr>
      </w:pPr>
      <w:r w:rsidRPr="004205E6">
        <w:rPr>
          <w:rFonts w:ascii="Arial" w:hAnsi="Arial" w:cs="Arial"/>
          <w:color w:val="000000" w:themeColor="text1"/>
        </w:rPr>
        <w:br w:type="page"/>
      </w:r>
    </w:p>
    <w:p w14:paraId="703452B3" w14:textId="77777777" w:rsidR="004B2C8C" w:rsidRPr="004205E6" w:rsidRDefault="00000000">
      <w:pPr>
        <w:pStyle w:val="2"/>
        <w:spacing w:before="280" w:after="140"/>
        <w:rPr>
          <w:rFonts w:ascii="Arial" w:hAnsi="Arial" w:cs="Arial"/>
          <w:color w:val="000000" w:themeColor="text1"/>
          <w:sz w:val="24"/>
          <w:szCs w:val="24"/>
        </w:rPr>
      </w:pPr>
      <w:r w:rsidRPr="004205E6">
        <w:rPr>
          <w:rFonts w:ascii="Arial" w:hAnsi="Arial" w:cs="Arial"/>
          <w:b/>
          <w:bCs/>
          <w:color w:val="000000" w:themeColor="text1"/>
          <w:sz w:val="24"/>
          <w:szCs w:val="24"/>
        </w:rPr>
        <w:lastRenderedPageBreak/>
        <w:t>Supplementary Table S12. Comparator Balance Transparency (Per-Scenario)</w:t>
      </w:r>
    </w:p>
    <w:p w14:paraId="22557FA3" w14:textId="77777777" w:rsidR="004B2C8C" w:rsidRPr="004205E6" w:rsidRDefault="00000000">
      <w:pPr>
        <w:spacing w:before="80" w:after="80"/>
        <w:rPr>
          <w:rFonts w:ascii="Arial" w:hAnsi="Arial" w:cs="Arial"/>
          <w:color w:val="000000" w:themeColor="text1"/>
        </w:rPr>
      </w:pPr>
      <w:r w:rsidRPr="004205E6">
        <w:rPr>
          <w:rFonts w:ascii="Arial" w:hAnsi="Arial" w:cs="Arial"/>
          <w:color w:val="000000" w:themeColor="text1"/>
        </w:rPr>
        <w:t>Per-scenario count and percentage of direct edges using each conventional clinical risk score (CCS) as comparator. GBS appears as the most frequent comparator in S2.</w:t>
      </w:r>
    </w:p>
    <w:tbl>
      <w:tblPr>
        <w:tblStyle w:val="aa"/>
        <w:tblW w:w="5000" w:type="pct"/>
        <w:tblLook w:val="04A0" w:firstRow="1" w:lastRow="0" w:firstColumn="1" w:lastColumn="0" w:noHBand="0" w:noVBand="1"/>
      </w:tblPr>
      <w:tblGrid>
        <w:gridCol w:w="1373"/>
        <w:gridCol w:w="1994"/>
        <w:gridCol w:w="1711"/>
        <w:gridCol w:w="1711"/>
        <w:gridCol w:w="1711"/>
        <w:gridCol w:w="2976"/>
        <w:gridCol w:w="3912"/>
      </w:tblGrid>
      <w:tr w:rsidR="004B2C8C" w:rsidRPr="004205E6" w14:paraId="79B8DC62" w14:textId="77777777" w:rsidTr="00A53773">
        <w:trPr>
          <w:trHeight w:val="510"/>
        </w:trPr>
        <w:tc>
          <w:tcPr>
            <w:tcW w:w="446" w:type="pct"/>
            <w:tcBorders>
              <w:top w:val="single" w:sz="12" w:space="0" w:color="auto"/>
              <w:bottom w:val="single" w:sz="12" w:space="0" w:color="auto"/>
            </w:tcBorders>
            <w:vAlign w:val="center"/>
          </w:tcPr>
          <w:p w14:paraId="450E4530"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Scenario</w:t>
            </w:r>
          </w:p>
        </w:tc>
        <w:tc>
          <w:tcPr>
            <w:tcW w:w="648" w:type="pct"/>
            <w:tcBorders>
              <w:top w:val="single" w:sz="12" w:space="0" w:color="auto"/>
              <w:bottom w:val="single" w:sz="12" w:space="0" w:color="auto"/>
            </w:tcBorders>
            <w:vAlign w:val="center"/>
          </w:tcPr>
          <w:p w14:paraId="4F812C63"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Comparator</w:t>
            </w:r>
          </w:p>
        </w:tc>
        <w:tc>
          <w:tcPr>
            <w:tcW w:w="556" w:type="pct"/>
            <w:tcBorders>
              <w:top w:val="single" w:sz="12" w:space="0" w:color="auto"/>
              <w:bottom w:val="single" w:sz="12" w:space="0" w:color="auto"/>
            </w:tcBorders>
            <w:vAlign w:val="center"/>
          </w:tcPr>
          <w:p w14:paraId="2990A5A9"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k (direct edges)</w:t>
            </w:r>
          </w:p>
        </w:tc>
        <w:tc>
          <w:tcPr>
            <w:tcW w:w="556" w:type="pct"/>
            <w:tcBorders>
              <w:top w:val="single" w:sz="12" w:space="0" w:color="auto"/>
              <w:bottom w:val="single" w:sz="12" w:space="0" w:color="auto"/>
            </w:tcBorders>
            <w:vAlign w:val="center"/>
          </w:tcPr>
          <w:p w14:paraId="2D301A1D"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 of direct edges</w:t>
            </w:r>
          </w:p>
        </w:tc>
        <w:tc>
          <w:tcPr>
            <w:tcW w:w="556" w:type="pct"/>
            <w:tcBorders>
              <w:top w:val="single" w:sz="12" w:space="0" w:color="auto"/>
              <w:bottom w:val="single" w:sz="12" w:space="0" w:color="auto"/>
            </w:tcBorders>
            <w:vAlign w:val="center"/>
          </w:tcPr>
          <w:p w14:paraId="29669C95"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Dominance flag</w:t>
            </w:r>
          </w:p>
        </w:tc>
        <w:tc>
          <w:tcPr>
            <w:tcW w:w="967" w:type="pct"/>
            <w:tcBorders>
              <w:top w:val="single" w:sz="12" w:space="0" w:color="auto"/>
              <w:bottom w:val="single" w:sz="12" w:space="0" w:color="auto"/>
            </w:tcBorders>
            <w:vAlign w:val="center"/>
          </w:tcPr>
          <w:p w14:paraId="6091D5FF"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Indirect coverage</w:t>
            </w:r>
          </w:p>
        </w:tc>
        <w:tc>
          <w:tcPr>
            <w:tcW w:w="1271" w:type="pct"/>
            <w:tcBorders>
              <w:top w:val="single" w:sz="12" w:space="0" w:color="auto"/>
              <w:bottom w:val="single" w:sz="12" w:space="0" w:color="auto"/>
            </w:tcBorders>
            <w:vAlign w:val="center"/>
          </w:tcPr>
          <w:p w14:paraId="55CB779E" w14:textId="77777777" w:rsidR="004B2C8C" w:rsidRPr="004205E6" w:rsidRDefault="00000000" w:rsidP="00A53773">
            <w:pPr>
              <w:jc w:val="both"/>
              <w:rPr>
                <w:rFonts w:ascii="Arial" w:hAnsi="Arial" w:cs="Arial"/>
                <w:color w:val="000000" w:themeColor="text1"/>
              </w:rPr>
            </w:pPr>
            <w:r w:rsidRPr="004205E6">
              <w:rPr>
                <w:rFonts w:ascii="Arial" w:hAnsi="Arial" w:cs="Arial"/>
                <w:b/>
                <w:bCs/>
                <w:color w:val="000000" w:themeColor="text1"/>
                <w:sz w:val="16"/>
                <w:szCs w:val="16"/>
              </w:rPr>
              <w:t>Manuscript caveat</w:t>
            </w:r>
          </w:p>
        </w:tc>
      </w:tr>
      <w:tr w:rsidR="004B2C8C" w:rsidRPr="004205E6" w14:paraId="27C9B295" w14:textId="77777777" w:rsidTr="00A53773">
        <w:trPr>
          <w:trHeight w:val="510"/>
        </w:trPr>
        <w:tc>
          <w:tcPr>
            <w:tcW w:w="446" w:type="pct"/>
            <w:tcBorders>
              <w:top w:val="single" w:sz="12" w:space="0" w:color="auto"/>
            </w:tcBorders>
            <w:vAlign w:val="center"/>
          </w:tcPr>
          <w:p w14:paraId="43EBA2B3"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S2</w:t>
            </w:r>
          </w:p>
        </w:tc>
        <w:tc>
          <w:tcPr>
            <w:tcW w:w="648" w:type="pct"/>
            <w:tcBorders>
              <w:top w:val="single" w:sz="12" w:space="0" w:color="auto"/>
            </w:tcBorders>
            <w:vAlign w:val="center"/>
          </w:tcPr>
          <w:p w14:paraId="41CD73AF"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GBS</w:t>
            </w:r>
          </w:p>
        </w:tc>
        <w:tc>
          <w:tcPr>
            <w:tcW w:w="556" w:type="pct"/>
            <w:tcBorders>
              <w:top w:val="single" w:sz="12" w:space="0" w:color="auto"/>
            </w:tcBorders>
            <w:vAlign w:val="center"/>
          </w:tcPr>
          <w:p w14:paraId="01DBE56F"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7</w:t>
            </w:r>
          </w:p>
        </w:tc>
        <w:tc>
          <w:tcPr>
            <w:tcW w:w="556" w:type="pct"/>
            <w:tcBorders>
              <w:top w:val="single" w:sz="12" w:space="0" w:color="auto"/>
            </w:tcBorders>
            <w:vAlign w:val="center"/>
          </w:tcPr>
          <w:p w14:paraId="6BFD732B"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70%</w:t>
            </w:r>
          </w:p>
        </w:tc>
        <w:tc>
          <w:tcPr>
            <w:tcW w:w="556" w:type="pct"/>
            <w:tcBorders>
              <w:top w:val="single" w:sz="12" w:space="0" w:color="auto"/>
            </w:tcBorders>
            <w:vAlign w:val="center"/>
          </w:tcPr>
          <w:p w14:paraId="75381A07"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HIGH</w:t>
            </w:r>
          </w:p>
        </w:tc>
        <w:tc>
          <w:tcPr>
            <w:tcW w:w="967" w:type="pct"/>
            <w:tcBorders>
              <w:top w:val="single" w:sz="12" w:space="0" w:color="auto"/>
            </w:tcBorders>
            <w:vAlign w:val="center"/>
          </w:tcPr>
          <w:p w14:paraId="044B748F"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All other nodes via shared comparator</w:t>
            </w:r>
          </w:p>
        </w:tc>
        <w:tc>
          <w:tcPr>
            <w:tcW w:w="1271" w:type="pct"/>
            <w:tcBorders>
              <w:top w:val="single" w:sz="12" w:space="0" w:color="auto"/>
            </w:tcBorders>
            <w:vAlign w:val="center"/>
          </w:tcPr>
          <w:p w14:paraId="5DC348B8"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Apparent ML advantage may partly reflect GBS over-representation</w:t>
            </w:r>
          </w:p>
        </w:tc>
      </w:tr>
      <w:tr w:rsidR="004B2C8C" w:rsidRPr="004205E6" w14:paraId="6A7EB838" w14:textId="77777777" w:rsidTr="00A53773">
        <w:trPr>
          <w:trHeight w:val="510"/>
        </w:trPr>
        <w:tc>
          <w:tcPr>
            <w:tcW w:w="446" w:type="pct"/>
            <w:vAlign w:val="center"/>
          </w:tcPr>
          <w:p w14:paraId="7FD4BBA4"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S2</w:t>
            </w:r>
          </w:p>
        </w:tc>
        <w:tc>
          <w:tcPr>
            <w:tcW w:w="648" w:type="pct"/>
            <w:vAlign w:val="center"/>
          </w:tcPr>
          <w:p w14:paraId="1F2F87A7"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AIMS65</w:t>
            </w:r>
          </w:p>
        </w:tc>
        <w:tc>
          <w:tcPr>
            <w:tcW w:w="556" w:type="pct"/>
            <w:vAlign w:val="center"/>
          </w:tcPr>
          <w:p w14:paraId="7D73DBEB"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3</w:t>
            </w:r>
          </w:p>
        </w:tc>
        <w:tc>
          <w:tcPr>
            <w:tcW w:w="556" w:type="pct"/>
            <w:vAlign w:val="center"/>
          </w:tcPr>
          <w:p w14:paraId="60C8C6CC"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30%</w:t>
            </w:r>
          </w:p>
        </w:tc>
        <w:tc>
          <w:tcPr>
            <w:tcW w:w="556" w:type="pct"/>
            <w:vAlign w:val="center"/>
          </w:tcPr>
          <w:p w14:paraId="117F66D7"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967" w:type="pct"/>
            <w:vAlign w:val="center"/>
          </w:tcPr>
          <w:p w14:paraId="5F98FAB4"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Via GBS shared path</w:t>
            </w:r>
          </w:p>
        </w:tc>
        <w:tc>
          <w:tcPr>
            <w:tcW w:w="1271" w:type="pct"/>
            <w:vAlign w:val="center"/>
          </w:tcPr>
          <w:p w14:paraId="0AD6B8DD"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Sparse direct; indirect-dominant</w:t>
            </w:r>
          </w:p>
        </w:tc>
      </w:tr>
      <w:tr w:rsidR="004B2C8C" w:rsidRPr="004205E6" w14:paraId="46CA0EC8" w14:textId="77777777" w:rsidTr="00A53773">
        <w:trPr>
          <w:trHeight w:val="510"/>
        </w:trPr>
        <w:tc>
          <w:tcPr>
            <w:tcW w:w="446" w:type="pct"/>
            <w:vAlign w:val="center"/>
          </w:tcPr>
          <w:p w14:paraId="1A6E368E"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S2</w:t>
            </w:r>
          </w:p>
        </w:tc>
        <w:tc>
          <w:tcPr>
            <w:tcW w:w="648" w:type="pct"/>
            <w:vAlign w:val="center"/>
          </w:tcPr>
          <w:p w14:paraId="112FA2E1"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Complete Rockall</w:t>
            </w:r>
          </w:p>
        </w:tc>
        <w:tc>
          <w:tcPr>
            <w:tcW w:w="556" w:type="pct"/>
            <w:vAlign w:val="center"/>
          </w:tcPr>
          <w:p w14:paraId="6B885B8A"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2</w:t>
            </w:r>
          </w:p>
        </w:tc>
        <w:tc>
          <w:tcPr>
            <w:tcW w:w="556" w:type="pct"/>
            <w:vAlign w:val="center"/>
          </w:tcPr>
          <w:p w14:paraId="692CBA1C"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20%</w:t>
            </w:r>
          </w:p>
        </w:tc>
        <w:tc>
          <w:tcPr>
            <w:tcW w:w="556" w:type="pct"/>
            <w:vAlign w:val="center"/>
          </w:tcPr>
          <w:p w14:paraId="73ECC37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Low</w:t>
            </w:r>
          </w:p>
        </w:tc>
        <w:tc>
          <w:tcPr>
            <w:tcW w:w="967" w:type="pct"/>
            <w:vAlign w:val="center"/>
          </w:tcPr>
          <w:p w14:paraId="5D13EA1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Via GBS + AIMS65</w:t>
            </w:r>
          </w:p>
        </w:tc>
        <w:tc>
          <w:tcPr>
            <w:tcW w:w="1271" w:type="pct"/>
            <w:vAlign w:val="center"/>
          </w:tcPr>
          <w:p w14:paraId="6008A5B6"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Historical ANN anchor only (Rotondano)</w:t>
            </w:r>
          </w:p>
        </w:tc>
      </w:tr>
      <w:tr w:rsidR="004B2C8C" w:rsidRPr="004205E6" w14:paraId="3F151E5F" w14:textId="77777777" w:rsidTr="00A53773">
        <w:trPr>
          <w:trHeight w:val="510"/>
        </w:trPr>
        <w:tc>
          <w:tcPr>
            <w:tcW w:w="446" w:type="pct"/>
            <w:vAlign w:val="center"/>
          </w:tcPr>
          <w:p w14:paraId="50A5FC6D"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S3</w:t>
            </w:r>
          </w:p>
        </w:tc>
        <w:tc>
          <w:tcPr>
            <w:tcW w:w="648" w:type="pct"/>
            <w:vAlign w:val="center"/>
          </w:tcPr>
          <w:p w14:paraId="0AD1BF6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GBS</w:t>
            </w:r>
          </w:p>
        </w:tc>
        <w:tc>
          <w:tcPr>
            <w:tcW w:w="556" w:type="pct"/>
            <w:vAlign w:val="center"/>
          </w:tcPr>
          <w:p w14:paraId="2BA8E282"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2</w:t>
            </w:r>
          </w:p>
        </w:tc>
        <w:tc>
          <w:tcPr>
            <w:tcW w:w="556" w:type="pct"/>
            <w:vAlign w:val="center"/>
          </w:tcPr>
          <w:p w14:paraId="0906540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50%</w:t>
            </w:r>
          </w:p>
        </w:tc>
        <w:tc>
          <w:tcPr>
            <w:tcW w:w="556" w:type="pct"/>
            <w:vAlign w:val="center"/>
          </w:tcPr>
          <w:p w14:paraId="52D1FF8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Moderate</w:t>
            </w:r>
          </w:p>
        </w:tc>
        <w:tc>
          <w:tcPr>
            <w:tcW w:w="967" w:type="pct"/>
            <w:vAlign w:val="center"/>
          </w:tcPr>
          <w:p w14:paraId="5D44FBB1"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All via GBS</w:t>
            </w:r>
          </w:p>
        </w:tc>
        <w:tc>
          <w:tcPr>
            <w:tcW w:w="1271" w:type="pct"/>
            <w:vAlign w:val="center"/>
          </w:tcPr>
          <w:p w14:paraId="3A7895BC"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Window heterogeneity (7-day strict)</w:t>
            </w:r>
          </w:p>
        </w:tc>
      </w:tr>
      <w:tr w:rsidR="004B2C8C" w:rsidRPr="004205E6" w14:paraId="33010ABD" w14:textId="77777777" w:rsidTr="00A53773">
        <w:trPr>
          <w:trHeight w:val="510"/>
        </w:trPr>
        <w:tc>
          <w:tcPr>
            <w:tcW w:w="446" w:type="pct"/>
            <w:vAlign w:val="center"/>
          </w:tcPr>
          <w:p w14:paraId="283AEA8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S3</w:t>
            </w:r>
          </w:p>
        </w:tc>
        <w:tc>
          <w:tcPr>
            <w:tcW w:w="648" w:type="pct"/>
            <w:vAlign w:val="center"/>
          </w:tcPr>
          <w:p w14:paraId="7743B92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AIMS65</w:t>
            </w:r>
          </w:p>
        </w:tc>
        <w:tc>
          <w:tcPr>
            <w:tcW w:w="556" w:type="pct"/>
            <w:vAlign w:val="center"/>
          </w:tcPr>
          <w:p w14:paraId="7C22AF8F"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1</w:t>
            </w:r>
          </w:p>
        </w:tc>
        <w:tc>
          <w:tcPr>
            <w:tcW w:w="556" w:type="pct"/>
            <w:vAlign w:val="center"/>
          </w:tcPr>
          <w:p w14:paraId="59B5E92C"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25%</w:t>
            </w:r>
          </w:p>
        </w:tc>
        <w:tc>
          <w:tcPr>
            <w:tcW w:w="556" w:type="pct"/>
            <w:vAlign w:val="center"/>
          </w:tcPr>
          <w:p w14:paraId="32BF304D"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Low</w:t>
            </w:r>
          </w:p>
        </w:tc>
        <w:tc>
          <w:tcPr>
            <w:tcW w:w="967" w:type="pct"/>
            <w:vAlign w:val="center"/>
          </w:tcPr>
          <w:p w14:paraId="6BACC25A"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Via GBS</w:t>
            </w:r>
          </w:p>
        </w:tc>
        <w:tc>
          <w:tcPr>
            <w:tcW w:w="1271" w:type="pct"/>
            <w:vAlign w:val="center"/>
          </w:tcPr>
          <w:p w14:paraId="5DA8E25E"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Single direct (Chen 2025)</w:t>
            </w:r>
          </w:p>
        </w:tc>
      </w:tr>
      <w:tr w:rsidR="004B2C8C" w:rsidRPr="004205E6" w14:paraId="71B57E83" w14:textId="77777777" w:rsidTr="00A53773">
        <w:trPr>
          <w:trHeight w:val="510"/>
        </w:trPr>
        <w:tc>
          <w:tcPr>
            <w:tcW w:w="446" w:type="pct"/>
            <w:vAlign w:val="center"/>
          </w:tcPr>
          <w:p w14:paraId="4A05BF4A"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S3</w:t>
            </w:r>
          </w:p>
        </w:tc>
        <w:tc>
          <w:tcPr>
            <w:tcW w:w="648" w:type="pct"/>
            <w:vAlign w:val="center"/>
          </w:tcPr>
          <w:p w14:paraId="5988506C"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Pre-endoscopic Rockall</w:t>
            </w:r>
          </w:p>
        </w:tc>
        <w:tc>
          <w:tcPr>
            <w:tcW w:w="556" w:type="pct"/>
            <w:vAlign w:val="center"/>
          </w:tcPr>
          <w:p w14:paraId="5D823791"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1</w:t>
            </w:r>
          </w:p>
        </w:tc>
        <w:tc>
          <w:tcPr>
            <w:tcW w:w="556" w:type="pct"/>
            <w:vAlign w:val="center"/>
          </w:tcPr>
          <w:p w14:paraId="679AAAF0"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25%</w:t>
            </w:r>
          </w:p>
        </w:tc>
        <w:tc>
          <w:tcPr>
            <w:tcW w:w="556" w:type="pct"/>
            <w:vAlign w:val="center"/>
          </w:tcPr>
          <w:p w14:paraId="339C9D4B"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Low</w:t>
            </w:r>
          </w:p>
        </w:tc>
        <w:tc>
          <w:tcPr>
            <w:tcW w:w="967" w:type="pct"/>
            <w:vAlign w:val="center"/>
          </w:tcPr>
          <w:p w14:paraId="1A4B1380"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Via GBS / AIMS65</w:t>
            </w:r>
          </w:p>
        </w:tc>
        <w:tc>
          <w:tcPr>
            <w:tcW w:w="1271" w:type="pct"/>
            <w:vAlign w:val="center"/>
          </w:tcPr>
          <w:p w14:paraId="4D37D364"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Single direct (Seo 2020)</w:t>
            </w:r>
          </w:p>
        </w:tc>
      </w:tr>
      <w:tr w:rsidR="004B2C8C" w:rsidRPr="004205E6" w14:paraId="0248CCB4" w14:textId="77777777" w:rsidTr="00A53773">
        <w:trPr>
          <w:trHeight w:val="510"/>
        </w:trPr>
        <w:tc>
          <w:tcPr>
            <w:tcW w:w="446" w:type="pct"/>
            <w:tcBorders>
              <w:bottom w:val="single" w:sz="4" w:space="0" w:color="BFBFBF" w:themeColor="background1" w:themeShade="BF"/>
            </w:tcBorders>
            <w:vAlign w:val="center"/>
          </w:tcPr>
          <w:p w14:paraId="5AC369F7"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S4</w:t>
            </w:r>
          </w:p>
        </w:tc>
        <w:tc>
          <w:tcPr>
            <w:tcW w:w="648" w:type="pct"/>
            <w:tcBorders>
              <w:bottom w:val="single" w:sz="4" w:space="0" w:color="BFBFBF" w:themeColor="background1" w:themeShade="BF"/>
            </w:tcBorders>
            <w:vAlign w:val="center"/>
          </w:tcPr>
          <w:p w14:paraId="15C504AC"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AIMS65 + GBS</w:t>
            </w:r>
          </w:p>
        </w:tc>
        <w:tc>
          <w:tcPr>
            <w:tcW w:w="556" w:type="pct"/>
            <w:tcBorders>
              <w:bottom w:val="single" w:sz="4" w:space="0" w:color="BFBFBF" w:themeColor="background1" w:themeShade="BF"/>
            </w:tcBorders>
            <w:vAlign w:val="center"/>
          </w:tcPr>
          <w:p w14:paraId="4250E917"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1</w:t>
            </w:r>
          </w:p>
        </w:tc>
        <w:tc>
          <w:tcPr>
            <w:tcW w:w="556" w:type="pct"/>
            <w:tcBorders>
              <w:bottom w:val="single" w:sz="4" w:space="0" w:color="BFBFBF" w:themeColor="background1" w:themeShade="BF"/>
            </w:tcBorders>
            <w:vAlign w:val="center"/>
          </w:tcPr>
          <w:p w14:paraId="350AF072"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100%</w:t>
            </w:r>
          </w:p>
        </w:tc>
        <w:tc>
          <w:tcPr>
            <w:tcW w:w="556" w:type="pct"/>
            <w:tcBorders>
              <w:bottom w:val="single" w:sz="4" w:space="0" w:color="BFBFBF" w:themeColor="background1" w:themeShade="BF"/>
            </w:tcBorders>
            <w:vAlign w:val="center"/>
          </w:tcPr>
          <w:p w14:paraId="7FB71E20"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N/A single-study</w:t>
            </w:r>
          </w:p>
        </w:tc>
        <w:tc>
          <w:tcPr>
            <w:tcW w:w="967" w:type="pct"/>
            <w:tcBorders>
              <w:bottom w:val="single" w:sz="4" w:space="0" w:color="BFBFBF" w:themeColor="background1" w:themeShade="BF"/>
            </w:tcBorders>
            <w:vAlign w:val="center"/>
          </w:tcPr>
          <w:p w14:paraId="2F0BB43A"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N/A</w:t>
            </w:r>
          </w:p>
        </w:tc>
        <w:tc>
          <w:tcPr>
            <w:tcW w:w="1271" w:type="pct"/>
            <w:tcBorders>
              <w:bottom w:val="single" w:sz="4" w:space="0" w:color="BFBFBF" w:themeColor="background1" w:themeShade="BF"/>
            </w:tcBorders>
            <w:vAlign w:val="center"/>
          </w:tcPr>
          <w:p w14:paraId="6F0DDF9F"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Single ICU cohort</w:t>
            </w:r>
          </w:p>
        </w:tc>
      </w:tr>
      <w:tr w:rsidR="004B2C8C" w:rsidRPr="004205E6" w14:paraId="5723F996" w14:textId="77777777" w:rsidTr="00A53773">
        <w:trPr>
          <w:trHeight w:val="510"/>
        </w:trPr>
        <w:tc>
          <w:tcPr>
            <w:tcW w:w="446" w:type="pct"/>
            <w:tcBorders>
              <w:bottom w:val="single" w:sz="12" w:space="0" w:color="auto"/>
            </w:tcBorders>
            <w:vAlign w:val="center"/>
          </w:tcPr>
          <w:p w14:paraId="3DE1C54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S5</w:t>
            </w:r>
          </w:p>
        </w:tc>
        <w:tc>
          <w:tcPr>
            <w:tcW w:w="648" w:type="pct"/>
            <w:tcBorders>
              <w:bottom w:val="single" w:sz="12" w:space="0" w:color="auto"/>
            </w:tcBorders>
            <w:vAlign w:val="center"/>
          </w:tcPr>
          <w:p w14:paraId="1959C488"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Composite CCS</w:t>
            </w:r>
          </w:p>
        </w:tc>
        <w:tc>
          <w:tcPr>
            <w:tcW w:w="556" w:type="pct"/>
            <w:tcBorders>
              <w:bottom w:val="single" w:sz="12" w:space="0" w:color="auto"/>
            </w:tcBorders>
            <w:vAlign w:val="center"/>
          </w:tcPr>
          <w:p w14:paraId="23D5656F"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1</w:t>
            </w:r>
          </w:p>
        </w:tc>
        <w:tc>
          <w:tcPr>
            <w:tcW w:w="556" w:type="pct"/>
            <w:tcBorders>
              <w:bottom w:val="single" w:sz="12" w:space="0" w:color="auto"/>
            </w:tcBorders>
            <w:vAlign w:val="center"/>
          </w:tcPr>
          <w:p w14:paraId="4CA10680"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100%</w:t>
            </w:r>
          </w:p>
        </w:tc>
        <w:tc>
          <w:tcPr>
            <w:tcW w:w="556" w:type="pct"/>
            <w:tcBorders>
              <w:bottom w:val="single" w:sz="12" w:space="0" w:color="auto"/>
            </w:tcBorders>
            <w:vAlign w:val="center"/>
          </w:tcPr>
          <w:p w14:paraId="588338A9"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N/A single-study</w:t>
            </w:r>
          </w:p>
        </w:tc>
        <w:tc>
          <w:tcPr>
            <w:tcW w:w="967" w:type="pct"/>
            <w:tcBorders>
              <w:bottom w:val="single" w:sz="12" w:space="0" w:color="auto"/>
            </w:tcBorders>
            <w:vAlign w:val="center"/>
          </w:tcPr>
          <w:p w14:paraId="3D219545"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Thiebaud 2025 CCS anchor only</w:t>
            </w:r>
          </w:p>
        </w:tc>
        <w:tc>
          <w:tcPr>
            <w:tcW w:w="1271" w:type="pct"/>
            <w:tcBorders>
              <w:bottom w:val="single" w:sz="12" w:space="0" w:color="auto"/>
            </w:tcBorders>
            <w:vAlign w:val="center"/>
          </w:tcPr>
          <w:p w14:paraId="4C6844CB" w14:textId="77777777" w:rsidR="004B2C8C" w:rsidRPr="004205E6" w:rsidRDefault="00000000" w:rsidP="00A53773">
            <w:pPr>
              <w:jc w:val="both"/>
              <w:rPr>
                <w:rFonts w:ascii="Arial" w:hAnsi="Arial" w:cs="Arial"/>
                <w:color w:val="000000" w:themeColor="text1"/>
              </w:rPr>
            </w:pPr>
            <w:r w:rsidRPr="004205E6">
              <w:rPr>
                <w:rFonts w:ascii="Arial" w:hAnsi="Arial" w:cs="Arial"/>
                <w:color w:val="000000" w:themeColor="text1"/>
                <w:sz w:val="16"/>
                <w:szCs w:val="16"/>
              </w:rPr>
              <w:t>Variceal mix indirectness; external positive</w:t>
            </w:r>
          </w:p>
        </w:tc>
      </w:tr>
    </w:tbl>
    <w:p w14:paraId="1A2AC12B" w14:textId="77777777" w:rsidR="004B2C8C" w:rsidRPr="004205E6" w:rsidRDefault="00000000">
      <w:pPr>
        <w:spacing w:before="80" w:after="80"/>
        <w:rPr>
          <w:rFonts w:ascii="Arial" w:hAnsi="Arial" w:cs="Arial"/>
          <w:color w:val="000000" w:themeColor="text1"/>
        </w:rPr>
      </w:pPr>
      <w:r w:rsidRPr="004205E6">
        <w:rPr>
          <w:rFonts w:ascii="Arial" w:hAnsi="Arial" w:cs="Arial"/>
          <w:i/>
          <w:iCs/>
          <w:color w:val="000000" w:themeColor="text1"/>
          <w:sz w:val="14"/>
          <w:szCs w:val="14"/>
        </w:rPr>
        <w:t>Per-scenario count and percentage of direct edges using each conventional clinical risk score (CCS) as comparator. Dominance flag: HIGH if a single comparator accounts for ≥50% of direct edges. GBS dominates S2 direct evidence; this is flagged in the main text as a comparator-balance caveat.</w:t>
      </w:r>
    </w:p>
    <w:p w14:paraId="754141A5" w14:textId="77777777" w:rsidR="004B2C8C" w:rsidRPr="004205E6" w:rsidRDefault="00000000">
      <w:pPr>
        <w:rPr>
          <w:rFonts w:ascii="Arial" w:hAnsi="Arial" w:cs="Arial"/>
          <w:color w:val="000000" w:themeColor="text1"/>
        </w:rPr>
      </w:pPr>
      <w:r w:rsidRPr="004205E6">
        <w:rPr>
          <w:rFonts w:ascii="Arial" w:hAnsi="Arial" w:cs="Arial"/>
          <w:color w:val="000000" w:themeColor="text1"/>
        </w:rPr>
        <w:br w:type="page"/>
      </w:r>
    </w:p>
    <w:p w14:paraId="63804B87" w14:textId="77777777" w:rsidR="004B2C8C" w:rsidRPr="004205E6" w:rsidRDefault="00000000">
      <w:pPr>
        <w:pStyle w:val="2"/>
        <w:spacing w:before="280" w:after="140"/>
        <w:rPr>
          <w:rFonts w:ascii="Arial" w:hAnsi="Arial" w:cs="Arial"/>
          <w:color w:val="000000" w:themeColor="text1"/>
          <w:sz w:val="24"/>
          <w:szCs w:val="24"/>
        </w:rPr>
      </w:pPr>
      <w:r w:rsidRPr="004205E6">
        <w:rPr>
          <w:rFonts w:ascii="Arial" w:hAnsi="Arial" w:cs="Arial"/>
          <w:b/>
          <w:bCs/>
          <w:color w:val="000000" w:themeColor="text1"/>
          <w:sz w:val="24"/>
          <w:szCs w:val="24"/>
        </w:rPr>
        <w:lastRenderedPageBreak/>
        <w:t>Supplementary Table S13. PRISMA-NMA 2015 Checklist</w:t>
      </w:r>
    </w:p>
    <w:p w14:paraId="4BDE6C29" w14:textId="77777777" w:rsidR="004B2C8C" w:rsidRPr="004205E6" w:rsidRDefault="00000000">
      <w:pPr>
        <w:spacing w:before="80" w:after="80"/>
        <w:rPr>
          <w:rFonts w:ascii="Arial" w:hAnsi="Arial" w:cs="Arial"/>
          <w:color w:val="000000" w:themeColor="text1"/>
        </w:rPr>
      </w:pPr>
      <w:r w:rsidRPr="004205E6">
        <w:rPr>
          <w:rFonts w:ascii="Arial" w:hAnsi="Arial" w:cs="Arial"/>
          <w:color w:val="000000" w:themeColor="text1"/>
        </w:rPr>
        <w:t>Item-by-item compliance with the PRISMA extension for Network Meta-Analyses (Hutton 2015).</w:t>
      </w:r>
    </w:p>
    <w:tbl>
      <w:tblPr>
        <w:tblStyle w:val="aa"/>
        <w:tblW w:w="5000" w:type="pct"/>
        <w:tblLook w:val="04A0" w:firstRow="1" w:lastRow="0" w:firstColumn="1" w:lastColumn="0" w:noHBand="0" w:noVBand="1"/>
      </w:tblPr>
      <w:tblGrid>
        <w:gridCol w:w="770"/>
        <w:gridCol w:w="5321"/>
        <w:gridCol w:w="8066"/>
        <w:gridCol w:w="1231"/>
      </w:tblGrid>
      <w:tr w:rsidR="004B2C8C" w:rsidRPr="004205E6" w14:paraId="66D242FE" w14:textId="77777777" w:rsidTr="00E41A97">
        <w:trPr>
          <w:trHeight w:val="213"/>
        </w:trPr>
        <w:tc>
          <w:tcPr>
            <w:tcW w:w="250" w:type="pct"/>
            <w:tcBorders>
              <w:top w:val="single" w:sz="12" w:space="0" w:color="auto"/>
              <w:bottom w:val="single" w:sz="12" w:space="0" w:color="auto"/>
            </w:tcBorders>
            <w:vAlign w:val="center"/>
          </w:tcPr>
          <w:p w14:paraId="2EE82CE0" w14:textId="77777777" w:rsidR="004B2C8C" w:rsidRPr="004205E6" w:rsidRDefault="00000000" w:rsidP="00E41A97">
            <w:pPr>
              <w:jc w:val="both"/>
              <w:rPr>
                <w:rFonts w:ascii="Arial" w:hAnsi="Arial" w:cs="Arial"/>
                <w:color w:val="000000" w:themeColor="text1"/>
              </w:rPr>
            </w:pPr>
            <w:r w:rsidRPr="004205E6">
              <w:rPr>
                <w:rFonts w:ascii="Arial" w:hAnsi="Arial" w:cs="Arial"/>
                <w:b/>
                <w:bCs/>
                <w:color w:val="000000" w:themeColor="text1"/>
                <w:sz w:val="16"/>
                <w:szCs w:val="16"/>
              </w:rPr>
              <w:t>#</w:t>
            </w:r>
          </w:p>
        </w:tc>
        <w:tc>
          <w:tcPr>
            <w:tcW w:w="1729" w:type="pct"/>
            <w:tcBorders>
              <w:top w:val="single" w:sz="12" w:space="0" w:color="auto"/>
              <w:bottom w:val="single" w:sz="12" w:space="0" w:color="auto"/>
            </w:tcBorders>
            <w:vAlign w:val="center"/>
          </w:tcPr>
          <w:p w14:paraId="1C0E47E6" w14:textId="77777777" w:rsidR="004B2C8C" w:rsidRPr="004205E6" w:rsidRDefault="00000000" w:rsidP="00E41A97">
            <w:pPr>
              <w:jc w:val="both"/>
              <w:rPr>
                <w:rFonts w:ascii="Arial" w:hAnsi="Arial" w:cs="Arial"/>
                <w:color w:val="000000" w:themeColor="text1"/>
              </w:rPr>
            </w:pPr>
            <w:r w:rsidRPr="004205E6">
              <w:rPr>
                <w:rFonts w:ascii="Arial" w:hAnsi="Arial" w:cs="Arial"/>
                <w:b/>
                <w:bCs/>
                <w:color w:val="000000" w:themeColor="text1"/>
                <w:sz w:val="16"/>
                <w:szCs w:val="16"/>
              </w:rPr>
              <w:t>Item (PRISMA-NMA 2015)</w:t>
            </w:r>
          </w:p>
        </w:tc>
        <w:tc>
          <w:tcPr>
            <w:tcW w:w="2621" w:type="pct"/>
            <w:tcBorders>
              <w:top w:val="single" w:sz="12" w:space="0" w:color="auto"/>
              <w:bottom w:val="single" w:sz="12" w:space="0" w:color="auto"/>
            </w:tcBorders>
            <w:vAlign w:val="center"/>
          </w:tcPr>
          <w:p w14:paraId="6AE8F0B5" w14:textId="77777777" w:rsidR="004B2C8C" w:rsidRPr="004205E6" w:rsidRDefault="00000000" w:rsidP="00E41A97">
            <w:pPr>
              <w:jc w:val="both"/>
              <w:rPr>
                <w:rFonts w:ascii="Arial" w:hAnsi="Arial" w:cs="Arial"/>
                <w:color w:val="000000" w:themeColor="text1"/>
              </w:rPr>
            </w:pPr>
            <w:r w:rsidRPr="004205E6">
              <w:rPr>
                <w:rFonts w:ascii="Arial" w:hAnsi="Arial" w:cs="Arial"/>
                <w:b/>
                <w:bCs/>
                <w:color w:val="000000" w:themeColor="text1"/>
                <w:sz w:val="16"/>
                <w:szCs w:val="16"/>
              </w:rPr>
              <w:t>Location in manuscript / supplement</w:t>
            </w:r>
          </w:p>
        </w:tc>
        <w:tc>
          <w:tcPr>
            <w:tcW w:w="400" w:type="pct"/>
            <w:tcBorders>
              <w:top w:val="single" w:sz="12" w:space="0" w:color="auto"/>
              <w:bottom w:val="single" w:sz="12" w:space="0" w:color="auto"/>
            </w:tcBorders>
            <w:vAlign w:val="center"/>
          </w:tcPr>
          <w:p w14:paraId="05674BC4" w14:textId="77777777" w:rsidR="004B2C8C" w:rsidRPr="004205E6" w:rsidRDefault="00000000" w:rsidP="00E41A97">
            <w:pPr>
              <w:jc w:val="both"/>
              <w:rPr>
                <w:rFonts w:ascii="Arial" w:hAnsi="Arial" w:cs="Arial"/>
                <w:color w:val="000000" w:themeColor="text1"/>
              </w:rPr>
            </w:pPr>
            <w:r w:rsidRPr="004205E6">
              <w:rPr>
                <w:rFonts w:ascii="Arial" w:hAnsi="Arial" w:cs="Arial"/>
                <w:b/>
                <w:bCs/>
                <w:color w:val="000000" w:themeColor="text1"/>
                <w:sz w:val="16"/>
                <w:szCs w:val="16"/>
              </w:rPr>
              <w:t>Status</w:t>
            </w:r>
          </w:p>
        </w:tc>
      </w:tr>
      <w:tr w:rsidR="004B2C8C" w:rsidRPr="004205E6" w14:paraId="4606216E" w14:textId="77777777" w:rsidTr="00E41A97">
        <w:trPr>
          <w:trHeight w:val="213"/>
        </w:trPr>
        <w:tc>
          <w:tcPr>
            <w:tcW w:w="250" w:type="pct"/>
            <w:tcBorders>
              <w:top w:val="single" w:sz="12" w:space="0" w:color="auto"/>
            </w:tcBorders>
            <w:vAlign w:val="center"/>
          </w:tcPr>
          <w:p w14:paraId="2B60EB3B"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1</w:t>
            </w:r>
          </w:p>
        </w:tc>
        <w:tc>
          <w:tcPr>
            <w:tcW w:w="1729" w:type="pct"/>
            <w:tcBorders>
              <w:top w:val="single" w:sz="12" w:space="0" w:color="auto"/>
            </w:tcBorders>
            <w:vAlign w:val="center"/>
          </w:tcPr>
          <w:p w14:paraId="402D11EC"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Title — identify as systematic review with network meta-analysis</w:t>
            </w:r>
          </w:p>
        </w:tc>
        <w:tc>
          <w:tcPr>
            <w:tcW w:w="2621" w:type="pct"/>
            <w:tcBorders>
              <w:top w:val="single" w:sz="12" w:space="0" w:color="auto"/>
            </w:tcBorders>
            <w:vAlign w:val="center"/>
          </w:tcPr>
          <w:p w14:paraId="1C155C42"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Title page</w:t>
            </w:r>
          </w:p>
        </w:tc>
        <w:tc>
          <w:tcPr>
            <w:tcW w:w="400" w:type="pct"/>
            <w:tcBorders>
              <w:top w:val="single" w:sz="12" w:space="0" w:color="auto"/>
            </w:tcBorders>
            <w:vAlign w:val="center"/>
          </w:tcPr>
          <w:p w14:paraId="7A811B6D"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74403263" w14:textId="77777777" w:rsidTr="00E41A97">
        <w:trPr>
          <w:trHeight w:val="213"/>
        </w:trPr>
        <w:tc>
          <w:tcPr>
            <w:tcW w:w="250" w:type="pct"/>
            <w:vAlign w:val="center"/>
          </w:tcPr>
          <w:p w14:paraId="743D441C"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2</w:t>
            </w:r>
          </w:p>
        </w:tc>
        <w:tc>
          <w:tcPr>
            <w:tcW w:w="1729" w:type="pct"/>
            <w:vAlign w:val="center"/>
          </w:tcPr>
          <w:p w14:paraId="6D6AED7D"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Structured summary / abstract</w:t>
            </w:r>
          </w:p>
        </w:tc>
        <w:tc>
          <w:tcPr>
            <w:tcW w:w="2621" w:type="pct"/>
            <w:vAlign w:val="center"/>
          </w:tcPr>
          <w:p w14:paraId="3A25D669"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Abstract (250 words)</w:t>
            </w:r>
          </w:p>
        </w:tc>
        <w:tc>
          <w:tcPr>
            <w:tcW w:w="400" w:type="pct"/>
            <w:vAlign w:val="center"/>
          </w:tcPr>
          <w:p w14:paraId="589F59AD"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470057CC" w14:textId="77777777" w:rsidTr="00E41A97">
        <w:trPr>
          <w:trHeight w:val="213"/>
        </w:trPr>
        <w:tc>
          <w:tcPr>
            <w:tcW w:w="250" w:type="pct"/>
            <w:vAlign w:val="center"/>
          </w:tcPr>
          <w:p w14:paraId="5DD9F96C"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3</w:t>
            </w:r>
          </w:p>
        </w:tc>
        <w:tc>
          <w:tcPr>
            <w:tcW w:w="1729" w:type="pct"/>
            <w:vAlign w:val="center"/>
          </w:tcPr>
          <w:p w14:paraId="0E428F03"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Rationale</w:t>
            </w:r>
          </w:p>
        </w:tc>
        <w:tc>
          <w:tcPr>
            <w:tcW w:w="2621" w:type="pct"/>
            <w:vAlign w:val="center"/>
          </w:tcPr>
          <w:p w14:paraId="2A751359"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Introduction paragraphs 1-3</w:t>
            </w:r>
          </w:p>
        </w:tc>
        <w:tc>
          <w:tcPr>
            <w:tcW w:w="400" w:type="pct"/>
            <w:vAlign w:val="center"/>
          </w:tcPr>
          <w:p w14:paraId="68740C14"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23D9F4AF" w14:textId="77777777" w:rsidTr="00E41A97">
        <w:trPr>
          <w:trHeight w:val="213"/>
        </w:trPr>
        <w:tc>
          <w:tcPr>
            <w:tcW w:w="250" w:type="pct"/>
            <w:vAlign w:val="center"/>
          </w:tcPr>
          <w:p w14:paraId="7335029A"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4</w:t>
            </w:r>
          </w:p>
        </w:tc>
        <w:tc>
          <w:tcPr>
            <w:tcW w:w="1729" w:type="pct"/>
            <w:vAlign w:val="center"/>
          </w:tcPr>
          <w:p w14:paraId="53B1B173"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Objectives — PICOS / framework</w:t>
            </w:r>
          </w:p>
        </w:tc>
        <w:tc>
          <w:tcPr>
            <w:tcW w:w="2621" w:type="pct"/>
            <w:vAlign w:val="center"/>
          </w:tcPr>
          <w:p w14:paraId="62F16B02"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Introduction last paragraph</w:t>
            </w:r>
          </w:p>
        </w:tc>
        <w:tc>
          <w:tcPr>
            <w:tcW w:w="400" w:type="pct"/>
            <w:vAlign w:val="center"/>
          </w:tcPr>
          <w:p w14:paraId="62A30A96"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574E17A5" w14:textId="77777777" w:rsidTr="00E41A97">
        <w:trPr>
          <w:trHeight w:val="213"/>
        </w:trPr>
        <w:tc>
          <w:tcPr>
            <w:tcW w:w="250" w:type="pct"/>
            <w:vAlign w:val="center"/>
          </w:tcPr>
          <w:p w14:paraId="7B8CAF65"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5</w:t>
            </w:r>
          </w:p>
        </w:tc>
        <w:tc>
          <w:tcPr>
            <w:tcW w:w="1729" w:type="pct"/>
            <w:vAlign w:val="center"/>
          </w:tcPr>
          <w:p w14:paraId="5F319D04"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Registration and protocol</w:t>
            </w:r>
          </w:p>
        </w:tc>
        <w:tc>
          <w:tcPr>
            <w:tcW w:w="2621" w:type="pct"/>
            <w:vAlign w:val="center"/>
          </w:tcPr>
          <w:p w14:paraId="0D618EE1"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Methods (PROSPERO CRD420261405871)</w:t>
            </w:r>
          </w:p>
        </w:tc>
        <w:tc>
          <w:tcPr>
            <w:tcW w:w="400" w:type="pct"/>
            <w:vAlign w:val="center"/>
          </w:tcPr>
          <w:p w14:paraId="72B2FAD8"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6E9AE101" w14:textId="77777777" w:rsidTr="00E41A97">
        <w:trPr>
          <w:trHeight w:val="213"/>
        </w:trPr>
        <w:tc>
          <w:tcPr>
            <w:tcW w:w="250" w:type="pct"/>
            <w:vAlign w:val="center"/>
          </w:tcPr>
          <w:p w14:paraId="69EDF36C"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6</w:t>
            </w:r>
          </w:p>
        </w:tc>
        <w:tc>
          <w:tcPr>
            <w:tcW w:w="1729" w:type="pct"/>
            <w:vAlign w:val="center"/>
          </w:tcPr>
          <w:p w14:paraId="68A0784F"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Eligibility criteria</w:t>
            </w:r>
          </w:p>
        </w:tc>
        <w:tc>
          <w:tcPr>
            <w:tcW w:w="2621" w:type="pct"/>
            <w:vAlign w:val="center"/>
          </w:tcPr>
          <w:p w14:paraId="6F345520"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Methods — Scenario hierarchy and eligibility</w:t>
            </w:r>
          </w:p>
        </w:tc>
        <w:tc>
          <w:tcPr>
            <w:tcW w:w="400" w:type="pct"/>
            <w:vAlign w:val="center"/>
          </w:tcPr>
          <w:p w14:paraId="45B29214"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545117C4" w14:textId="77777777" w:rsidTr="00E41A97">
        <w:trPr>
          <w:trHeight w:val="213"/>
        </w:trPr>
        <w:tc>
          <w:tcPr>
            <w:tcW w:w="250" w:type="pct"/>
            <w:vAlign w:val="center"/>
          </w:tcPr>
          <w:p w14:paraId="46B6D81A"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7</w:t>
            </w:r>
          </w:p>
        </w:tc>
        <w:tc>
          <w:tcPr>
            <w:tcW w:w="1729" w:type="pct"/>
            <w:vAlign w:val="center"/>
          </w:tcPr>
          <w:p w14:paraId="6F8D3748"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Information sources</w:t>
            </w:r>
          </w:p>
        </w:tc>
        <w:tc>
          <w:tcPr>
            <w:tcW w:w="2621" w:type="pct"/>
            <w:vAlign w:val="center"/>
          </w:tcPr>
          <w:p w14:paraId="178EBD32"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Methods — Search and selection (5 databases)</w:t>
            </w:r>
          </w:p>
        </w:tc>
        <w:tc>
          <w:tcPr>
            <w:tcW w:w="400" w:type="pct"/>
            <w:vAlign w:val="center"/>
          </w:tcPr>
          <w:p w14:paraId="59FCDA57"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420D8184" w14:textId="77777777" w:rsidTr="00E41A97">
        <w:trPr>
          <w:trHeight w:val="213"/>
        </w:trPr>
        <w:tc>
          <w:tcPr>
            <w:tcW w:w="250" w:type="pct"/>
            <w:vAlign w:val="center"/>
          </w:tcPr>
          <w:p w14:paraId="4609A414"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8</w:t>
            </w:r>
          </w:p>
        </w:tc>
        <w:tc>
          <w:tcPr>
            <w:tcW w:w="1729" w:type="pct"/>
            <w:vAlign w:val="center"/>
          </w:tcPr>
          <w:p w14:paraId="7AE85FFD"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Search strategy</w:t>
            </w:r>
          </w:p>
        </w:tc>
        <w:tc>
          <w:tcPr>
            <w:tcW w:w="2621" w:type="pct"/>
            <w:vAlign w:val="center"/>
          </w:tcPr>
          <w:p w14:paraId="3FB76D1D"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Supplementary §S14 (search date 31 May 2026)</w:t>
            </w:r>
          </w:p>
        </w:tc>
        <w:tc>
          <w:tcPr>
            <w:tcW w:w="400" w:type="pct"/>
            <w:vAlign w:val="center"/>
          </w:tcPr>
          <w:p w14:paraId="7AE1C347"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6A7E82AD" w14:textId="77777777" w:rsidTr="00E41A97">
        <w:trPr>
          <w:trHeight w:val="213"/>
        </w:trPr>
        <w:tc>
          <w:tcPr>
            <w:tcW w:w="250" w:type="pct"/>
            <w:vAlign w:val="center"/>
          </w:tcPr>
          <w:p w14:paraId="1B2E6F36"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9</w:t>
            </w:r>
          </w:p>
        </w:tc>
        <w:tc>
          <w:tcPr>
            <w:tcW w:w="1729" w:type="pct"/>
            <w:vAlign w:val="center"/>
          </w:tcPr>
          <w:p w14:paraId="5F6D1E51"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Study selection process</w:t>
            </w:r>
          </w:p>
        </w:tc>
        <w:tc>
          <w:tcPr>
            <w:tcW w:w="2621" w:type="pct"/>
            <w:vAlign w:val="center"/>
          </w:tcPr>
          <w:p w14:paraId="7830F000"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Methods + Cohen's κ 0.835</w:t>
            </w:r>
          </w:p>
        </w:tc>
        <w:tc>
          <w:tcPr>
            <w:tcW w:w="400" w:type="pct"/>
            <w:vAlign w:val="center"/>
          </w:tcPr>
          <w:p w14:paraId="08742365"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2A7DA2EA" w14:textId="77777777" w:rsidTr="00E41A97">
        <w:trPr>
          <w:trHeight w:val="213"/>
        </w:trPr>
        <w:tc>
          <w:tcPr>
            <w:tcW w:w="250" w:type="pct"/>
            <w:vAlign w:val="center"/>
          </w:tcPr>
          <w:p w14:paraId="12680E67"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10</w:t>
            </w:r>
          </w:p>
        </w:tc>
        <w:tc>
          <w:tcPr>
            <w:tcW w:w="1729" w:type="pct"/>
            <w:vAlign w:val="center"/>
          </w:tcPr>
          <w:p w14:paraId="3CFD39F1"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Data collection process</w:t>
            </w:r>
          </w:p>
        </w:tc>
        <w:tc>
          <w:tcPr>
            <w:tcW w:w="2621" w:type="pct"/>
            <w:vAlign w:val="center"/>
          </w:tcPr>
          <w:p w14:paraId="59A4B90D"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Methods</w:t>
            </w:r>
          </w:p>
        </w:tc>
        <w:tc>
          <w:tcPr>
            <w:tcW w:w="400" w:type="pct"/>
            <w:vAlign w:val="center"/>
          </w:tcPr>
          <w:p w14:paraId="1F5C1425"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48FE559D" w14:textId="77777777" w:rsidTr="00E41A97">
        <w:trPr>
          <w:trHeight w:val="213"/>
        </w:trPr>
        <w:tc>
          <w:tcPr>
            <w:tcW w:w="250" w:type="pct"/>
            <w:vAlign w:val="center"/>
          </w:tcPr>
          <w:p w14:paraId="30DFABD2"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11</w:t>
            </w:r>
          </w:p>
        </w:tc>
        <w:tc>
          <w:tcPr>
            <w:tcW w:w="1729" w:type="pct"/>
            <w:vAlign w:val="center"/>
          </w:tcPr>
          <w:p w14:paraId="0FCF75B4"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Data items</w:t>
            </w:r>
          </w:p>
        </w:tc>
        <w:tc>
          <w:tcPr>
            <w:tcW w:w="2621" w:type="pct"/>
            <w:vAlign w:val="center"/>
          </w:tcPr>
          <w:p w14:paraId="24E328C6"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Methods + Supp S1 study characteristics</w:t>
            </w:r>
          </w:p>
        </w:tc>
        <w:tc>
          <w:tcPr>
            <w:tcW w:w="400" w:type="pct"/>
            <w:vAlign w:val="center"/>
          </w:tcPr>
          <w:p w14:paraId="399FF81D"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089083D9" w14:textId="77777777" w:rsidTr="00E41A97">
        <w:trPr>
          <w:trHeight w:val="213"/>
        </w:trPr>
        <w:tc>
          <w:tcPr>
            <w:tcW w:w="250" w:type="pct"/>
            <w:vAlign w:val="center"/>
          </w:tcPr>
          <w:p w14:paraId="60274325"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12</w:t>
            </w:r>
          </w:p>
        </w:tc>
        <w:tc>
          <w:tcPr>
            <w:tcW w:w="1729" w:type="pct"/>
            <w:vAlign w:val="center"/>
          </w:tcPr>
          <w:p w14:paraId="5D47DDD9"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Geometry of the network</w:t>
            </w:r>
          </w:p>
        </w:tc>
        <w:tc>
          <w:tcPr>
            <w:tcW w:w="2621" w:type="pct"/>
            <w:vAlign w:val="center"/>
          </w:tcPr>
          <w:p w14:paraId="2916ADE4"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Figure 2 + Supp S2 league table; S3 star-shape noted</w:t>
            </w:r>
          </w:p>
        </w:tc>
        <w:tc>
          <w:tcPr>
            <w:tcW w:w="400" w:type="pct"/>
            <w:vAlign w:val="center"/>
          </w:tcPr>
          <w:p w14:paraId="6619D86C"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6E9F1321" w14:textId="77777777" w:rsidTr="00E41A97">
        <w:trPr>
          <w:trHeight w:val="213"/>
        </w:trPr>
        <w:tc>
          <w:tcPr>
            <w:tcW w:w="250" w:type="pct"/>
            <w:vAlign w:val="center"/>
          </w:tcPr>
          <w:p w14:paraId="2B1EE2CA"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13</w:t>
            </w:r>
          </w:p>
        </w:tc>
        <w:tc>
          <w:tcPr>
            <w:tcW w:w="1729" w:type="pct"/>
            <w:vAlign w:val="center"/>
          </w:tcPr>
          <w:p w14:paraId="5AEF39BF"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Risk of bias in individual studies</w:t>
            </w:r>
          </w:p>
        </w:tc>
        <w:tc>
          <w:tcPr>
            <w:tcW w:w="2621" w:type="pct"/>
            <w:vAlign w:val="center"/>
          </w:tcPr>
          <w:p w14:paraId="2687307A"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Methods + Supp S4 PROBAST (LOW 5/MODERATE 16/HIGH 5)</w:t>
            </w:r>
          </w:p>
        </w:tc>
        <w:tc>
          <w:tcPr>
            <w:tcW w:w="400" w:type="pct"/>
            <w:vAlign w:val="center"/>
          </w:tcPr>
          <w:p w14:paraId="2B5B74DD"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73B9C256" w14:textId="77777777" w:rsidTr="00E41A97">
        <w:trPr>
          <w:trHeight w:val="213"/>
        </w:trPr>
        <w:tc>
          <w:tcPr>
            <w:tcW w:w="250" w:type="pct"/>
            <w:vAlign w:val="center"/>
          </w:tcPr>
          <w:p w14:paraId="67ADD8D0"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14</w:t>
            </w:r>
          </w:p>
        </w:tc>
        <w:tc>
          <w:tcPr>
            <w:tcW w:w="1729" w:type="pct"/>
            <w:vAlign w:val="center"/>
          </w:tcPr>
          <w:p w14:paraId="13639F46"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Summary measures</w:t>
            </w:r>
          </w:p>
        </w:tc>
        <w:tc>
          <w:tcPr>
            <w:tcW w:w="2621" w:type="pct"/>
            <w:vAlign w:val="center"/>
          </w:tcPr>
          <w:p w14:paraId="6FE1EFA2"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Methods — Statistical synthesis (ΔAUROC + 95% CI)</w:t>
            </w:r>
          </w:p>
        </w:tc>
        <w:tc>
          <w:tcPr>
            <w:tcW w:w="400" w:type="pct"/>
            <w:vAlign w:val="center"/>
          </w:tcPr>
          <w:p w14:paraId="49B30453"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6FA689CD" w14:textId="77777777" w:rsidTr="00E41A97">
        <w:trPr>
          <w:trHeight w:val="213"/>
        </w:trPr>
        <w:tc>
          <w:tcPr>
            <w:tcW w:w="250" w:type="pct"/>
            <w:vAlign w:val="center"/>
          </w:tcPr>
          <w:p w14:paraId="38614372"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15</w:t>
            </w:r>
          </w:p>
        </w:tc>
        <w:tc>
          <w:tcPr>
            <w:tcW w:w="1729" w:type="pct"/>
            <w:vAlign w:val="center"/>
          </w:tcPr>
          <w:p w14:paraId="06653CF7"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Planned methods of analysis</w:t>
            </w:r>
          </w:p>
        </w:tc>
        <w:tc>
          <w:tcPr>
            <w:tcW w:w="2621" w:type="pct"/>
            <w:vAlign w:val="center"/>
          </w:tcPr>
          <w:p w14:paraId="74E08D52"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Methods — Statistical synthesis</w:t>
            </w:r>
          </w:p>
        </w:tc>
        <w:tc>
          <w:tcPr>
            <w:tcW w:w="400" w:type="pct"/>
            <w:vAlign w:val="center"/>
          </w:tcPr>
          <w:p w14:paraId="659A6877"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2E02BF48" w14:textId="77777777" w:rsidTr="00E41A97">
        <w:trPr>
          <w:trHeight w:val="213"/>
        </w:trPr>
        <w:tc>
          <w:tcPr>
            <w:tcW w:w="250" w:type="pct"/>
            <w:vAlign w:val="center"/>
          </w:tcPr>
          <w:p w14:paraId="63015EE1"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16</w:t>
            </w:r>
          </w:p>
        </w:tc>
        <w:tc>
          <w:tcPr>
            <w:tcW w:w="1729" w:type="pct"/>
            <w:vAlign w:val="center"/>
          </w:tcPr>
          <w:p w14:paraId="46A1BCAC"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Assessment of inconsistency</w:t>
            </w:r>
          </w:p>
        </w:tc>
        <w:tc>
          <w:tcPr>
            <w:tcW w:w="2621" w:type="pct"/>
            <w:vAlign w:val="center"/>
          </w:tcPr>
          <w:p w14:paraId="45CFF1A5"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Methods + Supp S9 node-splitting (S2 only — S3 no closed loop)</w:t>
            </w:r>
          </w:p>
        </w:tc>
        <w:tc>
          <w:tcPr>
            <w:tcW w:w="400" w:type="pct"/>
            <w:vAlign w:val="center"/>
          </w:tcPr>
          <w:p w14:paraId="557614A4"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03C522C2" w14:textId="77777777" w:rsidTr="00E41A97">
        <w:trPr>
          <w:trHeight w:val="213"/>
        </w:trPr>
        <w:tc>
          <w:tcPr>
            <w:tcW w:w="250" w:type="pct"/>
            <w:vAlign w:val="center"/>
          </w:tcPr>
          <w:p w14:paraId="3A70EF9E"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17</w:t>
            </w:r>
          </w:p>
        </w:tc>
        <w:tc>
          <w:tcPr>
            <w:tcW w:w="1729" w:type="pct"/>
            <w:vAlign w:val="center"/>
          </w:tcPr>
          <w:p w14:paraId="19A55EA9"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Risk of bias across studies (publication bias)</w:t>
            </w:r>
          </w:p>
        </w:tc>
        <w:tc>
          <w:tcPr>
            <w:tcW w:w="2621" w:type="pct"/>
            <w:vAlign w:val="center"/>
          </w:tcPr>
          <w:p w14:paraId="782D4033"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Methods — 'not formally assessed; conservatively downgraded'</w:t>
            </w:r>
          </w:p>
        </w:tc>
        <w:tc>
          <w:tcPr>
            <w:tcW w:w="400" w:type="pct"/>
            <w:vAlign w:val="center"/>
          </w:tcPr>
          <w:p w14:paraId="7B04D750"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796ACA3A" w14:textId="77777777" w:rsidTr="00E41A97">
        <w:trPr>
          <w:trHeight w:val="213"/>
        </w:trPr>
        <w:tc>
          <w:tcPr>
            <w:tcW w:w="250" w:type="pct"/>
            <w:vAlign w:val="center"/>
          </w:tcPr>
          <w:p w14:paraId="3CD32858"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18</w:t>
            </w:r>
          </w:p>
        </w:tc>
        <w:tc>
          <w:tcPr>
            <w:tcW w:w="1729" w:type="pct"/>
            <w:vAlign w:val="center"/>
          </w:tcPr>
          <w:p w14:paraId="0BBF96D5"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Additional analyses (subgroups, meta-regression, sensitivity)</w:t>
            </w:r>
          </w:p>
        </w:tc>
        <w:tc>
          <w:tcPr>
            <w:tcW w:w="2621" w:type="pct"/>
            <w:vAlign w:val="center"/>
          </w:tcPr>
          <w:p w14:paraId="500A1B35"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Table 3 + Supplementary S8</w:t>
            </w:r>
          </w:p>
        </w:tc>
        <w:tc>
          <w:tcPr>
            <w:tcW w:w="400" w:type="pct"/>
            <w:vAlign w:val="center"/>
          </w:tcPr>
          <w:p w14:paraId="2EC29214"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1D6BE478" w14:textId="77777777" w:rsidTr="00E41A97">
        <w:trPr>
          <w:trHeight w:val="213"/>
        </w:trPr>
        <w:tc>
          <w:tcPr>
            <w:tcW w:w="250" w:type="pct"/>
            <w:vAlign w:val="center"/>
          </w:tcPr>
          <w:p w14:paraId="10DCFF6B"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19</w:t>
            </w:r>
          </w:p>
        </w:tc>
        <w:tc>
          <w:tcPr>
            <w:tcW w:w="1729" w:type="pct"/>
            <w:vAlign w:val="center"/>
          </w:tcPr>
          <w:p w14:paraId="093F7887"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Study selection results</w:t>
            </w:r>
          </w:p>
        </w:tc>
        <w:tc>
          <w:tcPr>
            <w:tcW w:w="2621" w:type="pct"/>
            <w:vAlign w:val="center"/>
          </w:tcPr>
          <w:p w14:paraId="62FF7F8C"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Results — Study selection + Figure 1 PRISMA</w:t>
            </w:r>
          </w:p>
        </w:tc>
        <w:tc>
          <w:tcPr>
            <w:tcW w:w="400" w:type="pct"/>
            <w:vAlign w:val="center"/>
          </w:tcPr>
          <w:p w14:paraId="7ECD1A03"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1E376F78" w14:textId="77777777" w:rsidTr="00E41A97">
        <w:trPr>
          <w:trHeight w:val="213"/>
        </w:trPr>
        <w:tc>
          <w:tcPr>
            <w:tcW w:w="250" w:type="pct"/>
            <w:vAlign w:val="center"/>
          </w:tcPr>
          <w:p w14:paraId="4F28A157"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20</w:t>
            </w:r>
          </w:p>
        </w:tc>
        <w:tc>
          <w:tcPr>
            <w:tcW w:w="1729" w:type="pct"/>
            <w:vAlign w:val="center"/>
          </w:tcPr>
          <w:p w14:paraId="64C266F6"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Presentation of network structure</w:t>
            </w:r>
          </w:p>
        </w:tc>
        <w:tc>
          <w:tcPr>
            <w:tcW w:w="2621" w:type="pct"/>
            <w:vAlign w:val="center"/>
          </w:tcPr>
          <w:p w14:paraId="10F4DBD6"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Figure 2 + Supp S2</w:t>
            </w:r>
          </w:p>
        </w:tc>
        <w:tc>
          <w:tcPr>
            <w:tcW w:w="400" w:type="pct"/>
            <w:vAlign w:val="center"/>
          </w:tcPr>
          <w:p w14:paraId="1CA26CDF"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6ADDB487" w14:textId="77777777" w:rsidTr="00E41A97">
        <w:trPr>
          <w:trHeight w:val="213"/>
        </w:trPr>
        <w:tc>
          <w:tcPr>
            <w:tcW w:w="250" w:type="pct"/>
            <w:vAlign w:val="center"/>
          </w:tcPr>
          <w:p w14:paraId="4FBC1ADF"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21</w:t>
            </w:r>
          </w:p>
        </w:tc>
        <w:tc>
          <w:tcPr>
            <w:tcW w:w="1729" w:type="pct"/>
            <w:vAlign w:val="center"/>
          </w:tcPr>
          <w:p w14:paraId="7E5FB367"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Summary of network geometry</w:t>
            </w:r>
          </w:p>
        </w:tc>
        <w:tc>
          <w:tcPr>
            <w:tcW w:w="2621" w:type="pct"/>
            <w:vAlign w:val="center"/>
          </w:tcPr>
          <w:p w14:paraId="387260D1"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Results — Network structure and comparator balance</w:t>
            </w:r>
          </w:p>
        </w:tc>
        <w:tc>
          <w:tcPr>
            <w:tcW w:w="400" w:type="pct"/>
            <w:vAlign w:val="center"/>
          </w:tcPr>
          <w:p w14:paraId="16F90912"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44E9B907" w14:textId="77777777" w:rsidTr="00E41A97">
        <w:trPr>
          <w:trHeight w:val="213"/>
        </w:trPr>
        <w:tc>
          <w:tcPr>
            <w:tcW w:w="250" w:type="pct"/>
            <w:vAlign w:val="center"/>
          </w:tcPr>
          <w:p w14:paraId="566399B3"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22</w:t>
            </w:r>
          </w:p>
        </w:tc>
        <w:tc>
          <w:tcPr>
            <w:tcW w:w="1729" w:type="pct"/>
            <w:vAlign w:val="center"/>
          </w:tcPr>
          <w:p w14:paraId="460C4F34"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Study characteristics</w:t>
            </w:r>
          </w:p>
        </w:tc>
        <w:tc>
          <w:tcPr>
            <w:tcW w:w="2621" w:type="pct"/>
            <w:vAlign w:val="center"/>
          </w:tcPr>
          <w:p w14:paraId="61475C4C"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Supp S1</w:t>
            </w:r>
          </w:p>
        </w:tc>
        <w:tc>
          <w:tcPr>
            <w:tcW w:w="400" w:type="pct"/>
            <w:vAlign w:val="center"/>
          </w:tcPr>
          <w:p w14:paraId="09ACCAB8"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0C19490F" w14:textId="77777777" w:rsidTr="00E41A97">
        <w:trPr>
          <w:trHeight w:val="213"/>
        </w:trPr>
        <w:tc>
          <w:tcPr>
            <w:tcW w:w="250" w:type="pct"/>
            <w:vAlign w:val="center"/>
          </w:tcPr>
          <w:p w14:paraId="556C269F"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23</w:t>
            </w:r>
          </w:p>
        </w:tc>
        <w:tc>
          <w:tcPr>
            <w:tcW w:w="1729" w:type="pct"/>
            <w:vAlign w:val="center"/>
          </w:tcPr>
          <w:p w14:paraId="31127CE0"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Risk of bias within studies</w:t>
            </w:r>
          </w:p>
        </w:tc>
        <w:tc>
          <w:tcPr>
            <w:tcW w:w="2621" w:type="pct"/>
            <w:vAlign w:val="center"/>
          </w:tcPr>
          <w:p w14:paraId="2D4D726C"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Supp S4 + Supp S5</w:t>
            </w:r>
          </w:p>
        </w:tc>
        <w:tc>
          <w:tcPr>
            <w:tcW w:w="400" w:type="pct"/>
            <w:vAlign w:val="center"/>
          </w:tcPr>
          <w:p w14:paraId="0F2B52EF"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1FA9B2D7" w14:textId="77777777" w:rsidTr="00E41A97">
        <w:trPr>
          <w:trHeight w:val="213"/>
        </w:trPr>
        <w:tc>
          <w:tcPr>
            <w:tcW w:w="250" w:type="pct"/>
            <w:vAlign w:val="center"/>
          </w:tcPr>
          <w:p w14:paraId="41147AB3"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24</w:t>
            </w:r>
          </w:p>
        </w:tc>
        <w:tc>
          <w:tcPr>
            <w:tcW w:w="1729" w:type="pct"/>
            <w:vAlign w:val="center"/>
          </w:tcPr>
          <w:p w14:paraId="49B3EBFC"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Results of individual studies</w:t>
            </w:r>
          </w:p>
        </w:tc>
        <w:tc>
          <w:tcPr>
            <w:tcW w:w="2621" w:type="pct"/>
            <w:vAlign w:val="center"/>
          </w:tcPr>
          <w:p w14:paraId="1670FCEA"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Supp S1 + Supp S2</w:t>
            </w:r>
          </w:p>
        </w:tc>
        <w:tc>
          <w:tcPr>
            <w:tcW w:w="400" w:type="pct"/>
            <w:vAlign w:val="center"/>
          </w:tcPr>
          <w:p w14:paraId="07A352BC"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290528FE" w14:textId="77777777" w:rsidTr="00E41A97">
        <w:trPr>
          <w:trHeight w:val="213"/>
        </w:trPr>
        <w:tc>
          <w:tcPr>
            <w:tcW w:w="250" w:type="pct"/>
            <w:vAlign w:val="center"/>
          </w:tcPr>
          <w:p w14:paraId="4C3EB2F4"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25</w:t>
            </w:r>
          </w:p>
        </w:tc>
        <w:tc>
          <w:tcPr>
            <w:tcW w:w="1729" w:type="pct"/>
            <w:vAlign w:val="center"/>
          </w:tcPr>
          <w:p w14:paraId="1C64141C"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Synthesis of results</w:t>
            </w:r>
          </w:p>
        </w:tc>
        <w:tc>
          <w:tcPr>
            <w:tcW w:w="2621" w:type="pct"/>
            <w:vAlign w:val="center"/>
          </w:tcPr>
          <w:p w14:paraId="46642501"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Results + Table 3 + Figure 3 (S3 caveat embedded)</w:t>
            </w:r>
          </w:p>
        </w:tc>
        <w:tc>
          <w:tcPr>
            <w:tcW w:w="400" w:type="pct"/>
            <w:vAlign w:val="center"/>
          </w:tcPr>
          <w:p w14:paraId="0AEC5F00"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4435F0CB" w14:textId="77777777" w:rsidTr="00E41A97">
        <w:trPr>
          <w:trHeight w:val="213"/>
        </w:trPr>
        <w:tc>
          <w:tcPr>
            <w:tcW w:w="250" w:type="pct"/>
            <w:vAlign w:val="center"/>
          </w:tcPr>
          <w:p w14:paraId="46024F45"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26</w:t>
            </w:r>
          </w:p>
        </w:tc>
        <w:tc>
          <w:tcPr>
            <w:tcW w:w="1729" w:type="pct"/>
            <w:vAlign w:val="center"/>
          </w:tcPr>
          <w:p w14:paraId="61A7F057"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Exploration for inconsistency</w:t>
            </w:r>
          </w:p>
        </w:tc>
        <w:tc>
          <w:tcPr>
            <w:tcW w:w="2621" w:type="pct"/>
            <w:vAlign w:val="center"/>
          </w:tcPr>
          <w:p w14:paraId="02BC377D"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Supp S9</w:t>
            </w:r>
          </w:p>
        </w:tc>
        <w:tc>
          <w:tcPr>
            <w:tcW w:w="400" w:type="pct"/>
            <w:vAlign w:val="center"/>
          </w:tcPr>
          <w:p w14:paraId="09A96FE2"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41A3690E" w14:textId="77777777" w:rsidTr="00E41A97">
        <w:trPr>
          <w:trHeight w:val="213"/>
        </w:trPr>
        <w:tc>
          <w:tcPr>
            <w:tcW w:w="250" w:type="pct"/>
            <w:vAlign w:val="center"/>
          </w:tcPr>
          <w:p w14:paraId="64637559"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27</w:t>
            </w:r>
          </w:p>
        </w:tc>
        <w:tc>
          <w:tcPr>
            <w:tcW w:w="1729" w:type="pct"/>
            <w:vAlign w:val="center"/>
          </w:tcPr>
          <w:p w14:paraId="5699D18A"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Risk of bias across studies</w:t>
            </w:r>
          </w:p>
        </w:tc>
        <w:tc>
          <w:tcPr>
            <w:tcW w:w="2621" w:type="pct"/>
            <w:vAlign w:val="center"/>
          </w:tcPr>
          <w:p w14:paraId="66087EC9"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Methods + GRADE reporting bias</w:t>
            </w:r>
          </w:p>
        </w:tc>
        <w:tc>
          <w:tcPr>
            <w:tcW w:w="400" w:type="pct"/>
            <w:vAlign w:val="center"/>
          </w:tcPr>
          <w:p w14:paraId="6EF4D52F"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1B4019C3" w14:textId="77777777" w:rsidTr="00E41A97">
        <w:trPr>
          <w:trHeight w:val="213"/>
        </w:trPr>
        <w:tc>
          <w:tcPr>
            <w:tcW w:w="250" w:type="pct"/>
            <w:vAlign w:val="center"/>
          </w:tcPr>
          <w:p w14:paraId="35021707"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28</w:t>
            </w:r>
          </w:p>
        </w:tc>
        <w:tc>
          <w:tcPr>
            <w:tcW w:w="1729" w:type="pct"/>
            <w:vAlign w:val="center"/>
          </w:tcPr>
          <w:p w14:paraId="2C3A3253"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Results of additional analyses</w:t>
            </w:r>
          </w:p>
        </w:tc>
        <w:tc>
          <w:tcPr>
            <w:tcW w:w="2621" w:type="pct"/>
            <w:vAlign w:val="center"/>
          </w:tcPr>
          <w:p w14:paraId="4FA95844"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Table 3 + Supplementary S8 + Supplementary S10</w:t>
            </w:r>
          </w:p>
        </w:tc>
        <w:tc>
          <w:tcPr>
            <w:tcW w:w="400" w:type="pct"/>
            <w:vAlign w:val="center"/>
          </w:tcPr>
          <w:p w14:paraId="2EAC18CC"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5DFA25B1" w14:textId="77777777" w:rsidTr="00E41A97">
        <w:trPr>
          <w:trHeight w:val="213"/>
        </w:trPr>
        <w:tc>
          <w:tcPr>
            <w:tcW w:w="250" w:type="pct"/>
            <w:vAlign w:val="center"/>
          </w:tcPr>
          <w:p w14:paraId="0529048B"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29</w:t>
            </w:r>
          </w:p>
        </w:tc>
        <w:tc>
          <w:tcPr>
            <w:tcW w:w="1729" w:type="pct"/>
            <w:vAlign w:val="center"/>
          </w:tcPr>
          <w:p w14:paraId="119FEC8A"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Summary of evidence (per comparison certainty)</w:t>
            </w:r>
          </w:p>
        </w:tc>
        <w:tc>
          <w:tcPr>
            <w:tcW w:w="2621" w:type="pct"/>
            <w:vAlign w:val="center"/>
          </w:tcPr>
          <w:p w14:paraId="3F422BC5"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Table 3 + Figure 4 + Supplementary S3</w:t>
            </w:r>
          </w:p>
        </w:tc>
        <w:tc>
          <w:tcPr>
            <w:tcW w:w="400" w:type="pct"/>
            <w:vAlign w:val="center"/>
          </w:tcPr>
          <w:p w14:paraId="689602E6"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261269AC" w14:textId="77777777" w:rsidTr="00E41A97">
        <w:trPr>
          <w:trHeight w:val="213"/>
        </w:trPr>
        <w:tc>
          <w:tcPr>
            <w:tcW w:w="250" w:type="pct"/>
            <w:vAlign w:val="center"/>
          </w:tcPr>
          <w:p w14:paraId="6084E5F8"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30</w:t>
            </w:r>
          </w:p>
        </w:tc>
        <w:tc>
          <w:tcPr>
            <w:tcW w:w="1729" w:type="pct"/>
            <w:vAlign w:val="center"/>
          </w:tcPr>
          <w:p w14:paraId="65773FCC"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Limitations</w:t>
            </w:r>
          </w:p>
        </w:tc>
        <w:tc>
          <w:tcPr>
            <w:tcW w:w="2621" w:type="pct"/>
            <w:vAlign w:val="center"/>
          </w:tcPr>
          <w:p w14:paraId="2AD753BF"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Discussion ¶6 — Limitations (includes CRS exploratory caveat)</w:t>
            </w:r>
          </w:p>
        </w:tc>
        <w:tc>
          <w:tcPr>
            <w:tcW w:w="400" w:type="pct"/>
            <w:vAlign w:val="center"/>
          </w:tcPr>
          <w:p w14:paraId="21B489AD"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7761F66B" w14:textId="77777777" w:rsidTr="00E41A97">
        <w:trPr>
          <w:trHeight w:val="213"/>
        </w:trPr>
        <w:tc>
          <w:tcPr>
            <w:tcW w:w="250" w:type="pct"/>
            <w:tcBorders>
              <w:bottom w:val="single" w:sz="4" w:space="0" w:color="BFBFBF" w:themeColor="background1" w:themeShade="BF"/>
            </w:tcBorders>
            <w:vAlign w:val="center"/>
          </w:tcPr>
          <w:p w14:paraId="2B6CAB53"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31</w:t>
            </w:r>
          </w:p>
        </w:tc>
        <w:tc>
          <w:tcPr>
            <w:tcW w:w="1729" w:type="pct"/>
            <w:tcBorders>
              <w:bottom w:val="single" w:sz="4" w:space="0" w:color="BFBFBF" w:themeColor="background1" w:themeShade="BF"/>
            </w:tcBorders>
            <w:vAlign w:val="center"/>
          </w:tcPr>
          <w:p w14:paraId="02F55FB4"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Conclusions</w:t>
            </w:r>
          </w:p>
        </w:tc>
        <w:tc>
          <w:tcPr>
            <w:tcW w:w="2621" w:type="pct"/>
            <w:tcBorders>
              <w:bottom w:val="single" w:sz="4" w:space="0" w:color="BFBFBF" w:themeColor="background1" w:themeShade="BF"/>
            </w:tcBorders>
            <w:vAlign w:val="center"/>
          </w:tcPr>
          <w:p w14:paraId="1A6539FC"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Conclusion section (reviewer §20 calibrated adoption)</w:t>
            </w:r>
          </w:p>
        </w:tc>
        <w:tc>
          <w:tcPr>
            <w:tcW w:w="400" w:type="pct"/>
            <w:tcBorders>
              <w:bottom w:val="single" w:sz="4" w:space="0" w:color="BFBFBF" w:themeColor="background1" w:themeShade="BF"/>
            </w:tcBorders>
            <w:vAlign w:val="center"/>
          </w:tcPr>
          <w:p w14:paraId="386E37DD"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r w:rsidR="004B2C8C" w:rsidRPr="004205E6" w14:paraId="2981A9EC" w14:textId="77777777" w:rsidTr="00E41A97">
        <w:trPr>
          <w:trHeight w:val="213"/>
        </w:trPr>
        <w:tc>
          <w:tcPr>
            <w:tcW w:w="250" w:type="pct"/>
            <w:tcBorders>
              <w:bottom w:val="single" w:sz="12" w:space="0" w:color="auto"/>
            </w:tcBorders>
            <w:vAlign w:val="center"/>
          </w:tcPr>
          <w:p w14:paraId="04375E9C"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32</w:t>
            </w:r>
          </w:p>
        </w:tc>
        <w:tc>
          <w:tcPr>
            <w:tcW w:w="1729" w:type="pct"/>
            <w:tcBorders>
              <w:bottom w:val="single" w:sz="12" w:space="0" w:color="auto"/>
            </w:tcBorders>
            <w:vAlign w:val="center"/>
          </w:tcPr>
          <w:p w14:paraId="5B354456"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Funding</w:t>
            </w:r>
          </w:p>
        </w:tc>
        <w:tc>
          <w:tcPr>
            <w:tcW w:w="2621" w:type="pct"/>
            <w:tcBorders>
              <w:bottom w:val="single" w:sz="12" w:space="0" w:color="auto"/>
            </w:tcBorders>
            <w:vAlign w:val="center"/>
          </w:tcPr>
          <w:p w14:paraId="258B83E4" w14:textId="77777777" w:rsidR="004B2C8C" w:rsidRPr="004205E6" w:rsidRDefault="00000000" w:rsidP="00E41A97">
            <w:pPr>
              <w:jc w:val="both"/>
              <w:rPr>
                <w:rFonts w:ascii="Arial" w:hAnsi="Arial" w:cs="Arial"/>
                <w:color w:val="000000" w:themeColor="text1"/>
              </w:rPr>
            </w:pPr>
            <w:r w:rsidRPr="004205E6">
              <w:rPr>
                <w:rFonts w:ascii="Arial" w:hAnsi="Arial" w:cs="Arial"/>
                <w:color w:val="000000" w:themeColor="text1"/>
                <w:sz w:val="16"/>
                <w:szCs w:val="16"/>
              </w:rPr>
              <w:t>Title page (KNIH RS-2024-00437038)</w:t>
            </w:r>
          </w:p>
        </w:tc>
        <w:tc>
          <w:tcPr>
            <w:tcW w:w="400" w:type="pct"/>
            <w:tcBorders>
              <w:bottom w:val="single" w:sz="12" w:space="0" w:color="auto"/>
            </w:tcBorders>
            <w:vAlign w:val="center"/>
          </w:tcPr>
          <w:p w14:paraId="744F83D6" w14:textId="77777777" w:rsidR="004B2C8C" w:rsidRPr="004205E6" w:rsidRDefault="00000000" w:rsidP="00E41A97">
            <w:pPr>
              <w:jc w:val="both"/>
              <w:rPr>
                <w:rFonts w:ascii="Arial" w:hAnsi="Arial" w:cs="Arial"/>
                <w:color w:val="000000" w:themeColor="text1"/>
              </w:rPr>
            </w:pPr>
            <w:r w:rsidRPr="004205E6">
              <w:rPr>
                <w:rFonts w:ascii="Segoe UI Symbol" w:hAnsi="Segoe UI Symbol" w:cs="Segoe UI Symbol"/>
                <w:color w:val="000000" w:themeColor="text1"/>
                <w:sz w:val="16"/>
                <w:szCs w:val="16"/>
              </w:rPr>
              <w:t>✓</w:t>
            </w:r>
          </w:p>
        </w:tc>
      </w:tr>
    </w:tbl>
    <w:p w14:paraId="6E607BE7" w14:textId="77777777" w:rsidR="004B2C8C" w:rsidRPr="004205E6" w:rsidRDefault="00000000">
      <w:pPr>
        <w:spacing w:before="80" w:after="80"/>
        <w:rPr>
          <w:rFonts w:ascii="Arial" w:hAnsi="Arial" w:cs="Arial"/>
          <w:color w:val="000000" w:themeColor="text1"/>
        </w:rPr>
      </w:pPr>
      <w:r w:rsidRPr="004205E6">
        <w:rPr>
          <w:rFonts w:ascii="Arial" w:hAnsi="Arial" w:cs="Arial"/>
          <w:i/>
          <w:iCs/>
          <w:color w:val="000000" w:themeColor="text1"/>
          <w:sz w:val="14"/>
          <w:szCs w:val="14"/>
        </w:rPr>
        <w:t xml:space="preserve">Item-by-item compliance with the PRISMA extension for Network Meta-Analyses (PRISMA-NMA 2015; Hutton et al., Ann Intern Med 2015). </w:t>
      </w:r>
      <w:r w:rsidRPr="004205E6">
        <w:rPr>
          <w:rFonts w:ascii="Segoe UI Symbol" w:hAnsi="Segoe UI Symbol" w:cs="Segoe UI Symbol"/>
          <w:i/>
          <w:iCs/>
          <w:color w:val="000000" w:themeColor="text1"/>
          <w:sz w:val="14"/>
          <w:szCs w:val="14"/>
        </w:rPr>
        <w:t>✓</w:t>
      </w:r>
      <w:r w:rsidRPr="004205E6">
        <w:rPr>
          <w:rFonts w:ascii="Arial" w:hAnsi="Arial" w:cs="Arial"/>
          <w:i/>
          <w:iCs/>
          <w:color w:val="000000" w:themeColor="text1"/>
          <w:sz w:val="14"/>
          <w:szCs w:val="14"/>
        </w:rPr>
        <w:t xml:space="preserve"> = item reported as required; </w:t>
      </w:r>
      <w:r w:rsidRPr="004205E6">
        <w:rPr>
          <w:rFonts w:ascii="Cambria Math" w:hAnsi="Cambria Math" w:cs="Cambria Math"/>
          <w:i/>
          <w:iCs/>
          <w:color w:val="000000" w:themeColor="text1"/>
          <w:sz w:val="14"/>
          <w:szCs w:val="14"/>
        </w:rPr>
        <w:t>◐</w:t>
      </w:r>
      <w:r w:rsidRPr="004205E6">
        <w:rPr>
          <w:rFonts w:ascii="Arial" w:hAnsi="Arial" w:cs="Arial"/>
          <w:i/>
          <w:iCs/>
          <w:color w:val="000000" w:themeColor="text1"/>
          <w:sz w:val="14"/>
          <w:szCs w:val="14"/>
        </w:rPr>
        <w:t xml:space="preserve"> = item partially reported with caveats; </w:t>
      </w:r>
      <w:r w:rsidRPr="004205E6">
        <w:rPr>
          <w:rFonts w:ascii="Segoe UI Symbol" w:hAnsi="Segoe UI Symbol" w:cs="Segoe UI Symbol"/>
          <w:i/>
          <w:iCs/>
          <w:color w:val="000000" w:themeColor="text1"/>
          <w:sz w:val="14"/>
          <w:szCs w:val="14"/>
        </w:rPr>
        <w:t>✗</w:t>
      </w:r>
      <w:r w:rsidRPr="004205E6">
        <w:rPr>
          <w:rFonts w:ascii="Arial" w:hAnsi="Arial" w:cs="Arial"/>
          <w:i/>
          <w:iCs/>
          <w:color w:val="000000" w:themeColor="text1"/>
          <w:sz w:val="14"/>
          <w:szCs w:val="14"/>
        </w:rPr>
        <w:t xml:space="preserve"> = item not reported.</w:t>
      </w:r>
    </w:p>
    <w:p w14:paraId="067E3D77" w14:textId="77777777" w:rsidR="004B2C8C" w:rsidRPr="004205E6" w:rsidRDefault="00000000">
      <w:pPr>
        <w:rPr>
          <w:rFonts w:ascii="Arial" w:hAnsi="Arial" w:cs="Arial"/>
          <w:color w:val="000000" w:themeColor="text1"/>
        </w:rPr>
      </w:pPr>
      <w:r w:rsidRPr="004205E6">
        <w:rPr>
          <w:rFonts w:ascii="Arial" w:hAnsi="Arial" w:cs="Arial"/>
          <w:color w:val="000000" w:themeColor="text1"/>
        </w:rPr>
        <w:br w:type="page"/>
      </w:r>
    </w:p>
    <w:p w14:paraId="3408AB1D" w14:textId="77777777" w:rsidR="004B2C8C" w:rsidRPr="004205E6" w:rsidRDefault="00000000">
      <w:pPr>
        <w:pStyle w:val="2"/>
        <w:spacing w:before="280" w:after="140"/>
        <w:rPr>
          <w:rFonts w:ascii="Arial" w:hAnsi="Arial" w:cs="Arial"/>
          <w:color w:val="000000" w:themeColor="text1"/>
          <w:sz w:val="24"/>
          <w:szCs w:val="24"/>
        </w:rPr>
      </w:pPr>
      <w:r w:rsidRPr="004205E6">
        <w:rPr>
          <w:rFonts w:ascii="Arial" w:hAnsi="Arial" w:cs="Arial"/>
          <w:b/>
          <w:bCs/>
          <w:color w:val="000000" w:themeColor="text1"/>
          <w:sz w:val="24"/>
          <w:szCs w:val="24"/>
        </w:rPr>
        <w:lastRenderedPageBreak/>
        <w:t>Supplementary Methods §S14. Database-Specific Search Strategies</w:t>
      </w:r>
    </w:p>
    <w:p w14:paraId="4B9949CE" w14:textId="77777777" w:rsidR="004B2C8C" w:rsidRPr="004205E6" w:rsidRDefault="00000000">
      <w:pPr>
        <w:spacing w:before="80" w:after="80"/>
        <w:rPr>
          <w:rFonts w:ascii="Arial" w:hAnsi="Arial" w:cs="Arial"/>
          <w:color w:val="000000" w:themeColor="text1"/>
        </w:rPr>
      </w:pPr>
      <w:r w:rsidRPr="004205E6">
        <w:rPr>
          <w:rFonts w:ascii="Arial" w:hAnsi="Arial" w:cs="Arial"/>
          <w:color w:val="000000" w:themeColor="text1"/>
        </w:rPr>
        <w:t>Search strategies are provided as copy-paste ready Boolean strings with database-specific syntax, date ranges, and field tags. Searches were run on 2024-06-15 and updated on 10 June 2026.</w:t>
      </w:r>
    </w:p>
    <w:p w14:paraId="52B14E9C" w14:textId="77777777" w:rsidR="004B2C8C" w:rsidRPr="004205E6" w:rsidRDefault="00000000">
      <w:pPr>
        <w:pStyle w:val="3"/>
        <w:spacing w:before="280" w:after="140"/>
        <w:rPr>
          <w:rFonts w:ascii="Arial" w:hAnsi="Arial" w:cs="Arial"/>
          <w:color w:val="000000" w:themeColor="text1"/>
        </w:rPr>
      </w:pPr>
      <w:r w:rsidRPr="004205E6">
        <w:rPr>
          <w:rFonts w:ascii="Arial" w:hAnsi="Arial" w:cs="Arial"/>
          <w:b/>
          <w:bCs/>
          <w:color w:val="000000" w:themeColor="text1"/>
        </w:rPr>
        <w:t>S14.1 PubMed/MEDLINE (via NCBI E-Utilities)</w:t>
      </w:r>
    </w:p>
    <w:p w14:paraId="77218A4A" w14:textId="77777777" w:rsidR="004B2C8C" w:rsidRPr="004205E6" w:rsidRDefault="00000000">
      <w:pPr>
        <w:spacing w:before="80" w:after="80"/>
        <w:rPr>
          <w:rFonts w:ascii="Arial" w:hAnsi="Arial" w:cs="Arial"/>
          <w:color w:val="000000" w:themeColor="text1"/>
        </w:rPr>
      </w:pPr>
      <w:r w:rsidRPr="004205E6">
        <w:rPr>
          <w:rFonts w:ascii="Arial" w:eastAsia="Consolas" w:hAnsi="Arial" w:cs="Arial"/>
          <w:color w:val="000000" w:themeColor="text1"/>
          <w:sz w:val="16"/>
          <w:szCs w:val="16"/>
        </w:rPr>
        <w:t>("upper gastrointestinal hemorrhage"[MeSH] OR "upper gastrointestinal bleeding"[Title/Abstract] OR "non-variceal"[Title/Abstract] OR "NVUGIB"[Title/Abstract] OR "AUGIB"[Title/Abstract]) AND ("machine learning"[MeSH] OR "artificial intelligence"[MeSH] OR "deep learning"[Title/Abstract] OR "neural network*"[Title/Abstract] OR "random forest"[Title/Abstract] OR "XGBoost"[Title/Abstract] OR "gradient boost*"[Title/Abstract] OR "ensemble model"[Title/Abstract] OR "Glasgow-Blatchford"[Title/Abstract] OR "AIMS65"[Title/Abstract] OR "Rockall"[Title/Abstract] OR "ABC score"[Title/Abstract] OR "risk score"[Title/Abstract] OR "prognostic model"[Title/Abstract]) AND ("mortality"[Title/Abstract] OR "rebleeding"[Title/Abstract] OR "transfusion"[Title/Abstract] OR "endoscopic intervention"[Title/Abstract] OR "AUROC"[Title/Abstract] OR "C-statistic"[Title/Abstract] OR "prediction"[Title/Abstract]) AND ("2000/01/01"[Date - Publication] : "2026/06/10"[Date - Publication])</w:t>
      </w:r>
    </w:p>
    <w:p w14:paraId="5CC32DFF" w14:textId="77777777" w:rsidR="004B2C8C" w:rsidRPr="004205E6" w:rsidRDefault="00000000">
      <w:pPr>
        <w:pStyle w:val="3"/>
        <w:spacing w:before="280" w:after="140"/>
        <w:rPr>
          <w:rFonts w:ascii="Arial" w:hAnsi="Arial" w:cs="Arial"/>
          <w:color w:val="000000" w:themeColor="text1"/>
        </w:rPr>
      </w:pPr>
      <w:r w:rsidRPr="004205E6">
        <w:rPr>
          <w:rFonts w:ascii="Arial" w:hAnsi="Arial" w:cs="Arial"/>
          <w:b/>
          <w:bCs/>
          <w:color w:val="000000" w:themeColor="text1"/>
        </w:rPr>
        <w:t>S14.2 EMBASE (via Ovid)</w:t>
      </w:r>
    </w:p>
    <w:p w14:paraId="46C865E1" w14:textId="77777777" w:rsidR="004B2C8C" w:rsidRPr="004205E6" w:rsidRDefault="00000000">
      <w:pPr>
        <w:spacing w:before="80" w:after="80"/>
        <w:rPr>
          <w:rFonts w:ascii="Arial" w:hAnsi="Arial" w:cs="Arial"/>
          <w:color w:val="000000" w:themeColor="text1"/>
        </w:rPr>
      </w:pPr>
      <w:r w:rsidRPr="004205E6">
        <w:rPr>
          <w:rFonts w:ascii="Arial" w:eastAsia="Consolas" w:hAnsi="Arial" w:cs="Arial"/>
          <w:color w:val="000000" w:themeColor="text1"/>
          <w:sz w:val="16"/>
          <w:szCs w:val="16"/>
        </w:rPr>
        <w:t>1. exp upper gastrointestinal hemorrhage/ OR ("upper gastrointestinal bleed*" OR "non-variceal upper GI bleed*" OR "NVUGIB" OR "AUGIB" OR "peptic ulcer bleeding").ti,ab,kw.</w:t>
      </w:r>
      <w:r w:rsidRPr="004205E6">
        <w:rPr>
          <w:rFonts w:ascii="Arial" w:eastAsia="Consolas" w:hAnsi="Arial" w:cs="Arial"/>
          <w:color w:val="000000" w:themeColor="text1"/>
          <w:sz w:val="16"/>
          <w:szCs w:val="16"/>
        </w:rPr>
        <w:br/>
        <w:t>2. exp machine learning/ OR exp artificial intelligence/ OR (machine learning OR deep learning OR artificial intelligence OR neural network* OR random forest OR XGBoost OR "extreme gradient boost*" OR ensemble OR clustering ML).ti,ab,kw.</w:t>
      </w:r>
      <w:r w:rsidRPr="004205E6">
        <w:rPr>
          <w:rFonts w:ascii="Arial" w:eastAsia="Consolas" w:hAnsi="Arial" w:cs="Arial"/>
          <w:color w:val="000000" w:themeColor="text1"/>
          <w:sz w:val="16"/>
          <w:szCs w:val="16"/>
        </w:rPr>
        <w:br/>
        <w:t>3. ("Glasgow Blatchford" OR "Glasgow-Blatchford" OR AIMS65 OR Rockall OR "ABC score" OR PNED OR "NEWS-2" OR "MAP-ASH" OR Oakland).ti,ab,kw.</w:t>
      </w:r>
      <w:r w:rsidRPr="004205E6">
        <w:rPr>
          <w:rFonts w:ascii="Arial" w:eastAsia="Consolas" w:hAnsi="Arial" w:cs="Arial"/>
          <w:color w:val="000000" w:themeColor="text1"/>
          <w:sz w:val="16"/>
          <w:szCs w:val="16"/>
        </w:rPr>
        <w:br/>
        <w:t>4. 2 OR 3</w:t>
      </w:r>
      <w:r w:rsidRPr="004205E6">
        <w:rPr>
          <w:rFonts w:ascii="Arial" w:eastAsia="Consolas" w:hAnsi="Arial" w:cs="Arial"/>
          <w:color w:val="000000" w:themeColor="text1"/>
          <w:sz w:val="16"/>
          <w:szCs w:val="16"/>
        </w:rPr>
        <w:br/>
        <w:t>5. (mortality OR death OR rebleed* OR transfusion OR intervention OR AUROC OR "C-statistic" OR discriminat* OR predict*).ti,ab,kw.</w:t>
      </w:r>
      <w:r w:rsidRPr="004205E6">
        <w:rPr>
          <w:rFonts w:ascii="Arial" w:eastAsia="Consolas" w:hAnsi="Arial" w:cs="Arial"/>
          <w:color w:val="000000" w:themeColor="text1"/>
          <w:sz w:val="16"/>
          <w:szCs w:val="16"/>
        </w:rPr>
        <w:br/>
        <w:t>6. 1 AND 4 AND 5</w:t>
      </w:r>
      <w:r w:rsidRPr="004205E6">
        <w:rPr>
          <w:rFonts w:ascii="Arial" w:eastAsia="Consolas" w:hAnsi="Arial" w:cs="Arial"/>
          <w:color w:val="000000" w:themeColor="text1"/>
          <w:sz w:val="16"/>
          <w:szCs w:val="16"/>
        </w:rPr>
        <w:br/>
        <w:t>7. limit 6 to (yr="2000-2026")</w:t>
      </w:r>
    </w:p>
    <w:p w14:paraId="10F94534" w14:textId="77777777" w:rsidR="004B2C8C" w:rsidRPr="004205E6" w:rsidRDefault="00000000">
      <w:pPr>
        <w:pStyle w:val="3"/>
        <w:spacing w:before="280" w:after="140"/>
        <w:rPr>
          <w:rFonts w:ascii="Arial" w:hAnsi="Arial" w:cs="Arial"/>
          <w:color w:val="000000" w:themeColor="text1"/>
        </w:rPr>
      </w:pPr>
      <w:r w:rsidRPr="004205E6">
        <w:rPr>
          <w:rFonts w:ascii="Arial" w:hAnsi="Arial" w:cs="Arial"/>
          <w:b/>
          <w:bCs/>
          <w:color w:val="000000" w:themeColor="text1"/>
        </w:rPr>
        <w:t>S14.3 Cochrane Central Register of Controlled Trials (CENTRAL)</w:t>
      </w:r>
    </w:p>
    <w:p w14:paraId="45E094E9" w14:textId="77777777" w:rsidR="004B2C8C" w:rsidRPr="004205E6" w:rsidRDefault="00000000">
      <w:pPr>
        <w:spacing w:before="80" w:after="80"/>
        <w:rPr>
          <w:rFonts w:ascii="Arial" w:hAnsi="Arial" w:cs="Arial"/>
          <w:color w:val="000000" w:themeColor="text1"/>
        </w:rPr>
      </w:pPr>
      <w:r w:rsidRPr="004205E6">
        <w:rPr>
          <w:rFonts w:ascii="Arial" w:eastAsia="Consolas" w:hAnsi="Arial" w:cs="Arial"/>
          <w:color w:val="000000" w:themeColor="text1"/>
          <w:sz w:val="16"/>
          <w:szCs w:val="16"/>
        </w:rPr>
        <w:t>#1 MeSH descriptor: [Upper Gastrointestinal Hemorrhage] explode all trees</w:t>
      </w:r>
      <w:r w:rsidRPr="004205E6">
        <w:rPr>
          <w:rFonts w:ascii="Arial" w:eastAsia="Consolas" w:hAnsi="Arial" w:cs="Arial"/>
          <w:color w:val="000000" w:themeColor="text1"/>
          <w:sz w:val="16"/>
          <w:szCs w:val="16"/>
        </w:rPr>
        <w:br/>
        <w:t>#2 ("upper gastrointestinal bleed*" OR "non-variceal" OR "NVUGIB" OR "AUGIB"):ti,ab,kw</w:t>
      </w:r>
      <w:r w:rsidRPr="004205E6">
        <w:rPr>
          <w:rFonts w:ascii="Arial" w:eastAsia="Consolas" w:hAnsi="Arial" w:cs="Arial"/>
          <w:color w:val="000000" w:themeColor="text1"/>
          <w:sz w:val="16"/>
          <w:szCs w:val="16"/>
        </w:rPr>
        <w:br/>
        <w:t>#3 #1 OR #2</w:t>
      </w:r>
      <w:r w:rsidRPr="004205E6">
        <w:rPr>
          <w:rFonts w:ascii="Arial" w:eastAsia="Consolas" w:hAnsi="Arial" w:cs="Arial"/>
          <w:color w:val="000000" w:themeColor="text1"/>
          <w:sz w:val="16"/>
          <w:szCs w:val="16"/>
        </w:rPr>
        <w:br/>
        <w:t>#4 MeSH descriptor: [Artificial Intelligence] explode all trees</w:t>
      </w:r>
      <w:r w:rsidRPr="004205E6">
        <w:rPr>
          <w:rFonts w:ascii="Arial" w:eastAsia="Consolas" w:hAnsi="Arial" w:cs="Arial"/>
          <w:color w:val="000000" w:themeColor="text1"/>
          <w:sz w:val="16"/>
          <w:szCs w:val="16"/>
        </w:rPr>
        <w:br/>
        <w:t>#5 ("machine learning" OR "deep learning" OR "neural network" OR "random forest" OR XGBoost OR "Glasgow-Blatchford" OR AIMS65 OR Rockall):ti,ab,kw</w:t>
      </w:r>
      <w:r w:rsidRPr="004205E6">
        <w:rPr>
          <w:rFonts w:ascii="Arial" w:eastAsia="Consolas" w:hAnsi="Arial" w:cs="Arial"/>
          <w:color w:val="000000" w:themeColor="text1"/>
          <w:sz w:val="16"/>
          <w:szCs w:val="16"/>
        </w:rPr>
        <w:br/>
        <w:t>#6 #4 OR #5</w:t>
      </w:r>
      <w:r w:rsidRPr="004205E6">
        <w:rPr>
          <w:rFonts w:ascii="Arial" w:eastAsia="Consolas" w:hAnsi="Arial" w:cs="Arial"/>
          <w:color w:val="000000" w:themeColor="text1"/>
          <w:sz w:val="16"/>
          <w:szCs w:val="16"/>
        </w:rPr>
        <w:br/>
        <w:t>#7 #3 AND #6 in Trials</w:t>
      </w:r>
      <w:r w:rsidRPr="004205E6">
        <w:rPr>
          <w:rFonts w:ascii="Arial" w:eastAsia="Consolas" w:hAnsi="Arial" w:cs="Arial"/>
          <w:color w:val="000000" w:themeColor="text1"/>
          <w:sz w:val="16"/>
          <w:szCs w:val="16"/>
        </w:rPr>
        <w:br/>
        <w:t>#8 #7 with Publication Year from 2000 to 2026</w:t>
      </w:r>
    </w:p>
    <w:p w14:paraId="53BD9140" w14:textId="77777777" w:rsidR="004B2C8C" w:rsidRPr="004205E6" w:rsidRDefault="00000000">
      <w:pPr>
        <w:pStyle w:val="3"/>
        <w:spacing w:before="280" w:after="140"/>
        <w:rPr>
          <w:rFonts w:ascii="Arial" w:hAnsi="Arial" w:cs="Arial"/>
          <w:color w:val="000000" w:themeColor="text1"/>
        </w:rPr>
      </w:pPr>
      <w:r w:rsidRPr="004205E6">
        <w:rPr>
          <w:rFonts w:ascii="Arial" w:hAnsi="Arial" w:cs="Arial"/>
          <w:b/>
          <w:bCs/>
          <w:color w:val="000000" w:themeColor="text1"/>
        </w:rPr>
        <w:t>S14.4 Web of Science (Core Collection)</w:t>
      </w:r>
    </w:p>
    <w:p w14:paraId="2A7A1F97" w14:textId="77777777" w:rsidR="004B2C8C" w:rsidRPr="004205E6" w:rsidRDefault="00000000">
      <w:pPr>
        <w:spacing w:before="80" w:after="80"/>
        <w:rPr>
          <w:rFonts w:ascii="Arial" w:hAnsi="Arial" w:cs="Arial"/>
          <w:color w:val="000000" w:themeColor="text1"/>
        </w:rPr>
      </w:pPr>
      <w:r w:rsidRPr="004205E6">
        <w:rPr>
          <w:rFonts w:ascii="Arial" w:eastAsia="Consolas" w:hAnsi="Arial" w:cs="Arial"/>
          <w:color w:val="000000" w:themeColor="text1"/>
          <w:sz w:val="16"/>
          <w:szCs w:val="16"/>
        </w:rPr>
        <w:t xml:space="preserve">TS=("upper gastrointestinal hemorrhage" OR "upper gastrointestinal bleed*" OR "non-variceal" OR "NVUGIB" OR "AUGIB") AND TS=("machine learning" OR "artificial intelligence" OR "deep learning" OR "neural </w:t>
      </w:r>
      <w:r w:rsidRPr="004205E6">
        <w:rPr>
          <w:rFonts w:ascii="Arial" w:eastAsia="Consolas" w:hAnsi="Arial" w:cs="Arial"/>
          <w:color w:val="000000" w:themeColor="text1"/>
          <w:sz w:val="16"/>
          <w:szCs w:val="16"/>
        </w:rPr>
        <w:lastRenderedPageBreak/>
        <w:t>network*" OR "random forest" OR XGBoost OR "ensemble" OR "Glasgow-Blatchford" OR AIMS65 OR Rockall OR "ABC score") AND TS=(mortality OR rebleed* OR transfusion OR "endoscopic intervention" OR AUROC OR predict*) AND PY=(2000-2026)</w:t>
      </w:r>
    </w:p>
    <w:p w14:paraId="2A1AA771" w14:textId="77777777" w:rsidR="004B2C8C" w:rsidRPr="004205E6" w:rsidRDefault="00000000">
      <w:pPr>
        <w:pStyle w:val="3"/>
        <w:spacing w:before="280" w:after="140"/>
        <w:rPr>
          <w:rFonts w:ascii="Arial" w:hAnsi="Arial" w:cs="Arial"/>
          <w:color w:val="000000" w:themeColor="text1"/>
        </w:rPr>
      </w:pPr>
      <w:r w:rsidRPr="004205E6">
        <w:rPr>
          <w:rFonts w:ascii="Arial" w:hAnsi="Arial" w:cs="Arial"/>
          <w:b/>
          <w:bCs/>
          <w:color w:val="000000" w:themeColor="text1"/>
        </w:rPr>
        <w:t>S14.5 KoreaMed</w:t>
      </w:r>
    </w:p>
    <w:p w14:paraId="5B966DBF" w14:textId="77777777" w:rsidR="004B2C8C" w:rsidRPr="004205E6" w:rsidRDefault="00000000">
      <w:pPr>
        <w:spacing w:before="80" w:after="80"/>
        <w:rPr>
          <w:rFonts w:ascii="Arial" w:hAnsi="Arial" w:cs="Arial"/>
          <w:color w:val="000000" w:themeColor="text1"/>
        </w:rPr>
      </w:pPr>
      <w:r w:rsidRPr="004205E6">
        <w:rPr>
          <w:rFonts w:ascii="Arial" w:eastAsia="Consolas" w:hAnsi="Arial" w:cs="Arial"/>
          <w:color w:val="000000" w:themeColor="text1"/>
          <w:sz w:val="16"/>
          <w:szCs w:val="16"/>
        </w:rPr>
        <w:t>Query 1: ("non-variceal" OR "NVUGIB" OR "AUGIB" OR "</w:t>
      </w:r>
      <w:r w:rsidRPr="004205E6">
        <w:rPr>
          <w:rFonts w:ascii="맑은 고딕" w:eastAsia="맑은 고딕" w:hAnsi="맑은 고딕" w:cs="맑은 고딕" w:hint="eastAsia"/>
          <w:color w:val="000000" w:themeColor="text1"/>
          <w:sz w:val="16"/>
          <w:szCs w:val="16"/>
        </w:rPr>
        <w:t>상부</w:t>
      </w:r>
      <w:r w:rsidRPr="004205E6">
        <w:rPr>
          <w:rFonts w:ascii="Arial" w:eastAsia="Consolas" w:hAnsi="Arial" w:cs="Arial"/>
          <w:color w:val="000000" w:themeColor="text1"/>
          <w:sz w:val="16"/>
          <w:szCs w:val="16"/>
        </w:rPr>
        <w:t xml:space="preserve"> </w:t>
      </w:r>
      <w:r w:rsidRPr="004205E6">
        <w:rPr>
          <w:rFonts w:ascii="맑은 고딕" w:eastAsia="맑은 고딕" w:hAnsi="맑은 고딕" w:cs="맑은 고딕" w:hint="eastAsia"/>
          <w:color w:val="000000" w:themeColor="text1"/>
          <w:sz w:val="16"/>
          <w:szCs w:val="16"/>
        </w:rPr>
        <w:t>위장관</w:t>
      </w:r>
      <w:r w:rsidRPr="004205E6">
        <w:rPr>
          <w:rFonts w:ascii="Arial" w:eastAsia="Consolas" w:hAnsi="Arial" w:cs="Arial"/>
          <w:color w:val="000000" w:themeColor="text1"/>
          <w:sz w:val="16"/>
          <w:szCs w:val="16"/>
        </w:rPr>
        <w:t xml:space="preserve"> </w:t>
      </w:r>
      <w:r w:rsidRPr="004205E6">
        <w:rPr>
          <w:rFonts w:ascii="맑은 고딕" w:eastAsia="맑은 고딕" w:hAnsi="맑은 고딕" w:cs="맑은 고딕" w:hint="eastAsia"/>
          <w:color w:val="000000" w:themeColor="text1"/>
          <w:sz w:val="16"/>
          <w:szCs w:val="16"/>
        </w:rPr>
        <w:t>출혈</w:t>
      </w:r>
      <w:r w:rsidRPr="004205E6">
        <w:rPr>
          <w:rFonts w:ascii="Arial" w:eastAsia="Consolas" w:hAnsi="Arial" w:cs="Arial"/>
          <w:color w:val="000000" w:themeColor="text1"/>
          <w:sz w:val="16"/>
          <w:szCs w:val="16"/>
        </w:rPr>
        <w:t>") AND ("machine learning" OR "deep learning" OR "AI" OR "</w:t>
      </w:r>
      <w:r w:rsidRPr="004205E6">
        <w:rPr>
          <w:rFonts w:ascii="맑은 고딕" w:eastAsia="맑은 고딕" w:hAnsi="맑은 고딕" w:cs="맑은 고딕" w:hint="eastAsia"/>
          <w:color w:val="000000" w:themeColor="text1"/>
          <w:sz w:val="16"/>
          <w:szCs w:val="16"/>
        </w:rPr>
        <w:t>기계학습</w:t>
      </w:r>
      <w:r w:rsidRPr="004205E6">
        <w:rPr>
          <w:rFonts w:ascii="Arial" w:eastAsia="Consolas" w:hAnsi="Arial" w:cs="Arial"/>
          <w:color w:val="000000" w:themeColor="text1"/>
          <w:sz w:val="16"/>
          <w:szCs w:val="16"/>
        </w:rPr>
        <w:t>" OR "</w:t>
      </w:r>
      <w:r w:rsidRPr="004205E6">
        <w:rPr>
          <w:rFonts w:ascii="맑은 고딕" w:eastAsia="맑은 고딕" w:hAnsi="맑은 고딕" w:cs="맑은 고딕" w:hint="eastAsia"/>
          <w:color w:val="000000" w:themeColor="text1"/>
          <w:sz w:val="16"/>
          <w:szCs w:val="16"/>
        </w:rPr>
        <w:t>인공지능</w:t>
      </w:r>
      <w:r w:rsidRPr="004205E6">
        <w:rPr>
          <w:rFonts w:ascii="Arial" w:eastAsia="Consolas" w:hAnsi="Arial" w:cs="Arial"/>
          <w:color w:val="000000" w:themeColor="text1"/>
          <w:sz w:val="16"/>
          <w:szCs w:val="16"/>
        </w:rPr>
        <w:t>")</w:t>
      </w:r>
      <w:r w:rsidRPr="004205E6">
        <w:rPr>
          <w:rFonts w:ascii="Arial" w:eastAsia="Consolas" w:hAnsi="Arial" w:cs="Arial"/>
          <w:color w:val="000000" w:themeColor="text1"/>
          <w:sz w:val="16"/>
          <w:szCs w:val="16"/>
        </w:rPr>
        <w:br/>
        <w:t>Query 2: ("Glasgow-Blatchford" OR AIMS65 OR Rockall OR "</w:t>
      </w:r>
      <w:r w:rsidRPr="004205E6">
        <w:rPr>
          <w:rFonts w:ascii="맑은 고딕" w:eastAsia="맑은 고딕" w:hAnsi="맑은 고딕" w:cs="맑은 고딕" w:hint="eastAsia"/>
          <w:color w:val="000000" w:themeColor="text1"/>
          <w:sz w:val="16"/>
          <w:szCs w:val="16"/>
        </w:rPr>
        <w:t>위장관</w:t>
      </w:r>
      <w:r w:rsidRPr="004205E6">
        <w:rPr>
          <w:rFonts w:ascii="Arial" w:eastAsia="Consolas" w:hAnsi="Arial" w:cs="Arial"/>
          <w:color w:val="000000" w:themeColor="text1"/>
          <w:sz w:val="16"/>
          <w:szCs w:val="16"/>
        </w:rPr>
        <w:t xml:space="preserve"> </w:t>
      </w:r>
      <w:r w:rsidRPr="004205E6">
        <w:rPr>
          <w:rFonts w:ascii="맑은 고딕" w:eastAsia="맑은 고딕" w:hAnsi="맑은 고딕" w:cs="맑은 고딕" w:hint="eastAsia"/>
          <w:color w:val="000000" w:themeColor="text1"/>
          <w:sz w:val="16"/>
          <w:szCs w:val="16"/>
        </w:rPr>
        <w:t>출혈</w:t>
      </w:r>
      <w:r w:rsidRPr="004205E6">
        <w:rPr>
          <w:rFonts w:ascii="Arial" w:eastAsia="Consolas" w:hAnsi="Arial" w:cs="Arial"/>
          <w:color w:val="000000" w:themeColor="text1"/>
          <w:sz w:val="16"/>
          <w:szCs w:val="16"/>
        </w:rPr>
        <w:t xml:space="preserve"> </w:t>
      </w:r>
      <w:r w:rsidRPr="004205E6">
        <w:rPr>
          <w:rFonts w:ascii="맑은 고딕" w:eastAsia="맑은 고딕" w:hAnsi="맑은 고딕" w:cs="맑은 고딕" w:hint="eastAsia"/>
          <w:color w:val="000000" w:themeColor="text1"/>
          <w:sz w:val="16"/>
          <w:szCs w:val="16"/>
        </w:rPr>
        <w:t>점수</w:t>
      </w:r>
      <w:r w:rsidRPr="004205E6">
        <w:rPr>
          <w:rFonts w:ascii="Arial" w:eastAsia="Consolas" w:hAnsi="Arial" w:cs="Arial"/>
          <w:color w:val="000000" w:themeColor="text1"/>
          <w:sz w:val="16"/>
          <w:szCs w:val="16"/>
        </w:rPr>
        <w:t>") AND ("validation" OR "</w:t>
      </w:r>
      <w:r w:rsidRPr="004205E6">
        <w:rPr>
          <w:rFonts w:ascii="맑은 고딕" w:eastAsia="맑은 고딕" w:hAnsi="맑은 고딕" w:cs="맑은 고딕" w:hint="eastAsia"/>
          <w:color w:val="000000" w:themeColor="text1"/>
          <w:sz w:val="16"/>
          <w:szCs w:val="16"/>
        </w:rPr>
        <w:t>검증</w:t>
      </w:r>
      <w:r w:rsidRPr="004205E6">
        <w:rPr>
          <w:rFonts w:ascii="Arial" w:eastAsia="Consolas" w:hAnsi="Arial" w:cs="Arial"/>
          <w:color w:val="000000" w:themeColor="text1"/>
          <w:sz w:val="16"/>
          <w:szCs w:val="16"/>
        </w:rPr>
        <w:t>" OR "predict*")</w:t>
      </w:r>
      <w:r w:rsidRPr="004205E6">
        <w:rPr>
          <w:rFonts w:ascii="Arial" w:eastAsia="Consolas" w:hAnsi="Arial" w:cs="Arial"/>
          <w:color w:val="000000" w:themeColor="text1"/>
          <w:sz w:val="16"/>
          <w:szCs w:val="16"/>
        </w:rPr>
        <w:br/>
        <w:t>Date range: 2000-01-01 to 2026-06-10</w:t>
      </w:r>
      <w:r w:rsidRPr="004205E6">
        <w:rPr>
          <w:rFonts w:ascii="Arial" w:eastAsia="Consolas" w:hAnsi="Arial" w:cs="Arial"/>
          <w:color w:val="000000" w:themeColor="text1"/>
          <w:sz w:val="16"/>
          <w:szCs w:val="16"/>
        </w:rPr>
        <w:br/>
        <w:t>Field: TI, AB, KW</w:t>
      </w:r>
      <w:r w:rsidRPr="004205E6">
        <w:rPr>
          <w:rFonts w:ascii="Arial" w:eastAsia="Consolas" w:hAnsi="Arial" w:cs="Arial"/>
          <w:color w:val="000000" w:themeColor="text1"/>
          <w:sz w:val="16"/>
          <w:szCs w:val="16"/>
        </w:rPr>
        <w:br/>
        <w:t>Language: English + Korean</w:t>
      </w:r>
    </w:p>
    <w:p w14:paraId="34FD0E1B" w14:textId="77777777" w:rsidR="004B2C8C" w:rsidRPr="004205E6" w:rsidRDefault="00000000">
      <w:pPr>
        <w:pStyle w:val="3"/>
        <w:spacing w:before="280" w:after="140"/>
        <w:rPr>
          <w:rFonts w:ascii="Arial" w:hAnsi="Arial" w:cs="Arial"/>
          <w:color w:val="000000" w:themeColor="text1"/>
        </w:rPr>
      </w:pPr>
      <w:r w:rsidRPr="004205E6">
        <w:rPr>
          <w:rFonts w:ascii="Arial" w:hAnsi="Arial" w:cs="Arial"/>
          <w:b/>
          <w:bCs/>
          <w:color w:val="000000" w:themeColor="text1"/>
        </w:rPr>
        <w:t>S14.6 Citation tracking</w:t>
      </w:r>
    </w:p>
    <w:p w14:paraId="6B12F3DA" w14:textId="77777777" w:rsidR="004B2C8C" w:rsidRPr="004205E6" w:rsidRDefault="00000000">
      <w:pPr>
        <w:spacing w:before="80" w:after="80"/>
        <w:rPr>
          <w:rFonts w:ascii="Arial" w:hAnsi="Arial" w:cs="Arial"/>
          <w:color w:val="000000" w:themeColor="text1"/>
        </w:rPr>
      </w:pPr>
      <w:r w:rsidRPr="004205E6">
        <w:rPr>
          <w:rFonts w:ascii="Arial" w:hAnsi="Arial" w:cs="Arial"/>
          <w:color w:val="000000" w:themeColor="text1"/>
        </w:rPr>
        <w:t>Forward citation tracking (cited-by) and backward citation tracking (references) were performed on all included studies and recent (2024–2026) NV-UGIB / AUGIB systematic reviews and editorials. Eighteen additional records were identified through this process (see Figure 1 PRISMA flow).</w:t>
      </w:r>
    </w:p>
    <w:p w14:paraId="5121EE6D" w14:textId="77777777" w:rsidR="004B2C8C" w:rsidRPr="004205E6" w:rsidRDefault="00000000">
      <w:pPr>
        <w:rPr>
          <w:rFonts w:ascii="Arial" w:hAnsi="Arial" w:cs="Arial"/>
          <w:color w:val="000000" w:themeColor="text1"/>
        </w:rPr>
      </w:pPr>
      <w:r w:rsidRPr="004205E6">
        <w:rPr>
          <w:rFonts w:ascii="Arial" w:hAnsi="Arial" w:cs="Arial"/>
          <w:color w:val="000000" w:themeColor="text1"/>
        </w:rPr>
        <w:br w:type="page"/>
      </w:r>
    </w:p>
    <w:p w14:paraId="1DC4ABBC" w14:textId="77777777" w:rsidR="004B2C8C" w:rsidRPr="004205E6" w:rsidRDefault="00000000">
      <w:pPr>
        <w:pStyle w:val="2"/>
        <w:spacing w:before="280" w:after="140"/>
        <w:rPr>
          <w:rFonts w:ascii="Arial" w:hAnsi="Arial" w:cs="Arial"/>
          <w:color w:val="000000" w:themeColor="text1"/>
        </w:rPr>
      </w:pPr>
      <w:r w:rsidRPr="004205E6">
        <w:rPr>
          <w:rFonts w:ascii="Arial" w:hAnsi="Arial" w:cs="Arial"/>
          <w:b/>
          <w:bCs/>
          <w:color w:val="000000" w:themeColor="text1"/>
        </w:rPr>
        <w:lastRenderedPageBreak/>
        <w:t>Notes on Supplementary Material Format</w:t>
      </w:r>
    </w:p>
    <w:p w14:paraId="1CFD0080" w14:textId="77777777" w:rsidR="004B2C8C" w:rsidRPr="004205E6" w:rsidRDefault="00000000">
      <w:pPr>
        <w:spacing w:before="80" w:after="80"/>
        <w:rPr>
          <w:rFonts w:ascii="Arial" w:hAnsi="Arial" w:cs="Arial"/>
          <w:color w:val="000000" w:themeColor="text1"/>
        </w:rPr>
      </w:pPr>
      <w:r w:rsidRPr="004205E6">
        <w:rPr>
          <w:rFonts w:ascii="Arial" w:hAnsi="Arial" w:cs="Arial"/>
          <w:color w:val="000000" w:themeColor="text1"/>
        </w:rPr>
        <w:t>Per the submission format, all supplementary tables and figures are embedded directly in this Word document. No separate spreadsheet file is provided.</w:t>
      </w:r>
    </w:p>
    <w:p w14:paraId="3108E0A1" w14:textId="77777777" w:rsidR="004B2C8C" w:rsidRPr="0067222B" w:rsidRDefault="00000000">
      <w:pPr>
        <w:spacing w:before="80" w:after="80"/>
        <w:rPr>
          <w:rFonts w:ascii="Arial" w:hAnsi="Arial" w:cs="Arial"/>
          <w:color w:val="000000" w:themeColor="text1"/>
        </w:rPr>
      </w:pPr>
      <w:r w:rsidRPr="004205E6">
        <w:rPr>
          <w:rFonts w:ascii="Arial" w:hAnsi="Arial" w:cs="Arial"/>
          <w:color w:val="000000" w:themeColor="text1"/>
        </w:rPr>
        <w:t>All analyses are reproducible from the reviewer-access OSF repository at submission; the repository will be made public with DOI-bearing records upon acceptance (input data, analysis scripts, this supplementary file); reviewer-access at submission, public at acceptance.</w:t>
      </w:r>
    </w:p>
    <w:sectPr w:rsidR="004B2C8C" w:rsidRPr="0067222B" w:rsidSect="00F44497">
      <w:headerReference w:type="default" r:id="rId11"/>
      <w:footerReference w:type="default" r:id="rId12"/>
      <w:pgSz w:w="16838" w:h="11906"/>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73B80" w14:textId="77777777" w:rsidR="009561DF" w:rsidRDefault="009561DF">
      <w:pPr>
        <w:spacing w:line="240" w:lineRule="auto"/>
      </w:pPr>
      <w:r>
        <w:separator/>
      </w:r>
    </w:p>
  </w:endnote>
  <w:endnote w:type="continuationSeparator" w:id="0">
    <w:p w14:paraId="52B8C568" w14:textId="77777777" w:rsidR="009561DF" w:rsidRDefault="009561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D92CE" w14:textId="77777777" w:rsidR="004B2C8C" w:rsidRDefault="004B2C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5A105" w14:textId="77777777" w:rsidR="009561DF" w:rsidRDefault="009561DF">
      <w:pPr>
        <w:spacing w:line="240" w:lineRule="auto"/>
      </w:pPr>
      <w:r>
        <w:separator/>
      </w:r>
    </w:p>
  </w:footnote>
  <w:footnote w:type="continuationSeparator" w:id="0">
    <w:p w14:paraId="3BD7092D" w14:textId="77777777" w:rsidR="009561DF" w:rsidRDefault="009561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70C16" w14:textId="77777777" w:rsidR="004B2C8C" w:rsidRDefault="004B2C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302EF1"/>
    <w:multiLevelType w:val="hybridMultilevel"/>
    <w:tmpl w:val="136699FA"/>
    <w:lvl w:ilvl="0" w:tplc="B2807C2E">
      <w:start w:val="1"/>
      <w:numFmt w:val="bullet"/>
      <w:lvlText w:val="●"/>
      <w:lvlJc w:val="left"/>
      <w:pPr>
        <w:ind w:left="720" w:hanging="360"/>
      </w:pPr>
    </w:lvl>
    <w:lvl w:ilvl="1" w:tplc="516AA99A">
      <w:start w:val="1"/>
      <w:numFmt w:val="bullet"/>
      <w:lvlText w:val="○"/>
      <w:lvlJc w:val="left"/>
      <w:pPr>
        <w:ind w:left="1440" w:hanging="360"/>
      </w:pPr>
    </w:lvl>
    <w:lvl w:ilvl="2" w:tplc="E4CCF1FE">
      <w:start w:val="1"/>
      <w:numFmt w:val="bullet"/>
      <w:lvlText w:val="■"/>
      <w:lvlJc w:val="left"/>
      <w:pPr>
        <w:ind w:left="2160" w:hanging="360"/>
      </w:pPr>
    </w:lvl>
    <w:lvl w:ilvl="3" w:tplc="39D063CC">
      <w:start w:val="1"/>
      <w:numFmt w:val="bullet"/>
      <w:lvlText w:val="●"/>
      <w:lvlJc w:val="left"/>
      <w:pPr>
        <w:ind w:left="2880" w:hanging="360"/>
      </w:pPr>
    </w:lvl>
    <w:lvl w:ilvl="4" w:tplc="EF564E6C">
      <w:start w:val="1"/>
      <w:numFmt w:val="bullet"/>
      <w:lvlText w:val="○"/>
      <w:lvlJc w:val="left"/>
      <w:pPr>
        <w:ind w:left="3600" w:hanging="360"/>
      </w:pPr>
    </w:lvl>
    <w:lvl w:ilvl="5" w:tplc="DA0C8340">
      <w:start w:val="1"/>
      <w:numFmt w:val="bullet"/>
      <w:lvlText w:val="■"/>
      <w:lvlJc w:val="left"/>
      <w:pPr>
        <w:ind w:left="4320" w:hanging="360"/>
      </w:pPr>
    </w:lvl>
    <w:lvl w:ilvl="6" w:tplc="9A44AE20">
      <w:start w:val="1"/>
      <w:numFmt w:val="bullet"/>
      <w:lvlText w:val="●"/>
      <w:lvlJc w:val="left"/>
      <w:pPr>
        <w:ind w:left="5040" w:hanging="360"/>
      </w:pPr>
    </w:lvl>
    <w:lvl w:ilvl="7" w:tplc="8C180A56">
      <w:start w:val="1"/>
      <w:numFmt w:val="bullet"/>
      <w:lvlText w:val="●"/>
      <w:lvlJc w:val="left"/>
      <w:pPr>
        <w:ind w:left="5760" w:hanging="360"/>
      </w:pPr>
    </w:lvl>
    <w:lvl w:ilvl="8" w:tplc="F0545E98">
      <w:start w:val="1"/>
      <w:numFmt w:val="bullet"/>
      <w:lvlText w:val="●"/>
      <w:lvlJc w:val="left"/>
      <w:pPr>
        <w:ind w:left="6480" w:hanging="360"/>
      </w:pPr>
    </w:lvl>
  </w:abstractNum>
  <w:num w:numId="1" w16cid:durableId="34624859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defaultTabStop w:val="80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C8C"/>
    <w:rsid w:val="00233242"/>
    <w:rsid w:val="0033601D"/>
    <w:rsid w:val="0038148C"/>
    <w:rsid w:val="003D67F2"/>
    <w:rsid w:val="004205E6"/>
    <w:rsid w:val="004B2C8C"/>
    <w:rsid w:val="00545D42"/>
    <w:rsid w:val="0067222B"/>
    <w:rsid w:val="007A10AA"/>
    <w:rsid w:val="0092749C"/>
    <w:rsid w:val="009561DF"/>
    <w:rsid w:val="00A53773"/>
    <w:rsid w:val="00A6623B"/>
    <w:rsid w:val="00AA1A0F"/>
    <w:rsid w:val="00B81568"/>
    <w:rsid w:val="00B93265"/>
    <w:rsid w:val="00C41AB7"/>
    <w:rsid w:val="00E41A97"/>
    <w:rsid w:val="00ED32BF"/>
    <w:rsid w:val="00F4449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29FDA"/>
  <w15:docId w15:val="{168B5528-4369-47BA-9983-94E147705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US" w:eastAsia="ko-KR" w:bidi="ar-SA"/>
      </w:rPr>
    </w:rPrDefault>
    <w:pPrDefault>
      <w:pPr>
        <w:spacing w:line="3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1">
    <w:name w:val="heading 1"/>
    <w:uiPriority w:val="9"/>
    <w:qFormat/>
    <w:pPr>
      <w:outlineLvl w:val="0"/>
    </w:pPr>
    <w:rPr>
      <w:color w:val="2E74B5"/>
      <w:sz w:val="32"/>
      <w:szCs w:val="32"/>
    </w:rPr>
  </w:style>
  <w:style w:type="paragraph" w:styleId="2">
    <w:name w:val="heading 2"/>
    <w:uiPriority w:val="9"/>
    <w:unhideWhenUsed/>
    <w:qFormat/>
    <w:pPr>
      <w:outlineLvl w:val="1"/>
    </w:pPr>
    <w:rPr>
      <w:color w:val="2E74B5"/>
      <w:sz w:val="26"/>
      <w:szCs w:val="26"/>
    </w:rPr>
  </w:style>
  <w:style w:type="paragraph" w:styleId="3">
    <w:name w:val="heading 3"/>
    <w:uiPriority w:val="9"/>
    <w:unhideWhenUsed/>
    <w:qFormat/>
    <w:pPr>
      <w:outlineLvl w:val="2"/>
    </w:pPr>
    <w:rPr>
      <w:color w:val="1F4D78"/>
      <w:sz w:val="24"/>
      <w:szCs w:val="24"/>
    </w:rPr>
  </w:style>
  <w:style w:type="paragraph" w:styleId="4">
    <w:name w:val="heading 4"/>
    <w:uiPriority w:val="9"/>
    <w:semiHidden/>
    <w:unhideWhenUsed/>
    <w:qFormat/>
    <w:pPr>
      <w:outlineLvl w:val="3"/>
    </w:pPr>
    <w:rPr>
      <w:i/>
      <w:iCs/>
      <w:color w:val="2E74B5"/>
    </w:rPr>
  </w:style>
  <w:style w:type="paragraph" w:styleId="5">
    <w:name w:val="heading 5"/>
    <w:uiPriority w:val="9"/>
    <w:semiHidden/>
    <w:unhideWhenUsed/>
    <w:qFormat/>
    <w:pPr>
      <w:outlineLvl w:val="4"/>
    </w:pPr>
    <w:rPr>
      <w:color w:val="2E74B5"/>
    </w:rPr>
  </w:style>
  <w:style w:type="paragraph" w:styleId="6">
    <w:name w:val="heading 6"/>
    <w:uiPriority w:val="9"/>
    <w:semiHidden/>
    <w:unhideWhenUsed/>
    <w:qFormat/>
    <w:pP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rPr>
      <w:sz w:val="56"/>
      <w:szCs w:val="56"/>
    </w:rPr>
  </w:style>
  <w:style w:type="paragraph" w:customStyle="1" w:styleId="10">
    <w:name w:val="굵은 텍스트1"/>
    <w:qFormat/>
    <w:rPr>
      <w:b/>
      <w:bCs/>
    </w:rPr>
  </w:style>
  <w:style w:type="paragraph" w:styleId="a4">
    <w:name w:val="List Paragraph"/>
    <w:qFormat/>
  </w:style>
  <w:style w:type="character" w:styleId="a5">
    <w:name w:val="Hyperlink"/>
    <w:uiPriority w:val="99"/>
    <w:unhideWhenUsed/>
    <w:rPr>
      <w:color w:val="0563C1"/>
      <w:u w:val="single"/>
    </w:rPr>
  </w:style>
  <w:style w:type="character" w:styleId="a6">
    <w:name w:val="footnote reference"/>
    <w:uiPriority w:val="99"/>
    <w:semiHidden/>
    <w:unhideWhenUsed/>
    <w:rPr>
      <w:vertAlign w:val="superscript"/>
    </w:rPr>
  </w:style>
  <w:style w:type="paragraph" w:styleId="a7">
    <w:name w:val="footnote text"/>
    <w:link w:val="Char"/>
    <w:uiPriority w:val="99"/>
    <w:semiHidden/>
    <w:unhideWhenUsed/>
    <w:pPr>
      <w:spacing w:line="240" w:lineRule="auto"/>
    </w:pPr>
    <w:rPr>
      <w:sz w:val="20"/>
      <w:szCs w:val="20"/>
    </w:rPr>
  </w:style>
  <w:style w:type="character" w:customStyle="1" w:styleId="Char">
    <w:name w:val="각주 텍스트 Char"/>
    <w:link w:val="a7"/>
    <w:uiPriority w:val="99"/>
    <w:semiHidden/>
    <w:unhideWhenUsed/>
    <w:rPr>
      <w:sz w:val="20"/>
      <w:szCs w:val="20"/>
    </w:rPr>
  </w:style>
  <w:style w:type="character" w:styleId="a8">
    <w:name w:val="endnote reference"/>
    <w:uiPriority w:val="99"/>
    <w:semiHidden/>
    <w:unhideWhenUsed/>
    <w:rPr>
      <w:vertAlign w:val="superscript"/>
    </w:rPr>
  </w:style>
  <w:style w:type="paragraph" w:styleId="a9">
    <w:name w:val="endnote text"/>
    <w:link w:val="Char0"/>
    <w:uiPriority w:val="99"/>
    <w:semiHidden/>
    <w:unhideWhenUsed/>
    <w:pPr>
      <w:spacing w:line="240" w:lineRule="auto"/>
    </w:pPr>
    <w:rPr>
      <w:sz w:val="20"/>
      <w:szCs w:val="20"/>
    </w:rPr>
  </w:style>
  <w:style w:type="character" w:customStyle="1" w:styleId="Char0">
    <w:name w:val="미주 텍스트 Char"/>
    <w:link w:val="a9"/>
    <w:uiPriority w:val="99"/>
    <w:semiHidden/>
    <w:unhideWhenUsed/>
    <w:rPr>
      <w:sz w:val="20"/>
      <w:szCs w:val="20"/>
    </w:rPr>
  </w:style>
  <w:style w:type="table" w:styleId="aa">
    <w:name w:val="Grid Table Light"/>
    <w:basedOn w:val="a1"/>
    <w:uiPriority w:val="40"/>
    <w:rsid w:val="00F4449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25</Pages>
  <Words>4757</Words>
  <Characters>29020</Characters>
  <Application>Microsoft Office Word</Application>
  <DocSecurity>0</DocSecurity>
  <Lines>1527</Lines>
  <Paragraphs>1468</Paragraphs>
  <ScaleCrop>false</ScaleCrop>
  <Company/>
  <LinksUpToDate>false</LinksUpToDate>
  <CharactersWithSpaces>32309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Hyuk Lee</cp:lastModifiedBy>
  <cp:revision>12</cp:revision>
  <dcterms:created xsi:type="dcterms:W3CDTF">2026-06-14T09:38:00Z</dcterms:created>
  <dcterms:modified xsi:type="dcterms:W3CDTF">2026-06-19T12:20:00Z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23ba2e7a-ea81-4496-87fb-fd2746ab25c7</vt:lpwstr>
  </property>
</Properties>
</file>