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1B578" w14:textId="77777777" w:rsidR="001D4835" w:rsidRPr="00CA1C60" w:rsidRDefault="00000000">
      <w:pPr>
        <w:jc w:val="center"/>
        <w:rPr>
          <w:rFonts w:ascii="Times New Roman" w:hAnsi="Times New Roman" w:cs="Times New Roman"/>
          <w:sz w:val="22"/>
        </w:rPr>
      </w:pPr>
      <w:r w:rsidRPr="00CA1C60">
        <w:rPr>
          <w:rFonts w:ascii="Times New Roman" w:hAnsi="Times New Roman" w:cs="Times New Roman"/>
          <w:b/>
          <w:sz w:val="22"/>
        </w:rPr>
        <w:t>STROBE Statement Checklist</w:t>
      </w:r>
    </w:p>
    <w:p w14:paraId="18858D6A" w14:textId="77777777" w:rsidR="001D4835" w:rsidRPr="00CA1C60" w:rsidRDefault="00000000">
      <w:pPr>
        <w:rPr>
          <w:rFonts w:ascii="Times New Roman" w:hAnsi="Times New Roman" w:cs="Times New Roman"/>
          <w:sz w:val="22"/>
        </w:rPr>
      </w:pPr>
      <w:r w:rsidRPr="00CA1C60">
        <w:rPr>
          <w:rFonts w:ascii="Times New Roman" w:hAnsi="Times New Roman" w:cs="Times New Roman"/>
          <w:b/>
          <w:sz w:val="22"/>
        </w:rPr>
        <w:t xml:space="preserve">Checklist type: </w:t>
      </w:r>
      <w:r w:rsidRPr="00CA1C60">
        <w:rPr>
          <w:rFonts w:ascii="Times New Roman" w:hAnsi="Times New Roman" w:cs="Times New Roman"/>
          <w:sz w:val="22"/>
        </w:rPr>
        <w:t>STROBE checklist for observational studies, adapted for a retrospective aggregate time-series and subnational ecological analysis using publicly available outbreak situation reports. Page references are approximate and based on the reviewed manuscript layout; section names are provided to remain valid if pagination changes during journal formatting.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7"/>
        <w:gridCol w:w="898"/>
        <w:gridCol w:w="5524"/>
        <w:gridCol w:w="5961"/>
      </w:tblGrid>
      <w:tr w:rsidR="00CA1C60" w:rsidRPr="00CE16F4" w14:paraId="677117A0" w14:textId="77777777" w:rsidTr="00CE16F4">
        <w:trPr>
          <w:cantSplit/>
          <w:trHeight w:val="59"/>
          <w:tblHeader/>
          <w:jc w:val="center"/>
        </w:trPr>
        <w:tc>
          <w:tcPr>
            <w:tcW w:w="1797" w:type="dxa"/>
            <w:shd w:val="clear" w:color="auto" w:fill="D9EAF7"/>
            <w:vAlign w:val="center"/>
          </w:tcPr>
          <w:p w14:paraId="568EEC5B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b/>
                <w:sz w:val="20"/>
                <w:szCs w:val="20"/>
              </w:rPr>
              <w:t>Section</w:t>
            </w:r>
          </w:p>
        </w:tc>
        <w:tc>
          <w:tcPr>
            <w:tcW w:w="898" w:type="dxa"/>
            <w:shd w:val="clear" w:color="auto" w:fill="D9EAF7"/>
            <w:vAlign w:val="center"/>
          </w:tcPr>
          <w:p w14:paraId="440E388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5524" w:type="dxa"/>
            <w:shd w:val="clear" w:color="auto" w:fill="D9EAF7"/>
            <w:vAlign w:val="center"/>
          </w:tcPr>
          <w:p w14:paraId="709B41D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b/>
                <w:sz w:val="20"/>
                <w:szCs w:val="20"/>
              </w:rPr>
              <w:t>STROBE recommendation</w:t>
            </w:r>
          </w:p>
        </w:tc>
        <w:tc>
          <w:tcPr>
            <w:tcW w:w="5961" w:type="dxa"/>
            <w:shd w:val="clear" w:color="auto" w:fill="D9EAF7"/>
            <w:vAlign w:val="center"/>
          </w:tcPr>
          <w:p w14:paraId="63FC771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b/>
                <w:sz w:val="20"/>
                <w:szCs w:val="20"/>
              </w:rPr>
              <w:t>Checklist comment</w:t>
            </w:r>
          </w:p>
        </w:tc>
      </w:tr>
      <w:tr w:rsidR="00CA1C60" w:rsidRPr="00CE16F4" w14:paraId="350A3625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78A43B6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Title and abstract</w:t>
            </w:r>
          </w:p>
        </w:tc>
        <w:tc>
          <w:tcPr>
            <w:tcW w:w="898" w:type="dxa"/>
          </w:tcPr>
          <w:p w14:paraId="4F87B5E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1a</w:t>
            </w:r>
          </w:p>
        </w:tc>
        <w:tc>
          <w:tcPr>
            <w:tcW w:w="5524" w:type="dxa"/>
          </w:tcPr>
          <w:p w14:paraId="245B71A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Indicate the study’s design with a commonly used term in the title or the abstract.</w:t>
            </w:r>
          </w:p>
        </w:tc>
        <w:tc>
          <w:tcPr>
            <w:tcW w:w="5961" w:type="dxa"/>
          </w:tcPr>
          <w:p w14:paraId="7BEFAE9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abstract identifies the design as retrospective, aggregate, observational time-series and subnational ecological analysis.</w:t>
            </w:r>
          </w:p>
        </w:tc>
      </w:tr>
      <w:tr w:rsidR="00CA1C60" w:rsidRPr="00CE16F4" w14:paraId="252CBCB8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63CBE801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Title and abstract</w:t>
            </w:r>
          </w:p>
        </w:tc>
        <w:tc>
          <w:tcPr>
            <w:tcW w:w="898" w:type="dxa"/>
          </w:tcPr>
          <w:p w14:paraId="209061E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5524" w:type="dxa"/>
          </w:tcPr>
          <w:p w14:paraId="5E08B83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Provide in the abstract an informative and balanced summary of what was done and what was found.</w:t>
            </w:r>
          </w:p>
        </w:tc>
        <w:tc>
          <w:tcPr>
            <w:tcW w:w="5961" w:type="dxa"/>
          </w:tcPr>
          <w:p w14:paraId="0F82BA2B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abstract summarises background, methods, key results, and cautious interpretation.</w:t>
            </w:r>
          </w:p>
        </w:tc>
      </w:tr>
      <w:tr w:rsidR="00CA1C60" w:rsidRPr="00CE16F4" w14:paraId="2B4CEF2A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4050A20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898" w:type="dxa"/>
          </w:tcPr>
          <w:p w14:paraId="7065CA4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4" w:type="dxa"/>
          </w:tcPr>
          <w:p w14:paraId="0C0ED64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Explain the scientific background and rationale for the investigation being reported.</w:t>
            </w:r>
          </w:p>
        </w:tc>
        <w:tc>
          <w:tcPr>
            <w:tcW w:w="5961" w:type="dxa"/>
          </w:tcPr>
          <w:p w14:paraId="202E4D01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background describes BVD, the 2026 outbreak context, and the need for source-traced operational analysis.</w:t>
            </w:r>
          </w:p>
        </w:tc>
      </w:tr>
      <w:tr w:rsidR="00CA1C60" w:rsidRPr="00CE16F4" w14:paraId="6BFBE97F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417FE2E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898" w:type="dxa"/>
          </w:tcPr>
          <w:p w14:paraId="62302D5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4" w:type="dxa"/>
          </w:tcPr>
          <w:p w14:paraId="6D48BE71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State specific objectives, including any pre-specified hypotheses.</w:t>
            </w:r>
          </w:p>
        </w:tc>
        <w:tc>
          <w:tcPr>
            <w:tcW w:w="5961" w:type="dxa"/>
          </w:tcPr>
          <w:p w14:paraId="2A71D4C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objective is to describe detected case growth, observed case fatality heterogeneity, and response-system bottlenecks using official aggregate data.</w:t>
            </w:r>
          </w:p>
        </w:tc>
      </w:tr>
      <w:tr w:rsidR="00CA1C60" w:rsidRPr="00CE16F4" w14:paraId="1707B958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3A3990D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4D77657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4" w:type="dxa"/>
          </w:tcPr>
          <w:p w14:paraId="787D929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Present key elements of study design early in the paper.</w:t>
            </w:r>
          </w:p>
        </w:tc>
        <w:tc>
          <w:tcPr>
            <w:tcW w:w="5961" w:type="dxa"/>
          </w:tcPr>
          <w:p w14:paraId="091573C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</w:t>
            </w:r>
          </w:p>
        </w:tc>
      </w:tr>
      <w:tr w:rsidR="00CA1C60" w:rsidRPr="00CE16F4" w14:paraId="60B6374A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1E5E17D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1AC5A02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4" w:type="dxa"/>
          </w:tcPr>
          <w:p w14:paraId="2A9C994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Describe the setting, locations, and relevant dates, including periods of data collection.</w:t>
            </w:r>
          </w:p>
        </w:tc>
        <w:tc>
          <w:tcPr>
            <w:tcW w:w="5961" w:type="dxa"/>
          </w:tcPr>
          <w:p w14:paraId="093566D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DRC setting, Uganda companion series, reporting period, and SitRep 001–028 cut-off are described.</w:t>
            </w:r>
          </w:p>
        </w:tc>
      </w:tr>
      <w:tr w:rsidR="00CA1C60" w:rsidRPr="00CE16F4" w14:paraId="01BAE709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49740A2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03B5F56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4" w:type="dxa"/>
          </w:tcPr>
          <w:p w14:paraId="769325BC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Describe eligibility criteria and sources or methods used to select participants.</w:t>
            </w:r>
          </w:p>
        </w:tc>
        <w:tc>
          <w:tcPr>
            <w:tcW w:w="5961" w:type="dxa"/>
          </w:tcPr>
          <w:p w14:paraId="6A84BFB1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Adapted for aggregate data. No individual participants were recruited; aggregate reporting units and surveillance events were included.</w:t>
            </w:r>
          </w:p>
        </w:tc>
      </w:tr>
      <w:tr w:rsidR="00CA1C60" w:rsidRPr="00CE16F4" w14:paraId="6AFB1F03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7A3DEFC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352579C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4" w:type="dxa"/>
          </w:tcPr>
          <w:p w14:paraId="79BD5381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Clearly define outcomes, exposures, predictors, potential confounders, and effect modifiers. Give diagnostic criteria, if applicable.</w:t>
            </w:r>
          </w:p>
        </w:tc>
        <w:tc>
          <w:tcPr>
            <w:tcW w:w="5961" w:type="dxa"/>
          </w:tcPr>
          <w:p w14:paraId="0917A3F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Key variables and operational definitions are described in Methods and detailed in Supplementary Table S1.</w:t>
            </w:r>
          </w:p>
        </w:tc>
      </w:tr>
      <w:tr w:rsidR="00CA1C60" w:rsidRPr="00CE16F4" w14:paraId="6CDB5245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3EE1AAD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726360D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4" w:type="dxa"/>
          </w:tcPr>
          <w:p w14:paraId="6987833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For each variable of interest, give sources of data and details of methods of assessment or measurement.</w:t>
            </w:r>
          </w:p>
        </w:tc>
        <w:tc>
          <w:tcPr>
            <w:tcW w:w="5961" w:type="dxa"/>
          </w:tcPr>
          <w:p w14:paraId="4E4FF79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Data sources, extraction approach, recalculation of percentages, and analytic flags are described.</w:t>
            </w:r>
          </w:p>
        </w:tc>
      </w:tr>
      <w:tr w:rsidR="00CA1C60" w:rsidRPr="00CE16F4" w14:paraId="38A764E9" w14:textId="77777777" w:rsidTr="00CE16F4">
        <w:trPr>
          <w:cantSplit/>
          <w:trHeight w:val="59"/>
          <w:jc w:val="center"/>
        </w:trPr>
        <w:tc>
          <w:tcPr>
            <w:tcW w:w="1797" w:type="dxa"/>
          </w:tcPr>
          <w:p w14:paraId="34F0142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79421C5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4" w:type="dxa"/>
          </w:tcPr>
          <w:p w14:paraId="78473A2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Describe efforts to address potential sources of bias.</w:t>
            </w:r>
          </w:p>
        </w:tc>
        <w:tc>
          <w:tcPr>
            <w:tcW w:w="5961" w:type="dxa"/>
          </w:tcPr>
          <w:p w14:paraId="30F4C14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manuscript addresses harmonisation events, multi-day increments, incomplete reporting, unresolved outcomes, and reporting artefacts.</w:t>
            </w:r>
          </w:p>
        </w:tc>
      </w:tr>
      <w:tr w:rsidR="00CA1C60" w:rsidRPr="00CE16F4" w14:paraId="16E09353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08D70741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3C3DFC7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4" w:type="dxa"/>
          </w:tcPr>
          <w:p w14:paraId="310B2F6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Explain how the study size was arrived at.</w:t>
            </w:r>
          </w:p>
        </w:tc>
        <w:tc>
          <w:tcPr>
            <w:tcW w:w="5961" w:type="dxa"/>
          </w:tcPr>
          <w:p w14:paraId="5BC7B11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analysis included all available official reports through SitRep 028; the lagged contact follow-up analysis used a pre-specified feasibility threshold.</w:t>
            </w:r>
          </w:p>
        </w:tc>
      </w:tr>
      <w:tr w:rsidR="00CA1C60" w:rsidRPr="00CE16F4" w14:paraId="4B02424D" w14:textId="77777777" w:rsidTr="00CE16F4">
        <w:trPr>
          <w:cantSplit/>
          <w:trHeight w:val="417"/>
          <w:jc w:val="center"/>
        </w:trPr>
        <w:tc>
          <w:tcPr>
            <w:tcW w:w="1797" w:type="dxa"/>
          </w:tcPr>
          <w:p w14:paraId="408088D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1E0E174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4" w:type="dxa"/>
          </w:tcPr>
          <w:p w14:paraId="1D9F54E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5961" w:type="dxa"/>
          </w:tcPr>
          <w:p w14:paraId="1E98124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CFRs, growth rates, doubling times, contact follow-up coverage, positivity, and suppression of small denominators are described.</w:t>
            </w:r>
          </w:p>
        </w:tc>
      </w:tr>
      <w:tr w:rsidR="00CA1C60" w:rsidRPr="00CE16F4" w14:paraId="28DB2002" w14:textId="77777777" w:rsidTr="00CE16F4">
        <w:trPr>
          <w:cantSplit/>
          <w:trHeight w:val="315"/>
          <w:jc w:val="center"/>
        </w:trPr>
        <w:tc>
          <w:tcPr>
            <w:tcW w:w="1797" w:type="dxa"/>
          </w:tcPr>
          <w:p w14:paraId="30B65E43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5F4B057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12a</w:t>
            </w:r>
          </w:p>
        </w:tc>
        <w:tc>
          <w:tcPr>
            <w:tcW w:w="5524" w:type="dxa"/>
          </w:tcPr>
          <w:p w14:paraId="5C1D408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Describe all statistical methods, including those used to control for confounding.</w:t>
            </w:r>
          </w:p>
        </w:tc>
        <w:tc>
          <w:tcPr>
            <w:tcW w:w="5961" w:type="dxa"/>
          </w:tcPr>
          <w:p w14:paraId="0EBAA1B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analysis is descriptive and ecological; no causal adjustment was attempted.</w:t>
            </w:r>
          </w:p>
        </w:tc>
      </w:tr>
      <w:tr w:rsidR="00CA1C60" w:rsidRPr="00CE16F4" w14:paraId="7B59DAB8" w14:textId="77777777" w:rsidTr="00CE16F4">
        <w:trPr>
          <w:cantSplit/>
          <w:trHeight w:val="320"/>
          <w:jc w:val="center"/>
        </w:trPr>
        <w:tc>
          <w:tcPr>
            <w:tcW w:w="1797" w:type="dxa"/>
          </w:tcPr>
          <w:p w14:paraId="7967B27B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1A371D0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12b</w:t>
            </w:r>
          </w:p>
        </w:tc>
        <w:tc>
          <w:tcPr>
            <w:tcW w:w="5524" w:type="dxa"/>
          </w:tcPr>
          <w:p w14:paraId="4F60A72C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Describe any methods used to examine subgroups and interactions.</w:t>
            </w:r>
          </w:p>
        </w:tc>
        <w:tc>
          <w:tcPr>
            <w:tcW w:w="5961" w:type="dxa"/>
          </w:tcPr>
          <w:p w14:paraId="1DBD1EF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 as descriptive subnational analyses by province and selected health zones; no formal interaction testing was performed.</w:t>
            </w:r>
          </w:p>
        </w:tc>
      </w:tr>
      <w:tr w:rsidR="00CA1C60" w:rsidRPr="00CE16F4" w14:paraId="3004889A" w14:textId="77777777" w:rsidTr="00CE16F4">
        <w:trPr>
          <w:cantSplit/>
          <w:trHeight w:val="417"/>
          <w:jc w:val="center"/>
        </w:trPr>
        <w:tc>
          <w:tcPr>
            <w:tcW w:w="1797" w:type="dxa"/>
          </w:tcPr>
          <w:p w14:paraId="4128C1C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539DB4CC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12c</w:t>
            </w:r>
          </w:p>
        </w:tc>
        <w:tc>
          <w:tcPr>
            <w:tcW w:w="5524" w:type="dxa"/>
          </w:tcPr>
          <w:p w14:paraId="642DCBF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Explain how missing data were addressed.</w:t>
            </w:r>
          </w:p>
        </w:tc>
        <w:tc>
          <w:tcPr>
            <w:tcW w:w="5961" w:type="dxa"/>
          </w:tcPr>
          <w:p w14:paraId="610C4D7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Missing, incomplete, or ambiguous values were flagged; incomplete contact follow-up values were excluded from primary interpretation where appropriate.</w:t>
            </w:r>
          </w:p>
        </w:tc>
      </w:tr>
      <w:tr w:rsidR="00CA1C60" w:rsidRPr="00CE16F4" w14:paraId="6024D121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38F9428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98" w:type="dxa"/>
          </w:tcPr>
          <w:p w14:paraId="4D7A12E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12d</w:t>
            </w:r>
          </w:p>
        </w:tc>
        <w:tc>
          <w:tcPr>
            <w:tcW w:w="5524" w:type="dxa"/>
          </w:tcPr>
          <w:p w14:paraId="5F34FEC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If applicable, explain how loss to follow-up, matching, or sampling strategy was addressed.</w:t>
            </w:r>
          </w:p>
        </w:tc>
        <w:tc>
          <w:tcPr>
            <w:tcW w:w="5961" w:type="dxa"/>
          </w:tcPr>
          <w:p w14:paraId="438F00F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Not applicable to individual participants. The study used aggregate public reporting data; unresolved outcomes and incomplete follow-up reporting are described separately.</w:t>
            </w:r>
          </w:p>
        </w:tc>
      </w:tr>
      <w:tr w:rsidR="00CA1C60" w:rsidRPr="00CE16F4" w14:paraId="2C250211" w14:textId="77777777" w:rsidTr="00CE16F4">
        <w:trPr>
          <w:cantSplit/>
          <w:trHeight w:val="315"/>
          <w:jc w:val="center"/>
        </w:trPr>
        <w:tc>
          <w:tcPr>
            <w:tcW w:w="1797" w:type="dxa"/>
          </w:tcPr>
          <w:p w14:paraId="7F77D12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Methods</w:t>
            </w:r>
          </w:p>
        </w:tc>
        <w:tc>
          <w:tcPr>
            <w:tcW w:w="898" w:type="dxa"/>
          </w:tcPr>
          <w:p w14:paraId="32A0A4A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12e</w:t>
            </w:r>
          </w:p>
        </w:tc>
        <w:tc>
          <w:tcPr>
            <w:tcW w:w="5524" w:type="dxa"/>
          </w:tcPr>
          <w:p w14:paraId="57D99DD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Describe any sensitivity analyses.</w:t>
            </w:r>
          </w:p>
        </w:tc>
        <w:tc>
          <w:tcPr>
            <w:tcW w:w="5961" w:type="dxa"/>
          </w:tcPr>
          <w:p w14:paraId="1967549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Sensitivity analyses include resolved-outcome CFR and clean-record growth analysis excluding flagged records.</w:t>
            </w:r>
          </w:p>
        </w:tc>
      </w:tr>
      <w:tr w:rsidR="00CA1C60" w:rsidRPr="00CE16F4" w14:paraId="57804E94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22CD1E8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32188DB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13a</w:t>
            </w:r>
          </w:p>
        </w:tc>
        <w:tc>
          <w:tcPr>
            <w:tcW w:w="5524" w:type="dxa"/>
          </w:tcPr>
          <w:p w14:paraId="73015E33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 numbers of individuals at each stage of the study.</w:t>
            </w:r>
          </w:p>
        </w:tc>
        <w:tc>
          <w:tcPr>
            <w:tcW w:w="5961" w:type="dxa"/>
          </w:tcPr>
          <w:p w14:paraId="6F9C3A9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Adapted for aggregate data. Numbers of reported cases, deaths, recoveries, unresolved outcomes, health zones, and usable observations are provided.</w:t>
            </w:r>
          </w:p>
        </w:tc>
      </w:tr>
      <w:tr w:rsidR="00CA1C60" w:rsidRPr="00CE16F4" w14:paraId="1F640B9F" w14:textId="77777777" w:rsidTr="00CE16F4">
        <w:trPr>
          <w:cantSplit/>
          <w:trHeight w:val="207"/>
          <w:jc w:val="center"/>
        </w:trPr>
        <w:tc>
          <w:tcPr>
            <w:tcW w:w="1797" w:type="dxa"/>
          </w:tcPr>
          <w:p w14:paraId="705365B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4A714703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13b</w:t>
            </w:r>
          </w:p>
        </w:tc>
        <w:tc>
          <w:tcPr>
            <w:tcW w:w="5524" w:type="dxa"/>
          </w:tcPr>
          <w:p w14:paraId="76BE26E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Give reasons for non-participation at each stage.</w:t>
            </w:r>
          </w:p>
        </w:tc>
        <w:tc>
          <w:tcPr>
            <w:tcW w:w="5961" w:type="dxa"/>
          </w:tcPr>
          <w:p w14:paraId="1054C70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No individual recruitment or non-participation occurred.</w:t>
            </w:r>
          </w:p>
        </w:tc>
      </w:tr>
      <w:tr w:rsidR="00CA1C60" w:rsidRPr="00CE16F4" w14:paraId="13CB2CF9" w14:textId="77777777" w:rsidTr="00CE16F4">
        <w:trPr>
          <w:cantSplit/>
          <w:trHeight w:val="315"/>
          <w:jc w:val="center"/>
        </w:trPr>
        <w:tc>
          <w:tcPr>
            <w:tcW w:w="1797" w:type="dxa"/>
          </w:tcPr>
          <w:p w14:paraId="5C1E8F7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1B7233E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13c</w:t>
            </w:r>
          </w:p>
        </w:tc>
        <w:tc>
          <w:tcPr>
            <w:tcW w:w="5524" w:type="dxa"/>
          </w:tcPr>
          <w:p w14:paraId="073EDC53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Consider use of a flow diagram.</w:t>
            </w:r>
          </w:p>
        </w:tc>
        <w:tc>
          <w:tcPr>
            <w:tcW w:w="5961" w:type="dxa"/>
          </w:tcPr>
          <w:p w14:paraId="6AA9EBE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Not required for this aggregate situation-report analysis. Trajectory and analytic flow are described in text and figures.</w:t>
            </w:r>
          </w:p>
        </w:tc>
      </w:tr>
      <w:tr w:rsidR="00CA1C60" w:rsidRPr="00CE16F4" w14:paraId="71A21364" w14:textId="77777777" w:rsidTr="00CE16F4">
        <w:trPr>
          <w:cantSplit/>
          <w:trHeight w:val="315"/>
          <w:jc w:val="center"/>
        </w:trPr>
        <w:tc>
          <w:tcPr>
            <w:tcW w:w="1797" w:type="dxa"/>
          </w:tcPr>
          <w:p w14:paraId="74890733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47E618F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14a</w:t>
            </w:r>
          </w:p>
        </w:tc>
        <w:tc>
          <w:tcPr>
            <w:tcW w:w="5524" w:type="dxa"/>
          </w:tcPr>
          <w:p w14:paraId="615811F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Give characteristics of study participants and information on exposures and potential confounders.</w:t>
            </w:r>
          </w:p>
        </w:tc>
        <w:tc>
          <w:tcPr>
            <w:tcW w:w="5961" w:type="dxa"/>
          </w:tcPr>
          <w:p w14:paraId="31BE6E81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Adapted for aggregate data. Case, death, recovery, health-zone, province, and operational characteristics are described.</w:t>
            </w:r>
          </w:p>
        </w:tc>
      </w:tr>
      <w:tr w:rsidR="00CA1C60" w:rsidRPr="00CE16F4" w14:paraId="7E386174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71CEDCE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27FEB58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14b</w:t>
            </w:r>
          </w:p>
        </w:tc>
        <w:tc>
          <w:tcPr>
            <w:tcW w:w="5524" w:type="dxa"/>
          </w:tcPr>
          <w:p w14:paraId="7187143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Indicate the number of participants with missing data for each variable of interest.</w:t>
            </w:r>
          </w:p>
        </w:tc>
        <w:tc>
          <w:tcPr>
            <w:tcW w:w="5961" w:type="dxa"/>
          </w:tcPr>
          <w:p w14:paraId="67107A8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 where relevant. Unresolved outcomes, unallocated Ituri cases, and incomplete contact follow-up reporting are described.</w:t>
            </w:r>
          </w:p>
        </w:tc>
      </w:tr>
      <w:tr w:rsidR="00CA1C60" w:rsidRPr="00CE16F4" w14:paraId="3F41B0C9" w14:textId="77777777" w:rsidTr="00CE16F4">
        <w:trPr>
          <w:cantSplit/>
          <w:trHeight w:val="315"/>
          <w:jc w:val="center"/>
        </w:trPr>
        <w:tc>
          <w:tcPr>
            <w:tcW w:w="1797" w:type="dxa"/>
          </w:tcPr>
          <w:p w14:paraId="53FFA0F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10D001E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14c</w:t>
            </w:r>
          </w:p>
        </w:tc>
        <w:tc>
          <w:tcPr>
            <w:tcW w:w="5524" w:type="dxa"/>
          </w:tcPr>
          <w:p w14:paraId="16E49A7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Summarise follow-up time, if applicable.</w:t>
            </w:r>
          </w:p>
        </w:tc>
        <w:tc>
          <w:tcPr>
            <w:tcW w:w="5961" w:type="dxa"/>
          </w:tcPr>
          <w:p w14:paraId="79409FDC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Partly applicable. The reporting period and unresolved outcomes are described; individual follow-up time was not available.</w:t>
            </w:r>
          </w:p>
        </w:tc>
      </w:tr>
      <w:tr w:rsidR="00CA1C60" w:rsidRPr="00CE16F4" w14:paraId="681EFBF6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5627DE3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5284E3F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4" w:type="dxa"/>
          </w:tcPr>
          <w:p w14:paraId="4F2A112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 numbers of outcome events or summary measures.</w:t>
            </w:r>
          </w:p>
        </w:tc>
        <w:tc>
          <w:tcPr>
            <w:tcW w:w="5961" w:type="dxa"/>
          </w:tcPr>
          <w:p w14:paraId="01E277E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Confirmed cases, confirmed deaths, recoveries, unresolved outcomes, CFRs, growth estimates, and operational indicators are presented.</w:t>
            </w:r>
          </w:p>
        </w:tc>
      </w:tr>
      <w:tr w:rsidR="00CA1C60" w:rsidRPr="00CE16F4" w14:paraId="6BEDBA86" w14:textId="77777777" w:rsidTr="00CE16F4">
        <w:trPr>
          <w:cantSplit/>
          <w:trHeight w:val="417"/>
          <w:jc w:val="center"/>
        </w:trPr>
        <w:tc>
          <w:tcPr>
            <w:tcW w:w="1797" w:type="dxa"/>
          </w:tcPr>
          <w:p w14:paraId="07B4EFC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4360576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16a</w:t>
            </w:r>
          </w:p>
        </w:tc>
        <w:tc>
          <w:tcPr>
            <w:tcW w:w="5524" w:type="dxa"/>
          </w:tcPr>
          <w:p w14:paraId="6204D7C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Give unadjusted estimates and, if applicable, confounder-adjusted estimates and their precision.</w:t>
            </w:r>
          </w:p>
        </w:tc>
        <w:tc>
          <w:tcPr>
            <w:tcW w:w="5961" w:type="dxa"/>
          </w:tcPr>
          <w:p w14:paraId="51B37073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CFRs include exact binomial confidence intervals; no adjusted estimates were generated because causal inference was not attempted.</w:t>
            </w:r>
          </w:p>
        </w:tc>
      </w:tr>
      <w:tr w:rsidR="00CA1C60" w:rsidRPr="00CE16F4" w14:paraId="5EF44C8D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1A19A33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6497244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16b</w:t>
            </w:r>
          </w:p>
        </w:tc>
        <w:tc>
          <w:tcPr>
            <w:tcW w:w="5524" w:type="dxa"/>
          </w:tcPr>
          <w:p w14:paraId="1556E96C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 category boundaries when continuous variables were categorised.</w:t>
            </w:r>
          </w:p>
        </w:tc>
        <w:tc>
          <w:tcPr>
            <w:tcW w:w="5961" w:type="dxa"/>
          </w:tcPr>
          <w:p w14:paraId="0079E28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Seven-day growth phases and suppression of CFR percentages where confirmed cases were fewer than five are specified.</w:t>
            </w:r>
          </w:p>
        </w:tc>
      </w:tr>
      <w:tr w:rsidR="00CA1C60" w:rsidRPr="00CE16F4" w14:paraId="256730F0" w14:textId="77777777" w:rsidTr="00CE16F4">
        <w:trPr>
          <w:cantSplit/>
          <w:trHeight w:val="212"/>
          <w:jc w:val="center"/>
        </w:trPr>
        <w:tc>
          <w:tcPr>
            <w:tcW w:w="1797" w:type="dxa"/>
          </w:tcPr>
          <w:p w14:paraId="5D29B28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23B40E7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16c</w:t>
            </w:r>
          </w:p>
        </w:tc>
        <w:tc>
          <w:tcPr>
            <w:tcW w:w="5524" w:type="dxa"/>
          </w:tcPr>
          <w:p w14:paraId="4D9C928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If relevant, translate estimates of relative risk into absolute risk.</w:t>
            </w:r>
          </w:p>
        </w:tc>
        <w:tc>
          <w:tcPr>
            <w:tcW w:w="5961" w:type="dxa"/>
          </w:tcPr>
          <w:p w14:paraId="4E40C234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No relative risk estimates were calculated.</w:t>
            </w:r>
          </w:p>
        </w:tc>
      </w:tr>
      <w:tr w:rsidR="00CA1C60" w:rsidRPr="00CE16F4" w14:paraId="2A275A7A" w14:textId="77777777" w:rsidTr="00CE16F4">
        <w:trPr>
          <w:cantSplit/>
          <w:trHeight w:val="417"/>
          <w:jc w:val="center"/>
        </w:trPr>
        <w:tc>
          <w:tcPr>
            <w:tcW w:w="1797" w:type="dxa"/>
          </w:tcPr>
          <w:p w14:paraId="02CD3E2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98" w:type="dxa"/>
          </w:tcPr>
          <w:p w14:paraId="16D74022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4" w:type="dxa"/>
          </w:tcPr>
          <w:p w14:paraId="5AC40E8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 other analyses performed, including subgroup analyses and sensitivity analyses.</w:t>
            </w:r>
          </w:p>
        </w:tc>
        <w:tc>
          <w:tcPr>
            <w:tcW w:w="5961" w:type="dxa"/>
          </w:tcPr>
          <w:p w14:paraId="5302B6B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Includes subnational CFRs, clean-record growth sensitivity analysis, resolved-outcome CFR, and lagged contact follow-up correlations.</w:t>
            </w:r>
          </w:p>
        </w:tc>
      </w:tr>
      <w:tr w:rsidR="00CA1C60" w:rsidRPr="00CE16F4" w14:paraId="3E4A503D" w14:textId="77777777" w:rsidTr="00CE16F4">
        <w:trPr>
          <w:cantSplit/>
          <w:trHeight w:val="212"/>
          <w:jc w:val="center"/>
        </w:trPr>
        <w:tc>
          <w:tcPr>
            <w:tcW w:w="1797" w:type="dxa"/>
          </w:tcPr>
          <w:p w14:paraId="42C6BA4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98" w:type="dxa"/>
          </w:tcPr>
          <w:p w14:paraId="5CE6472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24" w:type="dxa"/>
          </w:tcPr>
          <w:p w14:paraId="0945B1C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Summarise key results with reference to study objectives.</w:t>
            </w:r>
          </w:p>
        </w:tc>
        <w:tc>
          <w:tcPr>
            <w:tcW w:w="5961" w:type="dxa"/>
          </w:tcPr>
          <w:p w14:paraId="26E1C4D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</w:t>
            </w:r>
          </w:p>
        </w:tc>
      </w:tr>
      <w:tr w:rsidR="00CA1C60" w:rsidRPr="00CE16F4" w14:paraId="2E9D21D2" w14:textId="77777777" w:rsidTr="00CE16F4">
        <w:trPr>
          <w:cantSplit/>
          <w:trHeight w:val="417"/>
          <w:jc w:val="center"/>
        </w:trPr>
        <w:tc>
          <w:tcPr>
            <w:tcW w:w="1797" w:type="dxa"/>
          </w:tcPr>
          <w:p w14:paraId="43F51AF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98" w:type="dxa"/>
          </w:tcPr>
          <w:p w14:paraId="2D18314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24" w:type="dxa"/>
          </w:tcPr>
          <w:p w14:paraId="142819F6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Discuss limitations, considering sources of potential bias or imprecision.</w:t>
            </w:r>
          </w:p>
        </w:tc>
        <w:tc>
          <w:tcPr>
            <w:tcW w:w="5961" w:type="dxa"/>
          </w:tcPr>
          <w:p w14:paraId="6EB84788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Limitations include aggregate reporting-date data, reporting artefacts, unresolved outcomes, incomplete indicators, and inability to infer causal effects.</w:t>
            </w:r>
          </w:p>
        </w:tc>
      </w:tr>
      <w:tr w:rsidR="00CA1C60" w:rsidRPr="00CE16F4" w14:paraId="77315024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5D27410A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98" w:type="dxa"/>
          </w:tcPr>
          <w:p w14:paraId="45F70EF9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24" w:type="dxa"/>
          </w:tcPr>
          <w:p w14:paraId="32064757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Give a cautious overall interpretation of results considering objectives, limitations, multiplicity of analyses, and evidence from similar studies.</w:t>
            </w:r>
          </w:p>
        </w:tc>
        <w:tc>
          <w:tcPr>
            <w:tcW w:w="5961" w:type="dxa"/>
          </w:tcPr>
          <w:p w14:paraId="2CC4064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The manuscript interprets findings as detected surveillance and operational signals, not final transmission or causal estimates.</w:t>
            </w:r>
          </w:p>
        </w:tc>
      </w:tr>
      <w:tr w:rsidR="00CA1C60" w:rsidRPr="00CE16F4" w14:paraId="6AF2C5D7" w14:textId="77777777" w:rsidTr="00CE16F4">
        <w:trPr>
          <w:cantSplit/>
          <w:trHeight w:val="422"/>
          <w:jc w:val="center"/>
        </w:trPr>
        <w:tc>
          <w:tcPr>
            <w:tcW w:w="1797" w:type="dxa"/>
          </w:tcPr>
          <w:p w14:paraId="39DC756E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98" w:type="dxa"/>
          </w:tcPr>
          <w:p w14:paraId="5991DCA5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24" w:type="dxa"/>
          </w:tcPr>
          <w:p w14:paraId="4BCA7E0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Discuss the generalisability of the study results.</w:t>
            </w:r>
          </w:p>
        </w:tc>
        <w:tc>
          <w:tcPr>
            <w:tcW w:w="5961" w:type="dxa"/>
          </w:tcPr>
          <w:p w14:paraId="2E0E056C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 cautiously. The findings are framed as operational lessons for interpreting aggregate outbreak reports rather than broadly generalisable biological estimates.</w:t>
            </w:r>
          </w:p>
        </w:tc>
      </w:tr>
      <w:tr w:rsidR="00CA1C60" w:rsidRPr="00CE16F4" w14:paraId="12026A9A" w14:textId="77777777" w:rsidTr="00CE16F4">
        <w:trPr>
          <w:cantSplit/>
          <w:trHeight w:val="207"/>
          <w:jc w:val="center"/>
        </w:trPr>
        <w:tc>
          <w:tcPr>
            <w:tcW w:w="1797" w:type="dxa"/>
          </w:tcPr>
          <w:p w14:paraId="7E9CBF7D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Other information</w:t>
            </w:r>
          </w:p>
        </w:tc>
        <w:tc>
          <w:tcPr>
            <w:tcW w:w="898" w:type="dxa"/>
          </w:tcPr>
          <w:p w14:paraId="5E6B1E50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24" w:type="dxa"/>
          </w:tcPr>
          <w:p w14:paraId="4E76BF4C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Give the source of funding and the role of the funders.</w:t>
            </w:r>
          </w:p>
        </w:tc>
        <w:tc>
          <w:tcPr>
            <w:tcW w:w="5961" w:type="dxa"/>
          </w:tcPr>
          <w:p w14:paraId="56ABA5BF" w14:textId="77777777" w:rsidR="00CA1C60" w:rsidRPr="00CE16F4" w:rsidRDefault="00CA1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6F4">
              <w:rPr>
                <w:rFonts w:ascii="Times New Roman" w:hAnsi="Times New Roman" w:cs="Times New Roman"/>
                <w:sz w:val="20"/>
                <w:szCs w:val="20"/>
              </w:rPr>
              <w:t>Reported. No specific funding was received.</w:t>
            </w:r>
          </w:p>
        </w:tc>
      </w:tr>
    </w:tbl>
    <w:p w14:paraId="01C0641A" w14:textId="700ACCBB" w:rsidR="001D4835" w:rsidRPr="00CA1C60" w:rsidRDefault="001D4835">
      <w:pPr>
        <w:rPr>
          <w:rFonts w:ascii="Times New Roman" w:hAnsi="Times New Roman" w:cs="Times New Roman"/>
          <w:sz w:val="22"/>
        </w:rPr>
      </w:pPr>
    </w:p>
    <w:sectPr w:rsidR="001D4835" w:rsidRPr="00CA1C60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6863247">
    <w:abstractNumId w:val="8"/>
  </w:num>
  <w:num w:numId="2" w16cid:durableId="1455632236">
    <w:abstractNumId w:val="6"/>
  </w:num>
  <w:num w:numId="3" w16cid:durableId="2072268591">
    <w:abstractNumId w:val="5"/>
  </w:num>
  <w:num w:numId="4" w16cid:durableId="109858554">
    <w:abstractNumId w:val="4"/>
  </w:num>
  <w:num w:numId="5" w16cid:durableId="2002467531">
    <w:abstractNumId w:val="7"/>
  </w:num>
  <w:num w:numId="6" w16cid:durableId="67122837">
    <w:abstractNumId w:val="3"/>
  </w:num>
  <w:num w:numId="7" w16cid:durableId="1268276366">
    <w:abstractNumId w:val="2"/>
  </w:num>
  <w:num w:numId="8" w16cid:durableId="36710972">
    <w:abstractNumId w:val="1"/>
  </w:num>
  <w:num w:numId="9" w16cid:durableId="30011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507E"/>
    <w:rsid w:val="0015074B"/>
    <w:rsid w:val="001D4835"/>
    <w:rsid w:val="0029639D"/>
    <w:rsid w:val="00326F90"/>
    <w:rsid w:val="00506369"/>
    <w:rsid w:val="00A95477"/>
    <w:rsid w:val="00AA1D8D"/>
    <w:rsid w:val="00B47730"/>
    <w:rsid w:val="00CA1C60"/>
    <w:rsid w:val="00CB0664"/>
    <w:rsid w:val="00CE16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8AB88"/>
  <w14:defaultImageDpi w14:val="300"/>
  <w15:docId w15:val="{8C15F94A-5CB6-4447-BDE4-15F9D37A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Tambe Elvis Akem</cp:lastModifiedBy>
  <cp:revision>4</cp:revision>
  <dcterms:created xsi:type="dcterms:W3CDTF">2013-12-23T23:15:00Z</dcterms:created>
  <dcterms:modified xsi:type="dcterms:W3CDTF">2026-06-19T10:42:00Z</dcterms:modified>
  <cp:category/>
</cp:coreProperties>
</file>